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END-WATER-001 — WATER DAMAGE LIMITATION ENDORSEMENT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endorsement modifies insurance provided under the Commercial Property Coverage Form.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MODIFICATION OF WATER EXCLUSION (W.1)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W.1.1 Limited Coverage for Accidental Discharge (W.1.1)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will pay for direct physical loss to Covered Property caused by accidental discharge or leakage of water from within: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(a) plumbing systems; 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(b) heating, air conditioning, or automatic fire protective sprinkler systems.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W.1.2 Sublimit and Waiting Period (W.1.2)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most we will pay for loss under this endorsement is $25,000 per occurrence.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waiting period of 24 hours applies for Business Income due to water damage.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W.1.3 Still Excluded (W.1.3)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endorsement does not cover: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(a) flood or surface water;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(b) repeated seepage or leakage over a period of 14 days or more;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(c) water below the surface of the ground.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CONDITIONS (W.2)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W.2.1 You must maintain plumbing systems in good repair and heat the building or drain systems to avoid freezing.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