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END-WIND-001 — WIND/HAIL DEDUCTIBLE ENDORSEMENT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endorsement modifies insurance provided under the Commercial Property Coverage Form.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WIND/HAIL DEDUCTIBLE (WH.1)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WH.1.1 Applicability (WH.1.1)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loss caused directly or indirectly by windstorm or hail, the deductible is 2% of the Building limit shown in the Declarations.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WH.1.2 Calculation (WH.1.2)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Building limit: $2,000,000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Wind/Hail deductible: 2% x $2,000,000 = $40,000 per occurrence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OTHER DEDUCTIBLES (WH.2)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All other perils are subject to the deductible shown in the Declarations.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