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8"/>
          <w:szCs w:val="48"/>
        </w:rPr>
      </w:pPr>
      <w:r>
        <w:rPr>
          <w:rFonts w:ascii="Times-Bold" w:hAnsi="Times-Bold" w:cs="Times-Bold"/>
          <w:b/>
          <w:bCs/>
          <w:sz w:val="48"/>
          <w:szCs w:val="48"/>
        </w:rPr>
        <w:t>Natural-Born Cyborgs: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8"/>
          <w:szCs w:val="48"/>
        </w:rPr>
      </w:pPr>
      <w:r>
        <w:rPr>
          <w:rFonts w:ascii="Times-Bold" w:hAnsi="Times-Bold" w:cs="Times-Bold"/>
          <w:b/>
          <w:bCs/>
          <w:sz w:val="48"/>
          <w:szCs w:val="48"/>
        </w:rPr>
        <w:t>Minds, Technologies,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8"/>
          <w:szCs w:val="48"/>
        </w:rPr>
      </w:pPr>
      <w:r>
        <w:rPr>
          <w:rFonts w:ascii="Times-Bold" w:hAnsi="Times-Bold" w:cs="Times-Bold"/>
          <w:b/>
          <w:bCs/>
          <w:sz w:val="48"/>
          <w:szCs w:val="48"/>
        </w:rPr>
        <w:t>and the Future of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8"/>
          <w:szCs w:val="48"/>
        </w:rPr>
      </w:pPr>
      <w:r>
        <w:rPr>
          <w:rFonts w:ascii="Times-Bold" w:hAnsi="Times-Bold" w:cs="Times-Bold"/>
          <w:b/>
          <w:bCs/>
          <w:sz w:val="48"/>
          <w:szCs w:val="48"/>
        </w:rPr>
        <w:t>Human Intelligence</w:t>
      </w:r>
    </w:p>
    <w:p w:rsidR="00E76136" w:rsidRDefault="00E55E05" w:rsidP="00E55E05">
      <w:r>
        <w:rPr>
          <w:rFonts w:ascii="Times-Italic" w:hAnsi="Times-Italic" w:cs="Times-Italic"/>
          <w:i/>
          <w:iCs/>
          <w:sz w:val="36"/>
          <w:szCs w:val="36"/>
        </w:rPr>
        <w:t>ANDY CLARK</w:t>
      </w:r>
    </w:p>
    <w:p w:rsidR="00E55E05" w:rsidRDefault="00E55E05">
      <w:r>
        <w:t xml:space="preserve">From </w:t>
      </w:r>
      <w:r>
        <w:rPr>
          <w:rFonts w:ascii="BerkeOldITCbyBTMed" w:hAnsi="BerkeOldITCbyBTMed" w:cs="BerkeOldITCbyBTMed"/>
          <w:sz w:val="15"/>
          <w:szCs w:val="15"/>
        </w:rPr>
        <w:t xml:space="preserve">CHAPTER </w:t>
      </w:r>
      <w:r>
        <w:rPr>
          <w:rFonts w:ascii="BerkeOldITCbyBTMed" w:hAnsi="BerkeOldITCbyBTMed" w:cs="BerkeOldITCbyBTMed"/>
        </w:rPr>
        <w:t xml:space="preserve">2 </w:t>
      </w:r>
      <w:r>
        <w:rPr>
          <w:rFonts w:ascii="BerkeOldITCbyBTBol" w:hAnsi="BerkeOldITCbyBTBol" w:cs="BerkeOldITCbyBTBol"/>
        </w:rPr>
        <w:t>Technologies to Bond With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Our immediate task, however, is to get a more concrete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sense of some of the complex ways in which technologies simultaneously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shape and adapt to the cognitive profiles of biological users. With that in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mind, let’s look briefly at a familiar item, one that long-ago passed from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realm of opaque technology into that of transparent symbiotic partner—</w:t>
      </w:r>
    </w:p>
    <w:p w:rsidR="00E55E05" w:rsidRDefault="00E55E05" w:rsidP="00E55E05">
      <w:pPr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humble wristwatch.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We humans didn’t always keep precise, objectively measured time. Before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dawn of the city, the factory, and the organized religious order,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human beings used natural cycles to prompt daily activities. The sun rises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farming begins, interrupted only by a brief break when the sun is high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in the sky. Darkness signals food and sleep. Today, a great many humans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are not like this. We work all hours. We plan to meet friends for coffee at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11:45 </w:t>
      </w:r>
      <w:r>
        <w:rPr>
          <w:rFonts w:ascii="BerkeOldITCbyBTMed" w:hAnsi="BerkeOldITCbyBTMed" w:cs="BerkeOldITCbyBTMed"/>
          <w:sz w:val="15"/>
          <w:szCs w:val="15"/>
        </w:rPr>
        <w:t>A</w:t>
      </w:r>
      <w:r>
        <w:rPr>
          <w:rFonts w:ascii="BerkeOldITCbyBTMed" w:hAnsi="BerkeOldITCbyBTMed" w:cs="BerkeOldITCbyBTMed"/>
        </w:rPr>
        <w:t>.</w:t>
      </w:r>
      <w:r>
        <w:rPr>
          <w:rFonts w:ascii="BerkeOldITCbyBTMed" w:hAnsi="BerkeOldITCbyBTMed" w:cs="BerkeOldITCbyBTMed"/>
          <w:sz w:val="15"/>
          <w:szCs w:val="15"/>
        </w:rPr>
        <w:t>M</w:t>
      </w:r>
      <w:r>
        <w:rPr>
          <w:rFonts w:ascii="BerkeOldITCbyBTMed" w:hAnsi="BerkeOldITCbyBTMed" w:cs="BerkeOldITCbyBTMed"/>
        </w:rPr>
        <w:t xml:space="preserve">. We make a date for supper at 10:00 </w:t>
      </w:r>
      <w:r>
        <w:rPr>
          <w:rFonts w:ascii="BerkeOldITCbyBTMed" w:hAnsi="BerkeOldITCbyBTMed" w:cs="BerkeOldITCbyBTMed"/>
          <w:sz w:val="15"/>
          <w:szCs w:val="15"/>
        </w:rPr>
        <w:t>P</w:t>
      </w:r>
      <w:r>
        <w:rPr>
          <w:rFonts w:ascii="BerkeOldITCbyBTMed" w:hAnsi="BerkeOldITCbyBTMed" w:cs="BerkeOldITCbyBTMed"/>
        </w:rPr>
        <w:t>.</w:t>
      </w:r>
      <w:r>
        <w:rPr>
          <w:rFonts w:ascii="BerkeOldITCbyBTMed" w:hAnsi="BerkeOldITCbyBTMed" w:cs="BerkeOldITCbyBTMed"/>
          <w:sz w:val="15"/>
          <w:szCs w:val="15"/>
        </w:rPr>
        <w:t>M</w:t>
      </w:r>
      <w:r>
        <w:rPr>
          <w:rFonts w:ascii="BerkeOldITCbyBTMed" w:hAnsi="BerkeOldITCbyBTMed" w:cs="BerkeOldITCbyBTMed"/>
        </w:rPr>
        <w:t>. and a film at midnight,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so on. The transition from a natural-time society to our present arrangements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for work and play was mediated by a long thread of technological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evolution: a thread that leads from heavy, fixed, unreliable sundials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water clocks, through the development of early oscillating-elementbased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timekeeping, right up to cheap, accurate, personal quartz crystal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wristwatches. But the technological story, though fascinating, pales beside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human-centered story. In a mere five hundred years, the opaque, unreliable,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fixed-location tower clocks of the Middle Ages gave way to the reliable,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cheap, personal timekeepers that we now take so much for granted.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Along the way our relationship to time itself was irrevocably changed and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transformed.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Once the average city worker was awakened by the call of the night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watch, a living person whose task was to patrol the streets shouting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time. A little later the tolling of a bell, either owned by the town or perhaps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by a specific employer, woke the townspeople. These measures instilled a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degree of what David Landes nicely calls “time obedience.” But with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availability of </w:t>
      </w:r>
      <w:r>
        <w:rPr>
          <w:rFonts w:ascii="BerkeOldITCbyBTMedIta" w:hAnsi="BerkeOldITCbyBTMedIta" w:cs="BerkeOldITCbyBTMedIta"/>
        </w:rPr>
        <w:t xml:space="preserve">personal </w:t>
      </w:r>
      <w:r>
        <w:rPr>
          <w:rFonts w:ascii="BerkeOldITCbyBTMed" w:hAnsi="BerkeOldITCbyBTMed" w:cs="BerkeOldITCbyBTMed"/>
        </w:rPr>
        <w:t>timepieces, in the form of chamber clocks or (ultimately)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wristwatches, came the possibility of something new and different—“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time discipline.” The presence of easily accessible, fairly accurate,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consistently available time-telling resources enabled the individual to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factor time constantly and accurately into the very heart of her endeavors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aspirations. This made possible ways of thought, and cultural practices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institutions, which were otherwise precluded by our basic biological</w:t>
      </w:r>
    </w:p>
    <w:p w:rsidR="00E55E05" w:rsidRDefault="00E55E05" w:rsidP="00E55E05">
      <w:pPr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lastRenderedPageBreak/>
        <w:t>nature. Landes makes the point well: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The public clock could be used to open markets and close them, to signal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the start of work and its end, to move people around, but it was a limited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guide to self-imposed programs. Its dial was not always in view; its bells not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always within hearing. Even when heard, hourly bells are at best intermittent reminders. They signal moments. A chamber clock or watch is something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very different: an ever-visible, ever-audible companion and monitor . . 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a measure of time used, time spent, time wasted, time lost. As such it was</w:t>
      </w:r>
    </w:p>
    <w:p w:rsidR="00E55E05" w:rsidRDefault="00E55E05" w:rsidP="00E55E05">
      <w:pPr>
        <w:rPr>
          <w:rFonts w:ascii="BerkeOldITCbyBTMed" w:hAnsi="BerkeOldITCbyBTMed" w:cs="BerkeOldITCbyBTMed"/>
          <w:sz w:val="20"/>
          <w:szCs w:val="20"/>
        </w:rPr>
      </w:pPr>
      <w:r>
        <w:rPr>
          <w:rFonts w:ascii="BerkeOldITCbyBTMed" w:hAnsi="BerkeOldITCbyBTMed" w:cs="BerkeOldITCbyBTMed"/>
          <w:sz w:val="20"/>
          <w:szCs w:val="20"/>
        </w:rPr>
        <w:t>prod and key to personal achievement and productivity.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Notice that what counts here is not always </w:t>
      </w:r>
      <w:r>
        <w:rPr>
          <w:rFonts w:ascii="BerkeOldITCbyBTMedIta" w:hAnsi="BerkeOldITCbyBTMedIta" w:cs="BerkeOldITCbyBTMedIta"/>
        </w:rPr>
        <w:t xml:space="preserve">consciously knowing </w:t>
      </w:r>
      <w:r>
        <w:rPr>
          <w:rFonts w:ascii="BerkeOldITCbyBTMed" w:hAnsi="BerkeOldITCbyBTMed" w:cs="BerkeOldITCbyBTMed"/>
        </w:rPr>
        <w:t>the time.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None of us, I suppose, looks constantly at his or her watch! Rather,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Ita" w:hAnsi="BerkeOldITCbyBTMedIta" w:cs="BerkeOldITCbyBTMedIta"/>
        </w:rPr>
      </w:pPr>
      <w:r>
        <w:rPr>
          <w:rFonts w:ascii="BerkeOldITCbyBTMed" w:hAnsi="BerkeOldITCbyBTMed" w:cs="BerkeOldITCbyBTMed"/>
        </w:rPr>
        <w:t xml:space="preserve">crucial factor is the constant and easy availability of the time, </w:t>
      </w:r>
      <w:r>
        <w:rPr>
          <w:rFonts w:ascii="BerkeOldITCbyBTMedIta" w:hAnsi="BerkeOldITCbyBTMedIta" w:cs="BerkeOldITCbyBTMedIta"/>
        </w:rPr>
        <w:t>should we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Ita" w:hAnsi="BerkeOldITCbyBTMedIta" w:cs="BerkeOldITCbyBTMedIta"/>
        </w:rPr>
        <w:t>desire to know it</w:t>
      </w:r>
      <w:r>
        <w:rPr>
          <w:rFonts w:ascii="BerkeOldITCbyBTMed" w:hAnsi="BerkeOldITCbyBTMed" w:cs="BerkeOldITCbyBTMed"/>
        </w:rPr>
        <w:t>. Therefore, a prime characteristic of transparent technologies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is their </w:t>
      </w:r>
      <w:r>
        <w:rPr>
          <w:rFonts w:ascii="BerkeOldITCbyBTMedIta" w:hAnsi="BerkeOldITCbyBTMedIta" w:cs="BerkeOldITCbyBTMedIta"/>
        </w:rPr>
        <w:t xml:space="preserve">poise </w:t>
      </w:r>
      <w:r>
        <w:rPr>
          <w:rFonts w:ascii="BerkeOldITCbyBTMed" w:hAnsi="BerkeOldITCbyBTMed" w:cs="BerkeOldITCbyBTMed"/>
        </w:rPr>
        <w:t>for easy use and deployment as and when required. Daily,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unreflective usage bears this out. As you walk down the street, you are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accosted by the familiar cry of the temporarily watchless. “Excuse me, sir,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do you happen to know the time?” Asked this question on a busy street,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most of us will unhesitatingly reply, </w:t>
      </w:r>
      <w:r>
        <w:rPr>
          <w:rFonts w:ascii="BerkeOldITCbyBTMedIta" w:hAnsi="BerkeOldITCbyBTMedIta" w:cs="BerkeOldITCbyBTMedIta"/>
        </w:rPr>
        <w:t>even before consulting our wristwatches</w:t>
      </w:r>
      <w:r>
        <w:rPr>
          <w:rFonts w:ascii="BerkeOldITCbyBTMed" w:hAnsi="BerkeOldITCbyBTMed" w:cs="BerkeOldITCbyBTMed"/>
        </w:rPr>
        <w:t>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that yes, we surely do.</w:t>
      </w:r>
      <w:r>
        <w:rPr>
          <w:rFonts w:ascii="BerkeOldITCbyBTMed" w:hAnsi="BerkeOldITCbyBTMed" w:cs="BerkeOldITCbyBTMed"/>
          <w:sz w:val="13"/>
          <w:szCs w:val="13"/>
        </w:rPr>
        <w:t xml:space="preserve">6 </w:t>
      </w:r>
      <w:r>
        <w:rPr>
          <w:rFonts w:ascii="BerkeOldITCbyBTMed" w:hAnsi="BerkeOldITCbyBTMed" w:cs="BerkeOldITCbyBTMed"/>
        </w:rPr>
        <w:t>Grasping the request hidden in the formulaic question,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many of us will also, and without further request, share our knowledge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with the time-challenged supplicant. As we do so, we may find ourselves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producing one of the characteristic body motions of the modern world. In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suited male or female, this takes the form of a controlled, punch-like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extension of the arm, a clockwise half-rotation of the emerging wrist, and a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slight lowering of the gaze. This knowledge-retrieval tropism serves, of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course, a single practical function—it permits you to focus your gaze briefly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upon the face, dial, or display of your watch, that humble example of cyborg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  <w:sz w:val="13"/>
          <w:szCs w:val="13"/>
        </w:rPr>
      </w:pPr>
      <w:r>
        <w:rPr>
          <w:rFonts w:ascii="BerkeOldITCbyBTMed" w:hAnsi="BerkeOldITCbyBTMed" w:cs="BerkeOldITCbyBTMed"/>
        </w:rPr>
        <w:t>technology.</w:t>
      </w:r>
      <w:r>
        <w:rPr>
          <w:rFonts w:ascii="BerkeOldITCbyBTMed" w:hAnsi="BerkeOldITCbyBTMed" w:cs="BerkeOldITCbyBTMed"/>
          <w:sz w:val="13"/>
          <w:szCs w:val="13"/>
        </w:rPr>
        <w:t>7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Now compare a superficially similar case. Your houseguest has encountered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 word he does not know. To be concrete, let the word be “clepsydra.”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At some appropriate conversational juncture, the question is raised: “Good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host, do you know what the word ‘clepsydra’ means?” Perhaps you are like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me. I only learned this word a few days before writing this paragraph; until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then, it wasn’t part of my working vocabulary at all. But perhaps, like me,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you keep a medium-size version of the </w:t>
      </w:r>
      <w:r>
        <w:rPr>
          <w:rFonts w:ascii="BerkeOldITCbyBTMedIta" w:hAnsi="BerkeOldITCbyBTMedIta" w:cs="BerkeOldITCbyBTMedIta"/>
        </w:rPr>
        <w:t xml:space="preserve">Oxford English Dictionary </w:t>
      </w:r>
      <w:r>
        <w:rPr>
          <w:rFonts w:ascii="BerkeOldITCbyBTMed" w:hAnsi="BerkeOldITCbyBTMed" w:cs="BerkeOldITCbyBTMed"/>
        </w:rPr>
        <w:t>somewhere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in your house. So you know you have the wherewithal to resolve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matter. But what do you say? You surely </w:t>
      </w:r>
      <w:r>
        <w:rPr>
          <w:rFonts w:ascii="BerkeOldITCbyBTMedIta" w:hAnsi="BerkeOldITCbyBTMedIta" w:cs="BerkeOldITCbyBTMedIta"/>
        </w:rPr>
        <w:t xml:space="preserve">won’t </w:t>
      </w:r>
      <w:r>
        <w:rPr>
          <w:rFonts w:ascii="BerkeOldITCbyBTMed" w:hAnsi="BerkeOldITCbyBTMed" w:cs="BerkeOldITCbyBTMed"/>
        </w:rPr>
        <w:t>say “Yes, I know what that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word means” and only then proceed to consult the dictionary. Yet this is</w:t>
      </w:r>
    </w:p>
    <w:p w:rsidR="00E55E05" w:rsidRDefault="00E55E05" w:rsidP="00E55E05">
      <w:pPr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precisely what usually happens when we are asked the time!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 easy dismissal of this discrepancy is, of course, to simply lay everything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at the accommodating feet of convention. When we answer that we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know the time, all we mean is that we have the information readily at hand.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to be sure, several cultural variants of the request exist. My wife, a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native Spanish speaker, might ask me “</w:t>
      </w:r>
      <w:r>
        <w:rPr>
          <w:rFonts w:ascii="BerkeOldITCbyBTMedIta" w:hAnsi="BerkeOldITCbyBTMedIta" w:cs="BerkeOldITCbyBTMedIta"/>
        </w:rPr>
        <w:t>Tienes hora?</w:t>
      </w:r>
      <w:r>
        <w:rPr>
          <w:rFonts w:ascii="BerkeOldITCbyBTMed" w:hAnsi="BerkeOldITCbyBTMed" w:cs="BerkeOldITCbyBTMed"/>
        </w:rPr>
        <w:t>” literally, “Have you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got the time?” with the emphasis on possession rather than knowledge. All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this notwithstanding, I think the ease with which we accept talk of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watch-bearer as one who actually knows—rather than one who can easily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Ita" w:hAnsi="BerkeOldITCbyBTMedIta" w:cs="BerkeOldITCbyBTMedIta"/>
        </w:rPr>
      </w:pPr>
      <w:r>
        <w:rPr>
          <w:rFonts w:ascii="BerkeOldITCbyBTMed" w:hAnsi="BerkeOldITCbyBTMed" w:cs="BerkeOldITCbyBTMed"/>
        </w:rPr>
        <w:t xml:space="preserve">find out—the time is suggestive. For the line between that which is </w:t>
      </w:r>
      <w:r>
        <w:rPr>
          <w:rFonts w:ascii="BerkeOldITCbyBTMedIta" w:hAnsi="BerkeOldITCbyBTMedIta" w:cs="BerkeOldITCbyBTMedIta"/>
        </w:rPr>
        <w:t>easily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Ita" w:hAnsi="BerkeOldITCbyBTMedIta" w:cs="BerkeOldITCbyBTMedIta"/>
        </w:rPr>
      </w:pPr>
      <w:r>
        <w:rPr>
          <w:rFonts w:ascii="BerkeOldITCbyBTMedIta" w:hAnsi="BerkeOldITCbyBTMedIta" w:cs="BerkeOldITCbyBTMedIta"/>
        </w:rPr>
        <w:t xml:space="preserve">and readily accessible </w:t>
      </w:r>
      <w:r>
        <w:rPr>
          <w:rFonts w:ascii="BerkeOldITCbyBTMed" w:hAnsi="BerkeOldITCbyBTMed" w:cs="BerkeOldITCbyBTMed"/>
        </w:rPr>
        <w:t xml:space="preserve">and that which should be counted as </w:t>
      </w:r>
      <w:r>
        <w:rPr>
          <w:rFonts w:ascii="BerkeOldITCbyBTMedIta" w:hAnsi="BerkeOldITCbyBTMedIta" w:cs="BerkeOldITCbyBTMedIta"/>
        </w:rPr>
        <w:t>part of the knowledge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Ita" w:hAnsi="BerkeOldITCbyBTMedIta" w:cs="BerkeOldITCbyBTMedIta"/>
        </w:rPr>
        <w:lastRenderedPageBreak/>
        <w:t xml:space="preserve">base </w:t>
      </w:r>
      <w:r>
        <w:rPr>
          <w:rFonts w:ascii="BerkeOldITCbyBTMed" w:hAnsi="BerkeOldITCbyBTMed" w:cs="BerkeOldITCbyBTMed"/>
        </w:rPr>
        <w:t>of an active intelligent system is slim and unstable indeed. It is so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slim and unstable, in fact, that it sometimes makes both social and scientific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sense to think of your individual knowledge as quite simply whatever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body of information and understanding is at your fingertips; whatever body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of information and understanding is right there, cheaply and easily available,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as and when needed.</w:t>
      </w:r>
      <w:r>
        <w:rPr>
          <w:rFonts w:ascii="BerkeOldITCbyBTMed" w:hAnsi="BerkeOldITCbyBTMed" w:cs="BerkeOldITCbyBTMed"/>
          <w:sz w:val="13"/>
          <w:szCs w:val="13"/>
        </w:rPr>
        <w:t xml:space="preserve"> </w:t>
      </w:r>
      <w:r>
        <w:rPr>
          <w:rFonts w:ascii="BerkeOldITCbyBTMed" w:hAnsi="BerkeOldITCbyBTMed" w:cs="BerkeOldITCbyBTMed"/>
        </w:rPr>
        <w:t>According to one diagnosis, then, you are telling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literal truth when you answer “yes” to the innocent-sounding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question “Do you know the time?” For you </w:t>
      </w:r>
      <w:r>
        <w:rPr>
          <w:rFonts w:ascii="BerkeOldITCbyBTMedIta" w:hAnsi="BerkeOldITCbyBTMedIta" w:cs="BerkeOldITCbyBTMedIta"/>
        </w:rPr>
        <w:t xml:space="preserve">do </w:t>
      </w:r>
      <w:r>
        <w:rPr>
          <w:rFonts w:ascii="BerkeOldITCbyBTMed" w:hAnsi="BerkeOldITCbyBTMed" w:cs="BerkeOldITCbyBTMed"/>
        </w:rPr>
        <w:t>know the time. It is just that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“you” that knows the time is no longer the bare biological organism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but the hybrid biotechnological system that now includes the wristwatch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as a proper part.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To make this just a little more palatable, consider the parallel case of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biological memory. Suppose I ask you whether you know the year of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first walk on the moon. You might answer “Yes, 1969.” In answering “yes,”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you do not mean to imply that this date was present to your conscious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awareness all along. You do not walk around all day mentally rehearsing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“1969,” “1969,” “1969.” Rather, your “yes” signifies that the information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was indeed there, poised for easy access and retrieval from your biological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memory. The informational poise of the wristwatch (and, as we’ll later see,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of the visual scene in front of your own eyes) may sometimes be relevantly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similar. Perhaps, then, you may be properly said to know the time even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before you actually look at your watch—just as you can be said to know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date of the moon landing even before actually retrieving it from your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biological memory.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If this way of looking at things still strikes you as outlandish, you are in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good company. Most people find such a diagnosis strange, unnecessary and (thus) unconvincing. But this reaction is unprincipled. It rests not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upon any deep fact about the nature of knowledge or the preset bounds of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persons but on a simple prejudice: the contemporary version, as it happens,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of the old and discredited idea of the mind as a special kind of spiritstuff.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The idea of “mind as spirit-stuff” is no longer scientifically respectable.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Instead, mind is seen as the working of a purely physical device. In identifying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that physical device solely with the biological brain, we again make a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leap of faith, depicting the biological brain itself as the sole and essentially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Ita" w:hAnsi="BerkeOldITCbyBTMedIta" w:cs="BerkeOldITCbyBTMedIta"/>
        </w:rPr>
        <w:t xml:space="preserve">insulated </w:t>
      </w:r>
      <w:r>
        <w:rPr>
          <w:rFonts w:ascii="BerkeOldITCbyBTMed" w:hAnsi="BerkeOldITCbyBTMed" w:cs="BerkeOldITCbyBTMed"/>
        </w:rPr>
        <w:t>engine of mind and reason. This conception is the old idea of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special spirit-stuff in modern dress. A thoroughgoing physicalism should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allow mind to determine—by its characteristic actions, capacities, and effects—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its own place and location in the natural order. We should not, at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any rate, simply assume that it is correct to identify and locate the individual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Ita" w:hAnsi="BerkeOldITCbyBTMedIta" w:cs="BerkeOldITCbyBTMedIta"/>
        </w:rPr>
        <w:t xml:space="preserve">thinking system </w:t>
      </w:r>
      <w:r>
        <w:rPr>
          <w:rFonts w:ascii="BerkeOldITCbyBTMed" w:hAnsi="BerkeOldITCbyBTMed" w:cs="BerkeOldITCbyBTMed"/>
        </w:rPr>
        <w:t xml:space="preserve">by reference to the merely </w:t>
      </w:r>
      <w:r>
        <w:rPr>
          <w:rFonts w:ascii="BerkeOldITCbyBTMedIta" w:hAnsi="BerkeOldITCbyBTMedIta" w:cs="BerkeOldITCbyBTMedIta"/>
        </w:rPr>
        <w:t xml:space="preserve">metabolic </w:t>
      </w:r>
      <w:r>
        <w:rPr>
          <w:rFonts w:ascii="BerkeOldITCbyBTMed" w:hAnsi="BerkeOldITCbyBTMed" w:cs="BerkeOldITCbyBTMed"/>
        </w:rPr>
        <w:t>frontiers of skin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and skull.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We can, in any event, take away two somewhat less contentious lessons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from our discussion of modern timekeeping. The first is that transparent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(nonopaque, human-centered) technology is by no means a new invention.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It is with us already in a wide variety of old technologies, including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pen, paper, books, watches, written words, numerical notations, and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multitude of almost-invisible props and aids that scaffold and empower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our daily thought and action.</w:t>
      </w:r>
      <w:r>
        <w:rPr>
          <w:rFonts w:ascii="BerkeOldITCbyBTMed" w:hAnsi="BerkeOldITCbyBTMed" w:cs="BerkeOldITCbyBTMed"/>
          <w:sz w:val="13"/>
          <w:szCs w:val="13"/>
        </w:rPr>
        <w:t xml:space="preserve"> </w:t>
      </w:r>
      <w:r>
        <w:rPr>
          <w:rFonts w:ascii="BerkeOldITCbyBTMed" w:hAnsi="BerkeOldITCbyBTMed" w:cs="BerkeOldITCbyBTMed"/>
        </w:rPr>
        <w:t>The second is that the passage to transparency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often involves a delicate and temporally extended process of co-evolution.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Certainly, the technology must change in order to become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increasingly easy to use, access, and purchase; but this is only half the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lastRenderedPageBreak/>
        <w:t>story because at the same time, elements of culture, education, and society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 xml:space="preserve">must change also. In the case at hand, people had to learn to </w:t>
      </w:r>
      <w:r>
        <w:rPr>
          <w:rFonts w:ascii="BerkeOldITCbyBTMedIta" w:hAnsi="BerkeOldITCbyBTMedIta" w:cs="BerkeOldITCbyBTMedIta"/>
        </w:rPr>
        <w:t xml:space="preserve">value </w:t>
      </w:r>
      <w:r>
        <w:rPr>
          <w:rFonts w:ascii="BerkeOldITCbyBTMed" w:hAnsi="BerkeOldITCbyBTMed" w:cs="BerkeOldITCbyBTMed"/>
        </w:rPr>
        <w:t>time</w:t>
      </w:r>
    </w:p>
    <w:p w:rsidR="00E55E05" w:rsidRDefault="00E55E05" w:rsidP="00E55E05">
      <w:pPr>
        <w:autoSpaceDE w:val="0"/>
        <w:autoSpaceDN w:val="0"/>
        <w:adjustRightInd w:val="0"/>
        <w:spacing w:after="0" w:line="240" w:lineRule="auto"/>
        <w:rPr>
          <w:rFonts w:ascii="BerkeOldITCbyBTMed" w:hAnsi="BerkeOldITCbyBTMed" w:cs="BerkeOldITCbyBTMed"/>
        </w:rPr>
      </w:pPr>
      <w:r>
        <w:rPr>
          <w:rFonts w:ascii="BerkeOldITCbyBTMed" w:hAnsi="BerkeOldITCbyBTMed" w:cs="BerkeOldITCbyBTMed"/>
        </w:rPr>
        <w:t>discipline as opposed to mere time obedience, and this transition itself,</w:t>
      </w:r>
    </w:p>
    <w:p w:rsidR="00E55E05" w:rsidRDefault="00E55E05" w:rsidP="00E55E05">
      <w:r>
        <w:rPr>
          <w:rFonts w:ascii="BerkeOldITCbyBTMed" w:hAnsi="BerkeOldITCbyBTMed" w:cs="BerkeOldITCbyBTMed"/>
        </w:rPr>
        <w:t>Landes tells us, took over a hundred years to fully accomplish.</w:t>
      </w:r>
    </w:p>
    <w:sectPr w:rsidR="00E55E05" w:rsidSect="00B1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rkeOldITCbyBTM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OldITCbyBT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OldITCbyBTMed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55E05"/>
    <w:rsid w:val="001F2942"/>
    <w:rsid w:val="002A24A1"/>
    <w:rsid w:val="00302595"/>
    <w:rsid w:val="00685AB4"/>
    <w:rsid w:val="00B13C1B"/>
    <w:rsid w:val="00E55E05"/>
    <w:rsid w:val="00E7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1493</Words>
  <Characters>8515</Characters>
  <Application>Microsoft Office Word</Application>
  <DocSecurity>0</DocSecurity>
  <Lines>70</Lines>
  <Paragraphs>19</Paragraphs>
  <ScaleCrop>false</ScaleCrop>
  <Company>Cisco</Company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3</cp:revision>
  <dcterms:created xsi:type="dcterms:W3CDTF">2012-04-08T23:37:00Z</dcterms:created>
  <dcterms:modified xsi:type="dcterms:W3CDTF">2012-04-08T23:46:00Z</dcterms:modified>
</cp:coreProperties>
</file>