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firstLineChars="200"/>
        <w:jc w:val="center"/>
        <w:rPr>
          <w:rFonts w:ascii="仿宋" w:hAnsi="仿宋" w:eastAsia="仿宋"/>
          <w:color w:val="000000"/>
          <w:szCs w:val="21"/>
        </w:rPr>
      </w:pPr>
      <w:bookmarkStart w:id="43" w:name="_GoBack"/>
      <w:bookmarkEnd w:id="43"/>
    </w:p>
    <w:p>
      <w:pPr>
        <w:ind w:firstLine="420" w:firstLineChars="200"/>
        <w:jc w:val="center"/>
        <w:rPr>
          <w:rFonts w:ascii="仿宋" w:hAnsi="仿宋" w:eastAsia="仿宋"/>
          <w:color w:val="000000"/>
          <w:szCs w:val="21"/>
        </w:rPr>
      </w:pPr>
    </w:p>
    <w:p>
      <w:pPr>
        <w:spacing w:before="120" w:after="120"/>
        <w:ind w:firstLine="880" w:firstLineChars="200"/>
        <w:jc w:val="center"/>
        <w:rPr>
          <w:rFonts w:ascii="仿宋" w:hAnsi="仿宋" w:eastAsia="仿宋"/>
          <w:color w:val="000000"/>
          <w:sz w:val="44"/>
          <w:szCs w:val="44"/>
        </w:rPr>
      </w:pPr>
    </w:p>
    <w:p>
      <w:pPr>
        <w:ind w:firstLine="1004" w:firstLineChars="200"/>
        <w:jc w:val="center"/>
        <w:rPr>
          <w:rFonts w:hint="eastAsia" w:ascii="宋体" w:hAnsi="宋体" w:eastAsia="宋体" w:cs="宋体"/>
          <w:b/>
          <w:bCs/>
          <w:color w:val="000000"/>
          <w:sz w:val="50"/>
          <w:szCs w:val="50"/>
          <w:lang w:val="en-US" w:eastAsia="zh-CN"/>
        </w:rPr>
      </w:pPr>
      <w:r>
        <w:rPr>
          <w:rFonts w:hint="eastAsia" w:ascii="宋体" w:hAnsi="宋体" w:eastAsia="宋体" w:cs="宋体"/>
          <w:b/>
          <w:bCs/>
          <w:color w:val="000000"/>
          <w:sz w:val="50"/>
          <w:szCs w:val="50"/>
          <w:lang w:val="en-US" w:eastAsia="zh-CN"/>
        </w:rPr>
        <w:t>企业保险管理系统</w:t>
      </w:r>
    </w:p>
    <w:p>
      <w:pPr>
        <w:ind w:firstLine="1004" w:firstLineChars="200"/>
        <w:jc w:val="center"/>
        <w:rPr>
          <w:rFonts w:hint="eastAsia" w:ascii="宋体" w:hAnsi="宋体" w:eastAsia="宋体" w:cs="宋体"/>
          <w:b/>
          <w:bCs/>
          <w:color w:val="000000"/>
          <w:sz w:val="50"/>
          <w:szCs w:val="50"/>
        </w:rPr>
      </w:pPr>
      <w:r>
        <w:rPr>
          <w:rFonts w:hint="eastAsia" w:ascii="宋体" w:hAnsi="宋体" w:eastAsia="宋体" w:cs="宋体"/>
          <w:b/>
          <w:bCs/>
          <w:color w:val="000000"/>
          <w:sz w:val="50"/>
          <w:szCs w:val="50"/>
        </w:rPr>
        <w:t>详细设计说明书</w:t>
      </w:r>
    </w:p>
    <w:p>
      <w:pPr>
        <w:ind w:firstLine="1000" w:firstLineChars="200"/>
        <w:jc w:val="center"/>
        <w:rPr>
          <w:rFonts w:hint="eastAsia" w:ascii="宋体" w:hAnsi="宋体" w:eastAsia="宋体" w:cs="宋体"/>
          <w:color w:val="000000"/>
          <w:sz w:val="50"/>
          <w:szCs w:val="50"/>
        </w:rPr>
      </w:pPr>
    </w:p>
    <w:p>
      <w:pPr>
        <w:ind w:firstLine="1000" w:firstLineChars="200"/>
        <w:jc w:val="center"/>
        <w:rPr>
          <w:rFonts w:hint="eastAsia" w:ascii="宋体" w:hAnsi="宋体" w:eastAsia="宋体" w:cs="宋体"/>
          <w:color w:val="000000"/>
          <w:sz w:val="50"/>
          <w:szCs w:val="50"/>
        </w:rPr>
      </w:pPr>
    </w:p>
    <w:p>
      <w:pPr>
        <w:ind w:firstLine="420" w:firstLineChars="200"/>
        <w:jc w:val="center"/>
        <w:rPr>
          <w:rFonts w:ascii="仿宋" w:hAnsi="仿宋" w:eastAsia="仿宋"/>
          <w:color w:val="000000"/>
          <w:szCs w:val="21"/>
        </w:rPr>
      </w:pPr>
    </w:p>
    <w:p>
      <w:pPr>
        <w:ind w:firstLine="420" w:firstLineChars="200"/>
        <w:jc w:val="center"/>
        <w:rPr>
          <w:rFonts w:ascii="仿宋" w:hAnsi="仿宋" w:eastAsia="仿宋"/>
          <w:color w:val="000000"/>
          <w:szCs w:val="21"/>
        </w:rPr>
      </w:pPr>
    </w:p>
    <w:p>
      <w:pPr>
        <w:ind w:firstLine="420" w:firstLineChars="200"/>
        <w:jc w:val="center"/>
        <w:rPr>
          <w:rFonts w:ascii="仿宋" w:hAnsi="仿宋" w:eastAsia="仿宋"/>
          <w:color w:val="000000"/>
          <w:szCs w:val="21"/>
        </w:rPr>
      </w:pPr>
    </w:p>
    <w:p>
      <w:pPr>
        <w:spacing w:before="120" w:after="120"/>
        <w:ind w:firstLine="560" w:firstLineChars="200"/>
        <w:rPr>
          <w:rFonts w:ascii="仿宋" w:hAnsi="仿宋" w:eastAsia="仿宋"/>
          <w:color w:val="000000"/>
          <w:sz w:val="28"/>
          <w:szCs w:val="28"/>
        </w:rPr>
      </w:pPr>
    </w:p>
    <w:p>
      <w:pPr>
        <w:ind w:firstLine="420" w:firstLineChars="200"/>
        <w:rPr>
          <w:rFonts w:ascii="黑体" w:hAnsi="黑体" w:eastAsia="黑体"/>
          <w:b/>
          <w:bCs/>
          <w:color w:val="000000"/>
          <w:szCs w:val="21"/>
        </w:rPr>
      </w:pPr>
      <w:r>
        <w:rPr>
          <w:rFonts w:ascii="微软雅黑" w:hAnsi="微软雅黑" w:eastAsia="微软雅黑"/>
          <w:color w:val="000000"/>
          <w:szCs w:val="21"/>
        </w:rPr>
        <w:br w:type="page"/>
      </w:r>
      <w:r>
        <w:rPr>
          <w:rFonts w:ascii="黑体" w:hAnsi="黑体" w:eastAsia="黑体"/>
          <w:b/>
          <w:bCs/>
          <w:color w:val="000000"/>
          <w:szCs w:val="21"/>
        </w:rPr>
        <w:t>文档描述</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20" w:type="dxa"/>
          <w:left w:w="60" w:type="dxa"/>
          <w:bottom w:w="120" w:type="dxa"/>
          <w:right w:w="60" w:type="dxa"/>
        </w:tblCellMar>
      </w:tblPr>
      <w:tblGrid>
        <w:gridCol w:w="1485"/>
        <w:gridCol w:w="83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270" w:hRule="atLeast"/>
        </w:trPr>
        <w:tc>
          <w:tcPr>
            <w:tcW w:w="1485" w:type="dxa"/>
            <w:tcBorders>
              <w:top w:val="single" w:color="000000" w:sz="8" w:space="0"/>
              <w:left w:val="single" w:color="000000" w:sz="8" w:space="0"/>
              <w:bottom w:val="single" w:color="000000" w:sz="8" w:space="0"/>
              <w:right w:val="single" w:color="000000" w:sz="8" w:space="0"/>
            </w:tcBorders>
          </w:tcPr>
          <w:p>
            <w:pPr>
              <w:spacing w:before="120" w:after="120"/>
              <w:rPr>
                <w:rFonts w:ascii="仿宋" w:hAnsi="仿宋" w:eastAsia="仿宋"/>
                <w:b/>
                <w:bCs/>
                <w:color w:val="000000"/>
                <w:szCs w:val="21"/>
              </w:rPr>
            </w:pPr>
            <w:r>
              <w:rPr>
                <w:rFonts w:ascii="仿宋" w:hAnsi="仿宋" w:eastAsia="仿宋"/>
                <w:b/>
                <w:bCs/>
                <w:color w:val="000000"/>
                <w:szCs w:val="21"/>
              </w:rPr>
              <w:t>文档名称</w:t>
            </w:r>
          </w:p>
        </w:tc>
        <w:tc>
          <w:tcPr>
            <w:tcW w:w="8355" w:type="dxa"/>
            <w:tcBorders>
              <w:top w:val="single" w:color="000000" w:sz="8" w:space="0"/>
              <w:left w:val="single" w:color="000000" w:sz="8" w:space="0"/>
              <w:bottom w:val="single" w:color="000000" w:sz="8" w:space="0"/>
              <w:right w:val="single" w:color="000000" w:sz="8" w:space="0"/>
            </w:tcBorders>
          </w:tcPr>
          <w:p>
            <w:pPr>
              <w:spacing w:before="120" w:after="120"/>
              <w:rPr>
                <w:rFonts w:ascii="仿宋" w:hAnsi="仿宋" w:eastAsia="仿宋"/>
                <w:color w:val="000000"/>
                <w:szCs w:val="21"/>
              </w:rPr>
            </w:pPr>
            <w:r>
              <w:rPr>
                <w:rFonts w:ascii="仿宋" w:hAnsi="仿宋" w:eastAsia="仿宋"/>
                <w:color w:val="000000"/>
                <w:szCs w:val="21"/>
              </w:rPr>
              <w:t>详细设计说明书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0" w:hRule="atLeast"/>
        </w:trPr>
        <w:tc>
          <w:tcPr>
            <w:tcW w:w="1485" w:type="dxa"/>
            <w:tcBorders>
              <w:top w:val="single" w:color="000000" w:sz="8" w:space="0"/>
              <w:left w:val="single" w:color="000000" w:sz="8" w:space="0"/>
              <w:bottom w:val="single" w:color="000000" w:sz="8" w:space="0"/>
              <w:right w:val="single" w:color="000000" w:sz="8" w:space="0"/>
            </w:tcBorders>
          </w:tcPr>
          <w:p>
            <w:pPr>
              <w:spacing w:before="120" w:after="120"/>
              <w:rPr>
                <w:rFonts w:ascii="仿宋" w:hAnsi="仿宋" w:eastAsia="仿宋"/>
                <w:b/>
                <w:bCs/>
                <w:color w:val="000000"/>
                <w:szCs w:val="21"/>
              </w:rPr>
            </w:pPr>
            <w:r>
              <w:rPr>
                <w:rFonts w:ascii="仿宋" w:hAnsi="仿宋" w:eastAsia="仿宋"/>
                <w:b/>
                <w:bCs/>
                <w:color w:val="000000"/>
                <w:szCs w:val="21"/>
              </w:rPr>
              <w:t>文档编号</w:t>
            </w:r>
          </w:p>
        </w:tc>
        <w:tc>
          <w:tcPr>
            <w:tcW w:w="8355" w:type="dxa"/>
            <w:tcBorders>
              <w:top w:val="single" w:color="000000" w:sz="8" w:space="0"/>
              <w:left w:val="single" w:color="000000" w:sz="8" w:space="0"/>
              <w:bottom w:val="single" w:color="000000" w:sz="8" w:space="0"/>
              <w:right w:val="single" w:color="000000" w:sz="8" w:space="0"/>
            </w:tcBorders>
          </w:tcPr>
          <w:p>
            <w:pPr>
              <w:spacing w:before="120" w:after="120"/>
              <w:rPr>
                <w:rFonts w:ascii="仿宋" w:hAnsi="仿宋" w:eastAsia="仿宋"/>
                <w:color w:val="000000"/>
                <w:szCs w:val="21"/>
              </w:rPr>
            </w:pPr>
            <w:r>
              <w:rPr>
                <w:rFonts w:ascii="仿宋" w:hAnsi="仿宋" w:eastAsia="仿宋"/>
                <w:color w:val="000000"/>
                <w:szCs w:val="21"/>
              </w:rPr>
              <w:t>详细设计说明书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270" w:hRule="atLeast"/>
        </w:trPr>
        <w:tc>
          <w:tcPr>
            <w:tcW w:w="1485" w:type="dxa"/>
            <w:tcBorders>
              <w:top w:val="single" w:color="000000" w:sz="8" w:space="0"/>
              <w:left w:val="single" w:color="000000" w:sz="8" w:space="0"/>
              <w:bottom w:val="single" w:color="000000" w:sz="8" w:space="0"/>
              <w:right w:val="single" w:color="000000" w:sz="8" w:space="0"/>
            </w:tcBorders>
          </w:tcPr>
          <w:p>
            <w:pPr>
              <w:spacing w:before="120" w:after="120"/>
              <w:rPr>
                <w:rFonts w:ascii="仿宋" w:hAnsi="仿宋" w:eastAsia="仿宋"/>
                <w:b/>
                <w:bCs/>
                <w:color w:val="000000"/>
                <w:szCs w:val="21"/>
              </w:rPr>
            </w:pPr>
            <w:r>
              <w:rPr>
                <w:rFonts w:ascii="仿宋" w:hAnsi="仿宋" w:eastAsia="仿宋"/>
                <w:b/>
                <w:bCs/>
                <w:color w:val="000000"/>
                <w:szCs w:val="21"/>
              </w:rPr>
              <w:t>当前版本</w:t>
            </w:r>
          </w:p>
        </w:tc>
        <w:tc>
          <w:tcPr>
            <w:tcW w:w="8355" w:type="dxa"/>
            <w:tcBorders>
              <w:top w:val="single" w:color="000000" w:sz="8" w:space="0"/>
              <w:left w:val="single" w:color="000000" w:sz="8" w:space="0"/>
              <w:bottom w:val="single" w:color="000000" w:sz="8" w:space="0"/>
              <w:right w:val="single" w:color="000000" w:sz="8" w:space="0"/>
            </w:tcBorders>
            <w:vAlign w:val="center"/>
          </w:tcPr>
          <w:p>
            <w:pPr>
              <w:spacing w:before="120" w:after="120"/>
              <w:rPr>
                <w:rFonts w:ascii="Times New Roman" w:hAnsi="Times New Roman" w:eastAsia="Times New Roman"/>
                <w:color w:val="000000"/>
                <w:szCs w:val="21"/>
              </w:rPr>
            </w:pPr>
            <w:r>
              <w:rPr>
                <w:rFonts w:ascii="Times New Roman" w:hAnsi="Times New Roman" w:eastAsia="Times New Roman"/>
                <w:color w:val="000000"/>
                <w:szCs w:val="21"/>
              </w:rPr>
              <w:t>V1.0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270" w:hRule="atLeast"/>
        </w:trPr>
        <w:tc>
          <w:tcPr>
            <w:tcW w:w="1485" w:type="dxa"/>
            <w:tcBorders>
              <w:top w:val="single" w:color="000000" w:sz="8" w:space="0"/>
              <w:left w:val="single" w:color="000000" w:sz="8" w:space="0"/>
              <w:bottom w:val="single" w:color="000000" w:sz="8" w:space="0"/>
              <w:right w:val="single" w:color="000000" w:sz="8" w:space="0"/>
            </w:tcBorders>
          </w:tcPr>
          <w:p>
            <w:pPr>
              <w:spacing w:before="120" w:after="120"/>
              <w:rPr>
                <w:rFonts w:ascii="仿宋" w:hAnsi="仿宋" w:eastAsia="仿宋"/>
                <w:b/>
                <w:bCs/>
                <w:color w:val="000000"/>
                <w:szCs w:val="21"/>
              </w:rPr>
            </w:pPr>
            <w:r>
              <w:rPr>
                <w:rFonts w:ascii="仿宋" w:hAnsi="仿宋" w:eastAsia="仿宋"/>
                <w:b/>
                <w:bCs/>
                <w:color w:val="000000"/>
                <w:szCs w:val="21"/>
              </w:rPr>
              <w:t>标准分级</w:t>
            </w:r>
          </w:p>
        </w:tc>
        <w:tc>
          <w:tcPr>
            <w:tcW w:w="8355" w:type="dxa"/>
            <w:tcBorders>
              <w:top w:val="single" w:color="000000" w:sz="8" w:space="0"/>
              <w:left w:val="single" w:color="000000" w:sz="8" w:space="0"/>
              <w:bottom w:val="single" w:color="000000" w:sz="8" w:space="0"/>
              <w:right w:val="single" w:color="000000" w:sz="8" w:space="0"/>
            </w:tcBorders>
            <w:vAlign w:val="center"/>
          </w:tcPr>
          <w:p>
            <w:pPr>
              <w:spacing w:before="120" w:after="120"/>
              <w:rPr>
                <w:rFonts w:ascii="Times New Roman" w:hAnsi="Times New Roman" w:eastAsia="Times New Roman"/>
                <w:color w:val="000000"/>
                <w:szCs w:val="21"/>
              </w:rPr>
            </w:pPr>
            <w:r>
              <w:rPr>
                <w:rFonts w:ascii="Times New Roman" w:hAnsi="Times New Roman" w:eastAsia="Times New Roman"/>
                <w:color w:val="000000"/>
                <w:szCs w:val="21"/>
              </w:rPr>
              <w:t>C1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270" w:hRule="atLeast"/>
        </w:trPr>
        <w:tc>
          <w:tcPr>
            <w:tcW w:w="1485" w:type="dxa"/>
            <w:tcBorders>
              <w:top w:val="single" w:color="000000" w:sz="8" w:space="0"/>
              <w:left w:val="single" w:color="000000" w:sz="8" w:space="0"/>
              <w:bottom w:val="single" w:color="000000" w:sz="8" w:space="0"/>
              <w:right w:val="single" w:color="000000" w:sz="8" w:space="0"/>
            </w:tcBorders>
          </w:tcPr>
          <w:p>
            <w:pPr>
              <w:spacing w:before="120" w:after="120"/>
              <w:rPr>
                <w:rFonts w:ascii="仿宋" w:hAnsi="仿宋" w:eastAsia="仿宋"/>
                <w:b/>
                <w:bCs/>
                <w:color w:val="000000"/>
                <w:szCs w:val="21"/>
              </w:rPr>
            </w:pPr>
            <w:r>
              <w:rPr>
                <w:rFonts w:ascii="仿宋" w:hAnsi="仿宋" w:eastAsia="仿宋"/>
                <w:b/>
                <w:bCs/>
                <w:color w:val="000000"/>
                <w:szCs w:val="21"/>
              </w:rPr>
              <w:t>内容简介</w:t>
            </w:r>
          </w:p>
        </w:tc>
        <w:tc>
          <w:tcPr>
            <w:tcW w:w="8355" w:type="dxa"/>
            <w:tcBorders>
              <w:top w:val="single" w:color="000000" w:sz="8" w:space="0"/>
              <w:left w:val="single" w:color="000000" w:sz="8" w:space="0"/>
              <w:bottom w:val="single" w:color="000000" w:sz="8" w:space="0"/>
              <w:right w:val="single" w:color="000000" w:sz="8" w:space="0"/>
            </w:tcBorders>
          </w:tcPr>
          <w:p>
            <w:pPr>
              <w:spacing w:before="120" w:after="120"/>
              <w:rPr>
                <w:rFonts w:ascii="仿宋" w:hAnsi="仿宋" w:eastAsia="仿宋"/>
                <w:color w:val="000000"/>
                <w:szCs w:val="21"/>
              </w:rPr>
            </w:pPr>
            <w:r>
              <w:rPr>
                <w:rFonts w:ascii="仿宋" w:hAnsi="仿宋" w:eastAsia="仿宋"/>
                <w:color w:val="000000"/>
                <w:szCs w:val="21"/>
              </w:rPr>
              <w:t>路桥企业保险管理详细设计说明书</w:t>
            </w:r>
          </w:p>
        </w:tc>
      </w:tr>
    </w:tbl>
    <w:p>
      <w:pPr>
        <w:spacing w:before="120" w:after="120"/>
        <w:ind w:firstLine="422" w:firstLineChars="200"/>
        <w:rPr>
          <w:rFonts w:ascii="黑体" w:hAnsi="黑体" w:eastAsia="黑体"/>
          <w:b/>
          <w:bCs/>
          <w:color w:val="000000"/>
          <w:szCs w:val="21"/>
        </w:rPr>
      </w:pPr>
      <w:r>
        <w:rPr>
          <w:rFonts w:ascii="黑体" w:hAnsi="黑体" w:eastAsia="黑体"/>
          <w:b/>
          <w:bCs/>
          <w:color w:val="000000"/>
          <w:szCs w:val="21"/>
        </w:rPr>
        <w:t>文档变更</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20" w:type="dxa"/>
          <w:left w:w="60" w:type="dxa"/>
          <w:bottom w:w="120" w:type="dxa"/>
          <w:right w:w="60" w:type="dxa"/>
        </w:tblCellMar>
      </w:tblPr>
      <w:tblGrid>
        <w:gridCol w:w="1545"/>
        <w:gridCol w:w="1050"/>
        <w:gridCol w:w="2970"/>
        <w:gridCol w:w="1560"/>
        <w:gridCol w:w="16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1545" w:type="dxa"/>
            <w:tcBorders>
              <w:top w:val="single" w:color="000000" w:sz="8" w:space="0"/>
              <w:left w:val="single" w:color="000000" w:sz="8" w:space="0"/>
              <w:bottom w:val="single" w:color="000000" w:sz="8" w:space="0"/>
              <w:right w:val="single" w:color="000000" w:sz="8" w:space="0"/>
            </w:tcBorders>
          </w:tcPr>
          <w:p>
            <w:pPr>
              <w:spacing w:before="120" w:after="120"/>
              <w:ind w:firstLine="198" w:firstLineChars="94"/>
              <w:rPr>
                <w:rFonts w:ascii="仿宋" w:hAnsi="仿宋" w:eastAsia="仿宋"/>
                <w:b/>
                <w:bCs/>
                <w:color w:val="000000"/>
                <w:szCs w:val="21"/>
              </w:rPr>
            </w:pPr>
            <w:r>
              <w:rPr>
                <w:rFonts w:ascii="仿宋" w:hAnsi="仿宋" w:eastAsia="仿宋"/>
                <w:b/>
                <w:bCs/>
                <w:color w:val="000000"/>
                <w:szCs w:val="21"/>
              </w:rPr>
              <w:t>日期</w:t>
            </w:r>
          </w:p>
        </w:tc>
        <w:tc>
          <w:tcPr>
            <w:tcW w:w="1050" w:type="dxa"/>
            <w:tcBorders>
              <w:top w:val="single" w:color="000000" w:sz="8" w:space="0"/>
              <w:left w:val="single" w:color="000000" w:sz="8" w:space="0"/>
              <w:bottom w:val="single" w:color="000000" w:sz="8" w:space="0"/>
              <w:right w:val="single" w:color="000000" w:sz="8" w:space="0"/>
            </w:tcBorders>
          </w:tcPr>
          <w:p>
            <w:pPr>
              <w:spacing w:before="120" w:after="120"/>
              <w:jc w:val="center"/>
              <w:rPr>
                <w:rFonts w:ascii="仿宋" w:hAnsi="仿宋" w:eastAsia="仿宋"/>
                <w:b/>
                <w:bCs/>
                <w:color w:val="000000"/>
                <w:szCs w:val="21"/>
              </w:rPr>
            </w:pPr>
            <w:r>
              <w:rPr>
                <w:rFonts w:ascii="仿宋" w:hAnsi="仿宋" w:eastAsia="仿宋"/>
                <w:b/>
                <w:bCs/>
                <w:color w:val="000000"/>
                <w:szCs w:val="21"/>
              </w:rPr>
              <w:t>版本</w:t>
            </w:r>
          </w:p>
        </w:tc>
        <w:tc>
          <w:tcPr>
            <w:tcW w:w="2970" w:type="dxa"/>
            <w:tcBorders>
              <w:top w:val="single" w:color="000000" w:sz="8" w:space="0"/>
              <w:left w:val="single" w:color="000000" w:sz="8" w:space="0"/>
              <w:bottom w:val="single" w:color="000000" w:sz="8" w:space="0"/>
              <w:right w:val="single" w:color="000000" w:sz="8" w:space="0"/>
            </w:tcBorders>
          </w:tcPr>
          <w:p>
            <w:pPr>
              <w:spacing w:before="120" w:after="120"/>
              <w:ind w:firstLine="198" w:firstLineChars="94"/>
              <w:jc w:val="center"/>
              <w:rPr>
                <w:rFonts w:ascii="仿宋" w:hAnsi="仿宋" w:eastAsia="仿宋"/>
                <w:b/>
                <w:bCs/>
                <w:color w:val="000000"/>
                <w:szCs w:val="21"/>
              </w:rPr>
            </w:pPr>
            <w:r>
              <w:rPr>
                <w:rFonts w:ascii="仿宋" w:hAnsi="仿宋" w:eastAsia="仿宋"/>
                <w:b/>
                <w:bCs/>
                <w:color w:val="000000"/>
                <w:szCs w:val="21"/>
              </w:rPr>
              <w:t>说明</w:t>
            </w:r>
          </w:p>
        </w:tc>
        <w:tc>
          <w:tcPr>
            <w:tcW w:w="1560" w:type="dxa"/>
            <w:tcBorders>
              <w:top w:val="single" w:color="000000" w:sz="8" w:space="0"/>
              <w:left w:val="single" w:color="000000" w:sz="8" w:space="0"/>
              <w:bottom w:val="single" w:color="000000" w:sz="8" w:space="0"/>
              <w:right w:val="single" w:color="000000" w:sz="8" w:space="0"/>
            </w:tcBorders>
          </w:tcPr>
          <w:p>
            <w:pPr>
              <w:spacing w:before="120" w:after="120"/>
              <w:ind w:firstLine="198" w:firstLineChars="94"/>
              <w:jc w:val="center"/>
              <w:rPr>
                <w:rFonts w:ascii="仿宋" w:hAnsi="仿宋" w:eastAsia="仿宋"/>
                <w:b/>
                <w:bCs/>
                <w:color w:val="000000"/>
                <w:szCs w:val="21"/>
              </w:rPr>
            </w:pPr>
            <w:r>
              <w:rPr>
                <w:rFonts w:ascii="仿宋" w:hAnsi="仿宋" w:eastAsia="仿宋"/>
                <w:b/>
                <w:bCs/>
                <w:color w:val="000000"/>
                <w:szCs w:val="21"/>
              </w:rPr>
              <w:t>作者</w:t>
            </w:r>
          </w:p>
        </w:tc>
        <w:tc>
          <w:tcPr>
            <w:tcW w:w="1605" w:type="dxa"/>
            <w:tcBorders>
              <w:top w:val="single" w:color="000000" w:sz="8" w:space="0"/>
              <w:left w:val="single" w:color="000000" w:sz="8" w:space="0"/>
              <w:bottom w:val="single" w:color="000000" w:sz="8" w:space="0"/>
              <w:right w:val="single" w:color="000000" w:sz="8" w:space="0"/>
            </w:tcBorders>
          </w:tcPr>
          <w:p>
            <w:pPr>
              <w:spacing w:before="120" w:after="120"/>
              <w:ind w:firstLine="198" w:firstLineChars="94"/>
              <w:jc w:val="center"/>
              <w:rPr>
                <w:rFonts w:ascii="仿宋" w:hAnsi="仿宋" w:eastAsia="仿宋"/>
                <w:b/>
                <w:bCs/>
                <w:color w:val="000000"/>
                <w:szCs w:val="21"/>
              </w:rPr>
            </w:pPr>
            <w:r>
              <w:rPr>
                <w:rFonts w:ascii="仿宋" w:hAnsi="仿宋" w:eastAsia="仿宋"/>
                <w:b/>
                <w:bCs/>
                <w:color w:val="000000"/>
                <w:szCs w:val="21"/>
              </w:rPr>
              <w:t>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1545" w:type="dxa"/>
            <w:tcBorders>
              <w:top w:val="single" w:color="000000" w:sz="8" w:space="0"/>
              <w:left w:val="single" w:color="000000" w:sz="8" w:space="0"/>
              <w:bottom w:val="single" w:color="000000" w:sz="8" w:space="0"/>
              <w:right w:val="single" w:color="000000" w:sz="8" w:space="0"/>
            </w:tcBorders>
          </w:tcPr>
          <w:p>
            <w:pPr>
              <w:spacing w:before="120" w:after="120"/>
              <w:rPr>
                <w:rFonts w:hint="default" w:ascii="仿宋" w:hAnsi="仿宋" w:eastAsia="仿宋"/>
                <w:color w:val="000000"/>
                <w:szCs w:val="21"/>
                <w:lang w:val="en-US" w:eastAsia="zh-CN"/>
              </w:rPr>
            </w:pPr>
            <w:r>
              <w:rPr>
                <w:rFonts w:ascii="仿宋" w:hAnsi="仿宋" w:eastAsia="仿宋"/>
                <w:color w:val="000000"/>
                <w:szCs w:val="21"/>
              </w:rPr>
              <w:t>2021-</w:t>
            </w:r>
            <w:r>
              <w:rPr>
                <w:rFonts w:hint="eastAsia" w:ascii="仿宋" w:hAnsi="仿宋" w:eastAsia="仿宋"/>
                <w:color w:val="000000"/>
                <w:szCs w:val="21"/>
                <w:lang w:val="en-US" w:eastAsia="zh-CN"/>
              </w:rPr>
              <w:t>6</w:t>
            </w:r>
            <w:r>
              <w:rPr>
                <w:rFonts w:ascii="仿宋" w:hAnsi="仿宋" w:eastAsia="仿宋"/>
                <w:color w:val="000000"/>
                <w:szCs w:val="21"/>
              </w:rPr>
              <w:t>-</w:t>
            </w:r>
            <w:r>
              <w:rPr>
                <w:rFonts w:hint="eastAsia" w:ascii="仿宋" w:hAnsi="仿宋" w:eastAsia="仿宋"/>
                <w:color w:val="000000"/>
                <w:szCs w:val="21"/>
                <w:lang w:val="en-US" w:eastAsia="zh-CN"/>
              </w:rPr>
              <w:t>29</w:t>
            </w:r>
          </w:p>
        </w:tc>
        <w:tc>
          <w:tcPr>
            <w:tcW w:w="1050" w:type="dxa"/>
            <w:tcBorders>
              <w:top w:val="single" w:color="000000" w:sz="8" w:space="0"/>
              <w:left w:val="single" w:color="000000" w:sz="8" w:space="0"/>
              <w:bottom w:val="single" w:color="000000" w:sz="8" w:space="0"/>
              <w:right w:val="single" w:color="000000" w:sz="8" w:space="0"/>
            </w:tcBorders>
          </w:tcPr>
          <w:p>
            <w:pPr>
              <w:spacing w:before="120" w:after="120"/>
              <w:jc w:val="center"/>
              <w:rPr>
                <w:rFonts w:hint="default" w:ascii="仿宋" w:hAnsi="仿宋" w:eastAsia="仿宋"/>
                <w:color w:val="000000"/>
                <w:szCs w:val="21"/>
                <w:lang w:val="en-US" w:eastAsia="zh-CN"/>
              </w:rPr>
            </w:pPr>
            <w:r>
              <w:rPr>
                <w:rFonts w:hint="eastAsia" w:ascii="仿宋" w:hAnsi="仿宋" w:eastAsia="仿宋"/>
                <w:color w:val="000000"/>
                <w:szCs w:val="21"/>
                <w:lang w:val="en-US" w:eastAsia="zh-CN"/>
              </w:rPr>
              <w:t>V1.0</w:t>
            </w:r>
          </w:p>
        </w:tc>
        <w:tc>
          <w:tcPr>
            <w:tcW w:w="2970" w:type="dxa"/>
            <w:tcBorders>
              <w:top w:val="single" w:color="000000" w:sz="8" w:space="0"/>
              <w:left w:val="single" w:color="000000" w:sz="8" w:space="0"/>
              <w:bottom w:val="single" w:color="000000" w:sz="8" w:space="0"/>
              <w:right w:val="single" w:color="000000" w:sz="8" w:space="0"/>
            </w:tcBorders>
          </w:tcPr>
          <w:p>
            <w:pPr>
              <w:spacing w:before="120" w:after="120"/>
              <w:rPr>
                <w:rFonts w:hint="default" w:ascii="仿宋" w:hAnsi="仿宋" w:eastAsia="仿宋"/>
                <w:color w:val="000000"/>
                <w:szCs w:val="21"/>
                <w:lang w:val="en-US" w:eastAsia="zh-CN"/>
              </w:rPr>
            </w:pPr>
            <w:r>
              <w:rPr>
                <w:rFonts w:hint="eastAsia" w:ascii="仿宋" w:hAnsi="仿宋" w:eastAsia="仿宋"/>
                <w:color w:val="000000"/>
                <w:szCs w:val="21"/>
                <w:lang w:val="en-US" w:eastAsia="zh-CN"/>
              </w:rPr>
              <w:t>新建</w:t>
            </w:r>
          </w:p>
        </w:tc>
        <w:tc>
          <w:tcPr>
            <w:tcW w:w="1560" w:type="dxa"/>
            <w:tcBorders>
              <w:top w:val="single" w:color="000000" w:sz="8" w:space="0"/>
              <w:left w:val="single" w:color="000000" w:sz="8" w:space="0"/>
              <w:bottom w:val="single" w:color="000000" w:sz="8" w:space="0"/>
              <w:right w:val="single" w:color="000000" w:sz="8" w:space="0"/>
            </w:tcBorders>
          </w:tcPr>
          <w:p>
            <w:pPr>
              <w:spacing w:before="120" w:after="120"/>
              <w:jc w:val="center"/>
              <w:rPr>
                <w:rFonts w:hint="eastAsia" w:ascii="仿宋" w:hAnsi="仿宋" w:eastAsia="仿宋"/>
                <w:color w:val="000000"/>
                <w:szCs w:val="21"/>
                <w:lang w:eastAsia="zh-CN"/>
              </w:rPr>
            </w:pPr>
            <w:r>
              <w:rPr>
                <w:rFonts w:hint="eastAsia" w:ascii="仿宋" w:hAnsi="仿宋" w:eastAsia="仿宋"/>
                <w:color w:val="000000"/>
                <w:szCs w:val="21"/>
                <w:lang w:eastAsia="zh-CN"/>
              </w:rPr>
              <w:t>何恩超</w:t>
            </w:r>
          </w:p>
        </w:tc>
        <w:tc>
          <w:tcPr>
            <w:tcW w:w="1605" w:type="dxa"/>
            <w:tcBorders>
              <w:top w:val="single" w:color="000000" w:sz="8" w:space="0"/>
              <w:left w:val="single" w:color="000000" w:sz="8" w:space="0"/>
              <w:bottom w:val="single" w:color="000000" w:sz="8" w:space="0"/>
              <w:right w:val="single" w:color="000000" w:sz="8" w:space="0"/>
            </w:tcBorders>
          </w:tcPr>
          <w:p>
            <w:pPr>
              <w:spacing w:before="120" w:after="120"/>
              <w:rPr>
                <w:rFonts w:ascii="仿宋" w:hAnsi="仿宋" w:eastAsia="仿宋"/>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1545" w:type="dxa"/>
            <w:tcBorders>
              <w:top w:val="single" w:color="000000" w:sz="8" w:space="0"/>
              <w:left w:val="single" w:color="000000" w:sz="8" w:space="0"/>
              <w:bottom w:val="single" w:color="000000" w:sz="8" w:space="0"/>
              <w:right w:val="single" w:color="000000" w:sz="8" w:space="0"/>
            </w:tcBorders>
          </w:tcPr>
          <w:p>
            <w:pPr>
              <w:spacing w:before="120" w:after="120"/>
              <w:rPr>
                <w:rFonts w:hint="eastAsia" w:ascii="仿宋" w:hAnsi="仿宋" w:eastAsia="仿宋"/>
                <w:color w:val="000000"/>
                <w:szCs w:val="21"/>
                <w:lang w:val="en-US" w:eastAsia="zh-CN"/>
              </w:rPr>
            </w:pPr>
            <w:r>
              <w:rPr>
                <w:rFonts w:ascii="仿宋" w:hAnsi="仿宋" w:eastAsia="仿宋"/>
                <w:color w:val="000000"/>
                <w:szCs w:val="21"/>
              </w:rPr>
              <w:t>2021-</w:t>
            </w:r>
            <w:r>
              <w:rPr>
                <w:rFonts w:hint="eastAsia" w:ascii="仿宋" w:hAnsi="仿宋" w:eastAsia="仿宋"/>
                <w:color w:val="000000"/>
                <w:szCs w:val="21"/>
                <w:lang w:val="en-US" w:eastAsia="zh-CN"/>
              </w:rPr>
              <w:t>7</w:t>
            </w:r>
            <w:r>
              <w:rPr>
                <w:rFonts w:hint="eastAsia" w:ascii="仿宋" w:hAnsi="仿宋" w:eastAsia="仿宋"/>
                <w:color w:val="000000"/>
                <w:szCs w:val="21"/>
              </w:rPr>
              <w:t>-</w:t>
            </w:r>
            <w:r>
              <w:rPr>
                <w:rFonts w:hint="eastAsia" w:ascii="仿宋" w:hAnsi="仿宋" w:eastAsia="仿宋"/>
                <w:color w:val="000000"/>
                <w:szCs w:val="21"/>
                <w:lang w:val="en-US" w:eastAsia="zh-CN"/>
              </w:rPr>
              <w:t>5</w:t>
            </w:r>
          </w:p>
        </w:tc>
        <w:tc>
          <w:tcPr>
            <w:tcW w:w="1050" w:type="dxa"/>
            <w:tcBorders>
              <w:top w:val="single" w:color="000000" w:sz="8" w:space="0"/>
              <w:left w:val="single" w:color="000000" w:sz="8" w:space="0"/>
              <w:bottom w:val="single" w:color="000000" w:sz="8" w:space="0"/>
              <w:right w:val="single" w:color="000000" w:sz="8" w:space="0"/>
            </w:tcBorders>
          </w:tcPr>
          <w:p>
            <w:pPr>
              <w:spacing w:before="120" w:after="120"/>
              <w:jc w:val="center"/>
              <w:rPr>
                <w:rFonts w:hint="default" w:ascii="仿宋" w:hAnsi="仿宋" w:eastAsia="仿宋"/>
                <w:color w:val="000000"/>
                <w:szCs w:val="21"/>
                <w:lang w:val="en-US" w:eastAsia="zh-CN"/>
              </w:rPr>
            </w:pPr>
            <w:r>
              <w:rPr>
                <w:rFonts w:hint="eastAsia" w:ascii="仿宋" w:hAnsi="仿宋" w:eastAsia="仿宋"/>
                <w:color w:val="000000"/>
                <w:szCs w:val="21"/>
                <w:lang w:val="en-US" w:eastAsia="zh-CN"/>
              </w:rPr>
              <w:t>V2.0</w:t>
            </w:r>
          </w:p>
        </w:tc>
        <w:tc>
          <w:tcPr>
            <w:tcW w:w="2970" w:type="dxa"/>
            <w:tcBorders>
              <w:top w:val="single" w:color="000000" w:sz="8" w:space="0"/>
              <w:left w:val="single" w:color="000000" w:sz="8" w:space="0"/>
              <w:bottom w:val="single" w:color="000000" w:sz="8" w:space="0"/>
              <w:right w:val="single" w:color="000000" w:sz="8" w:space="0"/>
            </w:tcBorders>
          </w:tcPr>
          <w:p>
            <w:pPr>
              <w:spacing w:before="120" w:after="120"/>
              <w:rPr>
                <w:rFonts w:hint="default" w:ascii="仿宋" w:hAnsi="仿宋" w:eastAsia="仿宋"/>
                <w:color w:val="000000"/>
                <w:szCs w:val="21"/>
                <w:lang w:val="en-US" w:eastAsia="zh-CN"/>
              </w:rPr>
            </w:pPr>
            <w:r>
              <w:rPr>
                <w:rFonts w:hint="eastAsia" w:ascii="仿宋" w:hAnsi="仿宋" w:eastAsia="仿宋"/>
                <w:color w:val="000000"/>
                <w:szCs w:val="21"/>
                <w:lang w:val="en-US" w:eastAsia="zh-CN"/>
              </w:rPr>
              <w:t>根据评审内容修改</w:t>
            </w:r>
          </w:p>
        </w:tc>
        <w:tc>
          <w:tcPr>
            <w:tcW w:w="1560" w:type="dxa"/>
            <w:tcBorders>
              <w:top w:val="single" w:color="000000" w:sz="8" w:space="0"/>
              <w:left w:val="single" w:color="000000" w:sz="8" w:space="0"/>
              <w:bottom w:val="single" w:color="000000" w:sz="8" w:space="0"/>
              <w:right w:val="single" w:color="000000" w:sz="8" w:space="0"/>
            </w:tcBorders>
          </w:tcPr>
          <w:p>
            <w:pPr>
              <w:spacing w:before="120" w:after="120"/>
              <w:jc w:val="center"/>
              <w:rPr>
                <w:rFonts w:hint="eastAsia" w:ascii="仿宋" w:hAnsi="仿宋" w:eastAsia="仿宋"/>
                <w:color w:val="000000"/>
                <w:szCs w:val="21"/>
                <w:lang w:eastAsia="zh-CN"/>
              </w:rPr>
            </w:pPr>
            <w:r>
              <w:rPr>
                <w:rFonts w:hint="eastAsia" w:ascii="仿宋" w:hAnsi="仿宋" w:eastAsia="仿宋"/>
                <w:color w:val="000000"/>
                <w:szCs w:val="21"/>
                <w:lang w:eastAsia="zh-CN"/>
              </w:rPr>
              <w:t>何恩超</w:t>
            </w:r>
          </w:p>
        </w:tc>
        <w:tc>
          <w:tcPr>
            <w:tcW w:w="1605" w:type="dxa"/>
            <w:tcBorders>
              <w:top w:val="single" w:color="000000" w:sz="8" w:space="0"/>
              <w:left w:val="single" w:color="000000" w:sz="8" w:space="0"/>
              <w:bottom w:val="single" w:color="000000" w:sz="8" w:space="0"/>
              <w:right w:val="single" w:color="000000" w:sz="8" w:space="0"/>
            </w:tcBorders>
          </w:tcPr>
          <w:p>
            <w:pPr>
              <w:spacing w:before="120" w:after="120"/>
              <w:rPr>
                <w:rFonts w:ascii="仿宋" w:hAnsi="仿宋" w:eastAsia="仿宋"/>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1545" w:type="dxa"/>
            <w:tcBorders>
              <w:top w:val="single" w:color="000000" w:sz="8" w:space="0"/>
              <w:left w:val="single" w:color="000000" w:sz="8" w:space="0"/>
              <w:bottom w:val="single" w:color="000000" w:sz="8" w:space="0"/>
              <w:right w:val="single" w:color="000000" w:sz="8" w:space="0"/>
            </w:tcBorders>
          </w:tcPr>
          <w:p>
            <w:pPr>
              <w:spacing w:before="120" w:after="120"/>
              <w:rPr>
                <w:rFonts w:ascii="仿宋" w:hAnsi="仿宋" w:eastAsia="仿宋"/>
                <w:color w:val="000000"/>
                <w:szCs w:val="21"/>
              </w:rPr>
            </w:pPr>
          </w:p>
        </w:tc>
        <w:tc>
          <w:tcPr>
            <w:tcW w:w="1050" w:type="dxa"/>
            <w:tcBorders>
              <w:top w:val="single" w:color="000000" w:sz="8" w:space="0"/>
              <w:left w:val="single" w:color="000000" w:sz="8" w:space="0"/>
              <w:bottom w:val="single" w:color="000000" w:sz="8" w:space="0"/>
              <w:right w:val="single" w:color="000000" w:sz="8" w:space="0"/>
            </w:tcBorders>
          </w:tcPr>
          <w:p>
            <w:pPr>
              <w:spacing w:before="120" w:after="120"/>
              <w:rPr>
                <w:rFonts w:ascii="仿宋" w:hAnsi="仿宋" w:eastAsia="仿宋"/>
                <w:color w:val="000000"/>
                <w:szCs w:val="21"/>
              </w:rPr>
            </w:pPr>
          </w:p>
        </w:tc>
        <w:tc>
          <w:tcPr>
            <w:tcW w:w="2970" w:type="dxa"/>
            <w:tcBorders>
              <w:top w:val="single" w:color="000000" w:sz="8" w:space="0"/>
              <w:left w:val="single" w:color="000000" w:sz="8" w:space="0"/>
              <w:bottom w:val="single" w:color="000000" w:sz="8" w:space="0"/>
              <w:right w:val="single" w:color="000000" w:sz="8" w:space="0"/>
            </w:tcBorders>
          </w:tcPr>
          <w:p>
            <w:pPr>
              <w:spacing w:before="120" w:after="120"/>
              <w:rPr>
                <w:rFonts w:ascii="仿宋" w:hAnsi="仿宋" w:eastAsia="仿宋"/>
                <w:color w:val="000000"/>
                <w:szCs w:val="21"/>
              </w:rPr>
            </w:pPr>
          </w:p>
        </w:tc>
        <w:tc>
          <w:tcPr>
            <w:tcW w:w="1560" w:type="dxa"/>
            <w:tcBorders>
              <w:top w:val="single" w:color="000000" w:sz="8" w:space="0"/>
              <w:left w:val="single" w:color="000000" w:sz="8" w:space="0"/>
              <w:bottom w:val="single" w:color="000000" w:sz="8" w:space="0"/>
              <w:right w:val="single" w:color="000000" w:sz="8" w:space="0"/>
            </w:tcBorders>
          </w:tcPr>
          <w:p>
            <w:pPr>
              <w:spacing w:before="120" w:after="120"/>
              <w:rPr>
                <w:rFonts w:ascii="仿宋" w:hAnsi="仿宋" w:eastAsia="仿宋"/>
                <w:color w:val="000000"/>
                <w:szCs w:val="21"/>
              </w:rPr>
            </w:pPr>
          </w:p>
        </w:tc>
        <w:tc>
          <w:tcPr>
            <w:tcW w:w="1605" w:type="dxa"/>
            <w:tcBorders>
              <w:top w:val="single" w:color="000000" w:sz="8" w:space="0"/>
              <w:left w:val="single" w:color="000000" w:sz="8" w:space="0"/>
              <w:bottom w:val="single" w:color="000000" w:sz="8" w:space="0"/>
              <w:right w:val="single" w:color="000000" w:sz="8" w:space="0"/>
            </w:tcBorders>
          </w:tcPr>
          <w:p>
            <w:pPr>
              <w:spacing w:before="120" w:after="120"/>
              <w:rPr>
                <w:rFonts w:ascii="仿宋" w:hAnsi="仿宋" w:eastAsia="仿宋"/>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1545" w:type="dxa"/>
            <w:tcBorders>
              <w:top w:val="single" w:color="000000" w:sz="8" w:space="0"/>
              <w:left w:val="single" w:color="000000" w:sz="8" w:space="0"/>
              <w:bottom w:val="single" w:color="000000" w:sz="8" w:space="0"/>
              <w:right w:val="single" w:color="000000" w:sz="8" w:space="0"/>
            </w:tcBorders>
          </w:tcPr>
          <w:p>
            <w:pPr>
              <w:spacing w:before="120" w:after="120"/>
              <w:rPr>
                <w:rFonts w:ascii="仿宋" w:hAnsi="仿宋" w:eastAsia="仿宋"/>
                <w:color w:val="000000"/>
                <w:szCs w:val="21"/>
              </w:rPr>
            </w:pPr>
          </w:p>
        </w:tc>
        <w:tc>
          <w:tcPr>
            <w:tcW w:w="1050" w:type="dxa"/>
            <w:tcBorders>
              <w:top w:val="single" w:color="000000" w:sz="8" w:space="0"/>
              <w:left w:val="single" w:color="000000" w:sz="8" w:space="0"/>
              <w:bottom w:val="single" w:color="000000" w:sz="8" w:space="0"/>
              <w:right w:val="single" w:color="000000" w:sz="8" w:space="0"/>
            </w:tcBorders>
          </w:tcPr>
          <w:p>
            <w:pPr>
              <w:spacing w:before="120" w:after="120"/>
              <w:rPr>
                <w:rFonts w:ascii="仿宋" w:hAnsi="仿宋" w:eastAsia="仿宋"/>
                <w:color w:val="000000"/>
                <w:szCs w:val="21"/>
              </w:rPr>
            </w:pPr>
          </w:p>
        </w:tc>
        <w:tc>
          <w:tcPr>
            <w:tcW w:w="2970" w:type="dxa"/>
            <w:tcBorders>
              <w:top w:val="single" w:color="000000" w:sz="8" w:space="0"/>
              <w:left w:val="single" w:color="000000" w:sz="8" w:space="0"/>
              <w:bottom w:val="single" w:color="000000" w:sz="8" w:space="0"/>
              <w:right w:val="single" w:color="000000" w:sz="8" w:space="0"/>
            </w:tcBorders>
          </w:tcPr>
          <w:p>
            <w:pPr>
              <w:spacing w:before="120" w:after="120"/>
              <w:rPr>
                <w:rFonts w:ascii="仿宋" w:hAnsi="仿宋" w:eastAsia="仿宋"/>
                <w:color w:val="000000"/>
                <w:szCs w:val="21"/>
              </w:rPr>
            </w:pPr>
          </w:p>
        </w:tc>
        <w:tc>
          <w:tcPr>
            <w:tcW w:w="1560" w:type="dxa"/>
            <w:tcBorders>
              <w:top w:val="single" w:color="000000" w:sz="8" w:space="0"/>
              <w:left w:val="single" w:color="000000" w:sz="8" w:space="0"/>
              <w:bottom w:val="single" w:color="000000" w:sz="8" w:space="0"/>
              <w:right w:val="single" w:color="000000" w:sz="8" w:space="0"/>
            </w:tcBorders>
          </w:tcPr>
          <w:p>
            <w:pPr>
              <w:spacing w:before="120" w:after="120"/>
              <w:rPr>
                <w:rFonts w:ascii="仿宋" w:hAnsi="仿宋" w:eastAsia="仿宋"/>
                <w:color w:val="000000"/>
                <w:szCs w:val="21"/>
              </w:rPr>
            </w:pPr>
          </w:p>
        </w:tc>
        <w:tc>
          <w:tcPr>
            <w:tcW w:w="1605" w:type="dxa"/>
            <w:tcBorders>
              <w:top w:val="single" w:color="000000" w:sz="8" w:space="0"/>
              <w:left w:val="single" w:color="000000" w:sz="8" w:space="0"/>
              <w:bottom w:val="single" w:color="000000" w:sz="8" w:space="0"/>
              <w:right w:val="single" w:color="000000" w:sz="8" w:space="0"/>
            </w:tcBorders>
          </w:tcPr>
          <w:p>
            <w:pPr>
              <w:spacing w:before="120" w:after="120"/>
              <w:rPr>
                <w:rFonts w:ascii="仿宋" w:hAnsi="仿宋" w:eastAsia="仿宋"/>
                <w:color w:val="000000"/>
                <w:szCs w:val="21"/>
              </w:rPr>
            </w:pPr>
          </w:p>
        </w:tc>
      </w:tr>
    </w:tbl>
    <w:p>
      <w:pPr>
        <w:sectPr>
          <w:footerReference r:id="rId5" w:type="default"/>
          <w:pgSz w:w="12240" w:h="15840"/>
          <w:pgMar w:top="1440" w:right="1800" w:bottom="1440" w:left="1800" w:header="851" w:footer="992" w:gutter="0"/>
          <w:cols w:space="425" w:num="1"/>
          <w:docGrid w:type="lines" w:linePitch="312" w:charSpace="0"/>
        </w:sectPr>
      </w:pPr>
    </w:p>
    <w:sdt>
      <w:sdtPr>
        <w:rPr>
          <w:rFonts w:asciiTheme="minorHAnsi" w:hAnsiTheme="minorHAnsi" w:eastAsiaTheme="minorEastAsia" w:cstheme="minorBidi"/>
          <w:color w:val="auto"/>
          <w:kern w:val="2"/>
          <w:sz w:val="21"/>
          <w:szCs w:val="22"/>
          <w:lang w:val="zh-CN"/>
        </w:rPr>
        <w:id w:val="-1220743495"/>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pPr>
            <w:pStyle w:val="19"/>
          </w:pPr>
          <w:r>
            <w:rPr>
              <w:lang w:val="zh-CN"/>
            </w:rPr>
            <w:t>目录</w:t>
          </w:r>
        </w:p>
        <w:p>
          <w:pPr>
            <w:pStyle w:val="8"/>
            <w:tabs>
              <w:tab w:val="left" w:pos="420"/>
              <w:tab w:val="right" w:leader="dot" w:pos="8630"/>
            </w:tabs>
          </w:pPr>
          <w:r>
            <w:fldChar w:fldCharType="begin"/>
          </w:r>
          <w:r>
            <w:instrText xml:space="preserve"> TOC \o "1-3" \h \z \u </w:instrText>
          </w:r>
          <w:r>
            <w:fldChar w:fldCharType="separate"/>
          </w:r>
          <w:r>
            <w:fldChar w:fldCharType="begin"/>
          </w:r>
          <w:r>
            <w:instrText xml:space="preserve"> HYPERLINK \l "_Toc73560947" </w:instrText>
          </w:r>
          <w:r>
            <w:fldChar w:fldCharType="separate"/>
          </w:r>
          <w:r>
            <w:rPr>
              <w:rStyle w:val="13"/>
              <w:rFonts w:ascii="仿宋" w:hAnsi="仿宋" w:eastAsia="仿宋"/>
            </w:rPr>
            <w:t>1</w:t>
          </w:r>
          <w:r>
            <w:tab/>
          </w:r>
          <w:r>
            <w:rPr>
              <w:rStyle w:val="13"/>
              <w:rFonts w:ascii="仿宋" w:hAnsi="仿宋" w:eastAsia="仿宋"/>
            </w:rPr>
            <w:t>引言</w:t>
          </w:r>
          <w:r>
            <w:tab/>
          </w:r>
          <w:r>
            <w:fldChar w:fldCharType="begin"/>
          </w:r>
          <w:r>
            <w:instrText xml:space="preserve"> PAGEREF _Toc73560947 \h </w:instrText>
          </w:r>
          <w:r>
            <w:fldChar w:fldCharType="separate"/>
          </w:r>
          <w:r>
            <w:t>1</w:t>
          </w:r>
          <w:r>
            <w:fldChar w:fldCharType="end"/>
          </w:r>
          <w:r>
            <w:fldChar w:fldCharType="end"/>
          </w:r>
        </w:p>
        <w:p>
          <w:pPr>
            <w:pStyle w:val="9"/>
            <w:tabs>
              <w:tab w:val="left" w:pos="1050"/>
              <w:tab w:val="right" w:leader="dot" w:pos="8630"/>
            </w:tabs>
          </w:pPr>
          <w:r>
            <w:fldChar w:fldCharType="begin"/>
          </w:r>
          <w:r>
            <w:instrText xml:space="preserve"> HYPERLINK \l "_Toc73560948" </w:instrText>
          </w:r>
          <w:r>
            <w:fldChar w:fldCharType="separate"/>
          </w:r>
          <w:r>
            <w:rPr>
              <w:rStyle w:val="13"/>
              <w:rFonts w:ascii="仿宋" w:hAnsi="仿宋" w:eastAsia="仿宋"/>
            </w:rPr>
            <w:t>1.1</w:t>
          </w:r>
          <w:r>
            <w:tab/>
          </w:r>
          <w:r>
            <w:rPr>
              <w:rStyle w:val="13"/>
              <w:rFonts w:ascii="黑体" w:hAnsi="黑体" w:eastAsia="黑体"/>
            </w:rPr>
            <w:t>背景</w:t>
          </w:r>
          <w:r>
            <w:tab/>
          </w:r>
          <w:r>
            <w:fldChar w:fldCharType="begin"/>
          </w:r>
          <w:r>
            <w:instrText xml:space="preserve"> PAGEREF _Toc73560948 \h </w:instrText>
          </w:r>
          <w:r>
            <w:fldChar w:fldCharType="separate"/>
          </w:r>
          <w:r>
            <w:t>1</w:t>
          </w:r>
          <w:r>
            <w:fldChar w:fldCharType="end"/>
          </w:r>
          <w:r>
            <w:fldChar w:fldCharType="end"/>
          </w:r>
        </w:p>
        <w:p>
          <w:pPr>
            <w:pStyle w:val="9"/>
            <w:tabs>
              <w:tab w:val="left" w:pos="1050"/>
              <w:tab w:val="right" w:leader="dot" w:pos="8630"/>
            </w:tabs>
          </w:pPr>
          <w:r>
            <w:fldChar w:fldCharType="begin"/>
          </w:r>
          <w:r>
            <w:instrText xml:space="preserve"> HYPERLINK \l "_Toc73560949" </w:instrText>
          </w:r>
          <w:r>
            <w:fldChar w:fldCharType="separate"/>
          </w:r>
          <w:r>
            <w:rPr>
              <w:rStyle w:val="13"/>
              <w:rFonts w:ascii="仿宋" w:hAnsi="仿宋" w:eastAsia="仿宋"/>
            </w:rPr>
            <w:t>1.2</w:t>
          </w:r>
          <w:r>
            <w:tab/>
          </w:r>
          <w:r>
            <w:rPr>
              <w:rStyle w:val="13"/>
              <w:rFonts w:ascii="黑体" w:hAnsi="黑体" w:eastAsia="黑体"/>
            </w:rPr>
            <w:t>目的</w:t>
          </w:r>
          <w:r>
            <w:tab/>
          </w:r>
          <w:r>
            <w:fldChar w:fldCharType="begin"/>
          </w:r>
          <w:r>
            <w:instrText xml:space="preserve"> PAGEREF _Toc73560949 \h </w:instrText>
          </w:r>
          <w:r>
            <w:fldChar w:fldCharType="separate"/>
          </w:r>
          <w:r>
            <w:t>1</w:t>
          </w:r>
          <w:r>
            <w:fldChar w:fldCharType="end"/>
          </w:r>
          <w:r>
            <w:fldChar w:fldCharType="end"/>
          </w:r>
        </w:p>
        <w:p>
          <w:pPr>
            <w:pStyle w:val="9"/>
            <w:tabs>
              <w:tab w:val="left" w:pos="1050"/>
              <w:tab w:val="right" w:leader="dot" w:pos="8630"/>
            </w:tabs>
          </w:pPr>
          <w:r>
            <w:fldChar w:fldCharType="begin"/>
          </w:r>
          <w:r>
            <w:instrText xml:space="preserve"> HYPERLINK \l "_Toc73560950" </w:instrText>
          </w:r>
          <w:r>
            <w:fldChar w:fldCharType="separate"/>
          </w:r>
          <w:r>
            <w:rPr>
              <w:rStyle w:val="13"/>
              <w:rFonts w:ascii="仿宋" w:hAnsi="仿宋" w:eastAsia="仿宋"/>
            </w:rPr>
            <w:t>1.3</w:t>
          </w:r>
          <w:r>
            <w:tab/>
          </w:r>
          <w:r>
            <w:rPr>
              <w:rStyle w:val="13"/>
              <w:rFonts w:ascii="黑体" w:hAnsi="黑体" w:eastAsia="黑体"/>
            </w:rPr>
            <w:t>参考资料</w:t>
          </w:r>
          <w:r>
            <w:tab/>
          </w:r>
          <w:r>
            <w:fldChar w:fldCharType="begin"/>
          </w:r>
          <w:r>
            <w:instrText xml:space="preserve"> PAGEREF _Toc73560950 \h </w:instrText>
          </w:r>
          <w:r>
            <w:fldChar w:fldCharType="separate"/>
          </w:r>
          <w:r>
            <w:t>1</w:t>
          </w:r>
          <w:r>
            <w:fldChar w:fldCharType="end"/>
          </w:r>
          <w:r>
            <w:fldChar w:fldCharType="end"/>
          </w:r>
        </w:p>
        <w:p>
          <w:pPr>
            <w:pStyle w:val="8"/>
            <w:tabs>
              <w:tab w:val="left" w:pos="420"/>
              <w:tab w:val="right" w:leader="dot" w:pos="8630"/>
            </w:tabs>
          </w:pPr>
          <w:r>
            <w:fldChar w:fldCharType="begin"/>
          </w:r>
          <w:r>
            <w:instrText xml:space="preserve"> HYPERLINK \l "_Toc73560951" </w:instrText>
          </w:r>
          <w:r>
            <w:fldChar w:fldCharType="separate"/>
          </w:r>
          <w:r>
            <w:rPr>
              <w:rStyle w:val="13"/>
              <w:rFonts w:ascii="仿宋" w:hAnsi="仿宋" w:eastAsia="仿宋"/>
            </w:rPr>
            <w:t>2</w:t>
          </w:r>
          <w:r>
            <w:tab/>
          </w:r>
          <w:r>
            <w:rPr>
              <w:rStyle w:val="13"/>
              <w:rFonts w:ascii="仿宋" w:hAnsi="仿宋" w:eastAsia="仿宋"/>
            </w:rPr>
            <w:t>系统功能概述</w:t>
          </w:r>
          <w:r>
            <w:tab/>
          </w:r>
          <w:r>
            <w:fldChar w:fldCharType="begin"/>
          </w:r>
          <w:r>
            <w:instrText xml:space="preserve"> PAGEREF _Toc73560951 \h </w:instrText>
          </w:r>
          <w:r>
            <w:fldChar w:fldCharType="separate"/>
          </w:r>
          <w:r>
            <w:t>2</w:t>
          </w:r>
          <w:r>
            <w:fldChar w:fldCharType="end"/>
          </w:r>
          <w:r>
            <w:fldChar w:fldCharType="end"/>
          </w:r>
        </w:p>
        <w:p>
          <w:pPr>
            <w:pStyle w:val="9"/>
            <w:tabs>
              <w:tab w:val="left" w:pos="1050"/>
              <w:tab w:val="right" w:leader="dot" w:pos="8630"/>
            </w:tabs>
          </w:pPr>
          <w:r>
            <w:fldChar w:fldCharType="begin"/>
          </w:r>
          <w:r>
            <w:instrText xml:space="preserve"> HYPERLINK \l "_Toc73560952" </w:instrText>
          </w:r>
          <w:r>
            <w:fldChar w:fldCharType="separate"/>
          </w:r>
          <w:r>
            <w:rPr>
              <w:rStyle w:val="13"/>
              <w:rFonts w:ascii="仿宋" w:hAnsi="仿宋" w:eastAsia="仿宋"/>
            </w:rPr>
            <w:t>2.1</w:t>
          </w:r>
          <w:r>
            <w:tab/>
          </w:r>
          <w:r>
            <w:rPr>
              <w:rStyle w:val="13"/>
              <w:rFonts w:ascii="黑体" w:hAnsi="黑体" w:eastAsia="黑体"/>
            </w:rPr>
            <w:t>主体功能架构</w:t>
          </w:r>
          <w:r>
            <w:tab/>
          </w:r>
          <w:r>
            <w:fldChar w:fldCharType="begin"/>
          </w:r>
          <w:r>
            <w:instrText xml:space="preserve"> PAGEREF _Toc73560952 \h </w:instrText>
          </w:r>
          <w:r>
            <w:fldChar w:fldCharType="separate"/>
          </w:r>
          <w:r>
            <w:t>2</w:t>
          </w:r>
          <w:r>
            <w:fldChar w:fldCharType="end"/>
          </w:r>
          <w:r>
            <w:fldChar w:fldCharType="end"/>
          </w:r>
        </w:p>
        <w:p>
          <w:pPr>
            <w:pStyle w:val="5"/>
            <w:tabs>
              <w:tab w:val="left" w:pos="1680"/>
              <w:tab w:val="right" w:leader="dot" w:pos="8630"/>
            </w:tabs>
          </w:pPr>
          <w:r>
            <w:fldChar w:fldCharType="begin"/>
          </w:r>
          <w:r>
            <w:instrText xml:space="preserve"> HYPERLINK \l "_Toc73560953" </w:instrText>
          </w:r>
          <w:r>
            <w:fldChar w:fldCharType="separate"/>
          </w:r>
          <w:r>
            <w:rPr>
              <w:rStyle w:val="13"/>
              <w:rFonts w:ascii="仿宋" w:hAnsi="仿宋" w:eastAsia="仿宋"/>
            </w:rPr>
            <w:t>2.1.1</w:t>
          </w:r>
          <w:r>
            <w:tab/>
          </w:r>
          <w:r>
            <w:rPr>
              <w:rStyle w:val="13"/>
              <w:rFonts w:ascii="黑体" w:hAnsi="黑体" w:eastAsia="黑体"/>
            </w:rPr>
            <w:t>系统首页</w:t>
          </w:r>
          <w:r>
            <w:tab/>
          </w:r>
          <w:r>
            <w:fldChar w:fldCharType="begin"/>
          </w:r>
          <w:r>
            <w:instrText xml:space="preserve"> PAGEREF _Toc73560953 \h </w:instrText>
          </w:r>
          <w:r>
            <w:fldChar w:fldCharType="separate"/>
          </w:r>
          <w:r>
            <w:t>2</w:t>
          </w:r>
          <w:r>
            <w:fldChar w:fldCharType="end"/>
          </w:r>
          <w:r>
            <w:fldChar w:fldCharType="end"/>
          </w:r>
        </w:p>
        <w:p>
          <w:pPr>
            <w:pStyle w:val="5"/>
            <w:tabs>
              <w:tab w:val="left" w:pos="1680"/>
              <w:tab w:val="right" w:leader="dot" w:pos="8630"/>
            </w:tabs>
          </w:pPr>
          <w:r>
            <w:fldChar w:fldCharType="begin"/>
          </w:r>
          <w:r>
            <w:instrText xml:space="preserve"> HYPERLINK \l "_Toc73560954" </w:instrText>
          </w:r>
          <w:r>
            <w:fldChar w:fldCharType="separate"/>
          </w:r>
          <w:r>
            <w:rPr>
              <w:rStyle w:val="13"/>
              <w:rFonts w:ascii="仿宋" w:hAnsi="仿宋" w:eastAsia="仿宋"/>
            </w:rPr>
            <w:t>2.1.2</w:t>
          </w:r>
          <w:r>
            <w:tab/>
          </w:r>
          <w:r>
            <w:rPr>
              <w:rStyle w:val="13"/>
              <w:rFonts w:ascii="黑体" w:hAnsi="黑体" w:eastAsia="黑体"/>
            </w:rPr>
            <w:t>需求报送</w:t>
          </w:r>
          <w:r>
            <w:tab/>
          </w:r>
          <w:r>
            <w:fldChar w:fldCharType="begin"/>
          </w:r>
          <w:r>
            <w:instrText xml:space="preserve"> PAGEREF _Toc73560954 \h </w:instrText>
          </w:r>
          <w:r>
            <w:fldChar w:fldCharType="separate"/>
          </w:r>
          <w:r>
            <w:t>2</w:t>
          </w:r>
          <w:r>
            <w:fldChar w:fldCharType="end"/>
          </w:r>
          <w:r>
            <w:fldChar w:fldCharType="end"/>
          </w:r>
        </w:p>
        <w:p>
          <w:pPr>
            <w:pStyle w:val="5"/>
            <w:tabs>
              <w:tab w:val="left" w:pos="1680"/>
              <w:tab w:val="right" w:leader="dot" w:pos="8630"/>
            </w:tabs>
          </w:pPr>
          <w:r>
            <w:fldChar w:fldCharType="begin"/>
          </w:r>
          <w:r>
            <w:instrText xml:space="preserve"> HYPERLINK \l "_Toc73560955" </w:instrText>
          </w:r>
          <w:r>
            <w:fldChar w:fldCharType="separate"/>
          </w:r>
          <w:r>
            <w:rPr>
              <w:rStyle w:val="13"/>
              <w:rFonts w:ascii="仿宋" w:hAnsi="仿宋" w:eastAsia="仿宋"/>
            </w:rPr>
            <w:t>2.1.3</w:t>
          </w:r>
          <w:r>
            <w:tab/>
          </w:r>
          <w:r>
            <w:rPr>
              <w:rStyle w:val="13"/>
              <w:rFonts w:ascii="黑体" w:hAnsi="黑体" w:eastAsia="黑体"/>
            </w:rPr>
            <w:t>保单管理</w:t>
          </w:r>
          <w:r>
            <w:tab/>
          </w:r>
          <w:r>
            <w:fldChar w:fldCharType="begin"/>
          </w:r>
          <w:r>
            <w:instrText xml:space="preserve"> PAGEREF _Toc73560955 \h </w:instrText>
          </w:r>
          <w:r>
            <w:fldChar w:fldCharType="separate"/>
          </w:r>
          <w:r>
            <w:t>3</w:t>
          </w:r>
          <w:r>
            <w:fldChar w:fldCharType="end"/>
          </w:r>
          <w:r>
            <w:fldChar w:fldCharType="end"/>
          </w:r>
        </w:p>
        <w:p>
          <w:pPr>
            <w:pStyle w:val="5"/>
            <w:tabs>
              <w:tab w:val="left" w:pos="1680"/>
              <w:tab w:val="right" w:leader="dot" w:pos="8630"/>
            </w:tabs>
          </w:pPr>
          <w:r>
            <w:fldChar w:fldCharType="begin"/>
          </w:r>
          <w:r>
            <w:instrText xml:space="preserve"> HYPERLINK \l "_Toc73560956" </w:instrText>
          </w:r>
          <w:r>
            <w:fldChar w:fldCharType="separate"/>
          </w:r>
          <w:r>
            <w:rPr>
              <w:rStyle w:val="13"/>
              <w:rFonts w:ascii="仿宋" w:hAnsi="仿宋" w:eastAsia="仿宋"/>
            </w:rPr>
            <w:t>2.1.4</w:t>
          </w:r>
          <w:r>
            <w:tab/>
          </w:r>
          <w:r>
            <w:rPr>
              <w:rStyle w:val="13"/>
              <w:rFonts w:ascii="黑体" w:hAnsi="黑体" w:eastAsia="黑体"/>
            </w:rPr>
            <w:t>履约评价</w:t>
          </w:r>
          <w:r>
            <w:tab/>
          </w:r>
          <w:r>
            <w:fldChar w:fldCharType="begin"/>
          </w:r>
          <w:r>
            <w:instrText xml:space="preserve"> PAGEREF _Toc73560956 \h </w:instrText>
          </w:r>
          <w:r>
            <w:fldChar w:fldCharType="separate"/>
          </w:r>
          <w:r>
            <w:t>3</w:t>
          </w:r>
          <w:r>
            <w:fldChar w:fldCharType="end"/>
          </w:r>
          <w:r>
            <w:fldChar w:fldCharType="end"/>
          </w:r>
        </w:p>
        <w:p>
          <w:pPr>
            <w:pStyle w:val="5"/>
            <w:tabs>
              <w:tab w:val="left" w:pos="1680"/>
              <w:tab w:val="right" w:leader="dot" w:pos="8630"/>
            </w:tabs>
          </w:pPr>
          <w:r>
            <w:fldChar w:fldCharType="begin"/>
          </w:r>
          <w:r>
            <w:instrText xml:space="preserve"> HYPERLINK \l "_Toc73560957" </w:instrText>
          </w:r>
          <w:r>
            <w:fldChar w:fldCharType="separate"/>
          </w:r>
          <w:r>
            <w:rPr>
              <w:rStyle w:val="13"/>
              <w:rFonts w:ascii="仿宋" w:hAnsi="仿宋" w:eastAsia="仿宋"/>
            </w:rPr>
            <w:t>2.1.5</w:t>
          </w:r>
          <w:r>
            <w:tab/>
          </w:r>
          <w:r>
            <w:rPr>
              <w:rStyle w:val="13"/>
              <w:rFonts w:ascii="黑体" w:hAnsi="黑体" w:eastAsia="黑体"/>
            </w:rPr>
            <w:t>报表统计</w:t>
          </w:r>
          <w:r>
            <w:tab/>
          </w:r>
          <w:r>
            <w:fldChar w:fldCharType="begin"/>
          </w:r>
          <w:r>
            <w:instrText xml:space="preserve"> PAGEREF _Toc73560957 \h </w:instrText>
          </w:r>
          <w:r>
            <w:fldChar w:fldCharType="separate"/>
          </w:r>
          <w:r>
            <w:t>3</w:t>
          </w:r>
          <w:r>
            <w:fldChar w:fldCharType="end"/>
          </w:r>
          <w:r>
            <w:fldChar w:fldCharType="end"/>
          </w:r>
        </w:p>
        <w:p>
          <w:pPr>
            <w:pStyle w:val="5"/>
            <w:tabs>
              <w:tab w:val="left" w:pos="1680"/>
              <w:tab w:val="right" w:leader="dot" w:pos="8630"/>
            </w:tabs>
          </w:pPr>
          <w:r>
            <w:fldChar w:fldCharType="begin"/>
          </w:r>
          <w:r>
            <w:instrText xml:space="preserve"> HYPERLINK \l "_Toc73560958" </w:instrText>
          </w:r>
          <w:r>
            <w:fldChar w:fldCharType="separate"/>
          </w:r>
          <w:r>
            <w:rPr>
              <w:rStyle w:val="13"/>
              <w:rFonts w:ascii="仿宋" w:hAnsi="仿宋" w:eastAsia="仿宋"/>
            </w:rPr>
            <w:t>2.1.6</w:t>
          </w:r>
          <w:r>
            <w:tab/>
          </w:r>
          <w:r>
            <w:rPr>
              <w:rStyle w:val="13"/>
              <w:rFonts w:ascii="黑体" w:hAnsi="黑体" w:eastAsia="黑体"/>
            </w:rPr>
            <w:t>组织管理</w:t>
          </w:r>
          <w:r>
            <w:tab/>
          </w:r>
          <w:r>
            <w:fldChar w:fldCharType="begin"/>
          </w:r>
          <w:r>
            <w:instrText xml:space="preserve"> PAGEREF _Toc73560958 \h </w:instrText>
          </w:r>
          <w:r>
            <w:fldChar w:fldCharType="separate"/>
          </w:r>
          <w:r>
            <w:t>4</w:t>
          </w:r>
          <w:r>
            <w:fldChar w:fldCharType="end"/>
          </w:r>
          <w:r>
            <w:fldChar w:fldCharType="end"/>
          </w:r>
        </w:p>
        <w:p>
          <w:pPr>
            <w:pStyle w:val="9"/>
            <w:tabs>
              <w:tab w:val="left" w:pos="1050"/>
              <w:tab w:val="right" w:leader="dot" w:pos="8630"/>
            </w:tabs>
          </w:pPr>
          <w:r>
            <w:fldChar w:fldCharType="begin"/>
          </w:r>
          <w:r>
            <w:instrText xml:space="preserve"> HYPERLINK \l "_Toc73560959" </w:instrText>
          </w:r>
          <w:r>
            <w:fldChar w:fldCharType="separate"/>
          </w:r>
          <w:r>
            <w:rPr>
              <w:rStyle w:val="13"/>
              <w:rFonts w:ascii="仿宋" w:hAnsi="仿宋" w:eastAsia="仿宋"/>
            </w:rPr>
            <w:t>2.2</w:t>
          </w:r>
          <w:r>
            <w:tab/>
          </w:r>
          <w:r>
            <w:rPr>
              <w:rStyle w:val="13"/>
              <w:rFonts w:ascii="黑体" w:hAnsi="黑体" w:eastAsia="黑体"/>
            </w:rPr>
            <w:t>业务系统架构</w:t>
          </w:r>
          <w:r>
            <w:tab/>
          </w:r>
          <w:r>
            <w:fldChar w:fldCharType="begin"/>
          </w:r>
          <w:r>
            <w:instrText xml:space="preserve"> PAGEREF _Toc73560959 \h </w:instrText>
          </w:r>
          <w:r>
            <w:fldChar w:fldCharType="separate"/>
          </w:r>
          <w:r>
            <w:t>4</w:t>
          </w:r>
          <w:r>
            <w:fldChar w:fldCharType="end"/>
          </w:r>
          <w:r>
            <w:fldChar w:fldCharType="end"/>
          </w:r>
        </w:p>
        <w:p>
          <w:pPr>
            <w:pStyle w:val="8"/>
            <w:tabs>
              <w:tab w:val="left" w:pos="420"/>
              <w:tab w:val="right" w:leader="dot" w:pos="8630"/>
            </w:tabs>
          </w:pPr>
          <w:r>
            <w:fldChar w:fldCharType="begin"/>
          </w:r>
          <w:r>
            <w:instrText xml:space="preserve"> HYPERLINK \l "_Toc73560960" </w:instrText>
          </w:r>
          <w:r>
            <w:fldChar w:fldCharType="separate"/>
          </w:r>
          <w:r>
            <w:rPr>
              <w:rStyle w:val="13"/>
              <w:rFonts w:ascii="仿宋" w:hAnsi="仿宋" w:eastAsia="仿宋"/>
            </w:rPr>
            <w:t>3</w:t>
          </w:r>
          <w:r>
            <w:tab/>
          </w:r>
          <w:r>
            <w:rPr>
              <w:rStyle w:val="13"/>
              <w:rFonts w:ascii="仿宋" w:hAnsi="仿宋" w:eastAsia="仿宋"/>
            </w:rPr>
            <w:t>系统功能设计</w:t>
          </w:r>
          <w:r>
            <w:tab/>
          </w:r>
          <w:r>
            <w:fldChar w:fldCharType="begin"/>
          </w:r>
          <w:r>
            <w:instrText xml:space="preserve"> PAGEREF _Toc73560960 \h </w:instrText>
          </w:r>
          <w:r>
            <w:fldChar w:fldCharType="separate"/>
          </w:r>
          <w:r>
            <w:t>5</w:t>
          </w:r>
          <w:r>
            <w:fldChar w:fldCharType="end"/>
          </w:r>
          <w:r>
            <w:fldChar w:fldCharType="end"/>
          </w:r>
        </w:p>
        <w:p>
          <w:pPr>
            <w:pStyle w:val="9"/>
            <w:tabs>
              <w:tab w:val="left" w:pos="1050"/>
              <w:tab w:val="right" w:leader="dot" w:pos="8630"/>
            </w:tabs>
          </w:pPr>
          <w:r>
            <w:fldChar w:fldCharType="begin"/>
          </w:r>
          <w:r>
            <w:instrText xml:space="preserve"> HYPERLINK \l "_Toc73560961" </w:instrText>
          </w:r>
          <w:r>
            <w:fldChar w:fldCharType="separate"/>
          </w:r>
          <w:r>
            <w:rPr>
              <w:rStyle w:val="13"/>
              <w:rFonts w:ascii="仿宋" w:hAnsi="仿宋" w:eastAsia="仿宋"/>
            </w:rPr>
            <w:t>3.1</w:t>
          </w:r>
          <w:r>
            <w:tab/>
          </w:r>
          <w:r>
            <w:rPr>
              <w:rStyle w:val="13"/>
              <w:rFonts w:ascii="黑体" w:hAnsi="黑体" w:eastAsia="黑体"/>
            </w:rPr>
            <w:t>登录设计</w:t>
          </w:r>
          <w:r>
            <w:tab/>
          </w:r>
          <w:r>
            <w:fldChar w:fldCharType="begin"/>
          </w:r>
          <w:r>
            <w:instrText xml:space="preserve"> PAGEREF _Toc73560961 \h </w:instrText>
          </w:r>
          <w:r>
            <w:fldChar w:fldCharType="separate"/>
          </w:r>
          <w:r>
            <w:t>5</w:t>
          </w:r>
          <w:r>
            <w:fldChar w:fldCharType="end"/>
          </w:r>
          <w:r>
            <w:fldChar w:fldCharType="end"/>
          </w:r>
        </w:p>
        <w:p>
          <w:pPr>
            <w:pStyle w:val="5"/>
            <w:tabs>
              <w:tab w:val="left" w:pos="1680"/>
              <w:tab w:val="right" w:leader="dot" w:pos="8630"/>
            </w:tabs>
          </w:pPr>
          <w:r>
            <w:fldChar w:fldCharType="begin"/>
          </w:r>
          <w:r>
            <w:instrText xml:space="preserve"> HYPERLINK \l "_Toc73560962" </w:instrText>
          </w:r>
          <w:r>
            <w:fldChar w:fldCharType="separate"/>
          </w:r>
          <w:r>
            <w:rPr>
              <w:rStyle w:val="13"/>
              <w:rFonts w:ascii="仿宋" w:hAnsi="仿宋" w:eastAsia="仿宋"/>
            </w:rPr>
            <w:t>3.1.1</w:t>
          </w:r>
          <w:r>
            <w:tab/>
          </w:r>
          <w:r>
            <w:rPr>
              <w:rStyle w:val="13"/>
              <w:rFonts w:ascii="黑体" w:hAnsi="黑体" w:eastAsia="黑体"/>
            </w:rPr>
            <w:t>功能概述</w:t>
          </w:r>
          <w:r>
            <w:tab/>
          </w:r>
          <w:r>
            <w:fldChar w:fldCharType="begin"/>
          </w:r>
          <w:r>
            <w:instrText xml:space="preserve"> PAGEREF _Toc73560962 \h </w:instrText>
          </w:r>
          <w:r>
            <w:fldChar w:fldCharType="separate"/>
          </w:r>
          <w:r>
            <w:t>5</w:t>
          </w:r>
          <w:r>
            <w:fldChar w:fldCharType="end"/>
          </w:r>
          <w:r>
            <w:fldChar w:fldCharType="end"/>
          </w:r>
        </w:p>
        <w:p>
          <w:pPr>
            <w:pStyle w:val="5"/>
            <w:tabs>
              <w:tab w:val="left" w:pos="1680"/>
              <w:tab w:val="right" w:leader="dot" w:pos="8630"/>
            </w:tabs>
          </w:pPr>
          <w:r>
            <w:fldChar w:fldCharType="begin"/>
          </w:r>
          <w:r>
            <w:instrText xml:space="preserve"> HYPERLINK \l "_Toc73560963" </w:instrText>
          </w:r>
          <w:r>
            <w:fldChar w:fldCharType="separate"/>
          </w:r>
          <w:r>
            <w:rPr>
              <w:rStyle w:val="13"/>
              <w:rFonts w:ascii="仿宋" w:hAnsi="仿宋" w:eastAsia="仿宋"/>
            </w:rPr>
            <w:t>3.1.2</w:t>
          </w:r>
          <w:r>
            <w:tab/>
          </w:r>
          <w:r>
            <w:rPr>
              <w:rStyle w:val="13"/>
              <w:rFonts w:ascii="黑体" w:hAnsi="黑体" w:eastAsia="黑体"/>
            </w:rPr>
            <w:t>界面</w:t>
          </w:r>
          <w:r>
            <w:tab/>
          </w:r>
          <w:r>
            <w:fldChar w:fldCharType="begin"/>
          </w:r>
          <w:r>
            <w:instrText xml:space="preserve"> PAGEREF _Toc73560963 \h </w:instrText>
          </w:r>
          <w:r>
            <w:fldChar w:fldCharType="separate"/>
          </w:r>
          <w:r>
            <w:t>5</w:t>
          </w:r>
          <w:r>
            <w:fldChar w:fldCharType="end"/>
          </w:r>
          <w:r>
            <w:fldChar w:fldCharType="end"/>
          </w:r>
        </w:p>
        <w:p>
          <w:pPr>
            <w:pStyle w:val="5"/>
            <w:tabs>
              <w:tab w:val="left" w:pos="1680"/>
              <w:tab w:val="right" w:leader="dot" w:pos="8630"/>
            </w:tabs>
          </w:pPr>
          <w:r>
            <w:fldChar w:fldCharType="begin"/>
          </w:r>
          <w:r>
            <w:instrText xml:space="preserve"> HYPERLINK \l "_Toc73560964" </w:instrText>
          </w:r>
          <w:r>
            <w:fldChar w:fldCharType="separate"/>
          </w:r>
          <w:r>
            <w:rPr>
              <w:rStyle w:val="13"/>
              <w:rFonts w:ascii="仿宋" w:hAnsi="仿宋" w:eastAsia="仿宋"/>
            </w:rPr>
            <w:t>3.1.3</w:t>
          </w:r>
          <w:r>
            <w:tab/>
          </w:r>
          <w:r>
            <w:rPr>
              <w:rStyle w:val="13"/>
              <w:rFonts w:ascii="黑体" w:hAnsi="黑体" w:eastAsia="黑体"/>
            </w:rPr>
            <w:t>流程图</w:t>
          </w:r>
          <w:r>
            <w:tab/>
          </w:r>
          <w:r>
            <w:fldChar w:fldCharType="begin"/>
          </w:r>
          <w:r>
            <w:instrText xml:space="preserve"> PAGEREF _Toc73560964 \h </w:instrText>
          </w:r>
          <w:r>
            <w:fldChar w:fldCharType="separate"/>
          </w:r>
          <w:r>
            <w:t>8</w:t>
          </w:r>
          <w:r>
            <w:fldChar w:fldCharType="end"/>
          </w:r>
          <w:r>
            <w:fldChar w:fldCharType="end"/>
          </w:r>
        </w:p>
        <w:p>
          <w:pPr>
            <w:pStyle w:val="9"/>
            <w:tabs>
              <w:tab w:val="left" w:pos="1050"/>
              <w:tab w:val="right" w:leader="dot" w:pos="8630"/>
            </w:tabs>
          </w:pPr>
          <w:r>
            <w:fldChar w:fldCharType="begin"/>
          </w:r>
          <w:r>
            <w:instrText xml:space="preserve"> HYPERLINK \l "_Toc73560965" </w:instrText>
          </w:r>
          <w:r>
            <w:fldChar w:fldCharType="separate"/>
          </w:r>
          <w:r>
            <w:rPr>
              <w:rStyle w:val="13"/>
              <w:rFonts w:ascii="仿宋" w:hAnsi="仿宋" w:eastAsia="仿宋"/>
            </w:rPr>
            <w:t>3.2</w:t>
          </w:r>
          <w:r>
            <w:tab/>
          </w:r>
          <w:r>
            <w:rPr>
              <w:rStyle w:val="13"/>
              <w:rFonts w:ascii="黑体" w:hAnsi="黑体" w:eastAsia="黑体"/>
            </w:rPr>
            <w:t>首页设计</w:t>
          </w:r>
          <w:r>
            <w:tab/>
          </w:r>
          <w:r>
            <w:fldChar w:fldCharType="begin"/>
          </w:r>
          <w:r>
            <w:instrText xml:space="preserve"> PAGEREF _Toc73560965 \h </w:instrText>
          </w:r>
          <w:r>
            <w:fldChar w:fldCharType="separate"/>
          </w:r>
          <w:r>
            <w:t>9</w:t>
          </w:r>
          <w:r>
            <w:fldChar w:fldCharType="end"/>
          </w:r>
          <w:r>
            <w:fldChar w:fldCharType="end"/>
          </w:r>
        </w:p>
        <w:p>
          <w:pPr>
            <w:pStyle w:val="5"/>
            <w:tabs>
              <w:tab w:val="left" w:pos="1680"/>
              <w:tab w:val="right" w:leader="dot" w:pos="8630"/>
            </w:tabs>
          </w:pPr>
          <w:r>
            <w:fldChar w:fldCharType="begin"/>
          </w:r>
          <w:r>
            <w:instrText xml:space="preserve"> HYPERLINK \l "_Toc73560966" </w:instrText>
          </w:r>
          <w:r>
            <w:fldChar w:fldCharType="separate"/>
          </w:r>
          <w:r>
            <w:rPr>
              <w:rStyle w:val="13"/>
              <w:rFonts w:ascii="仿宋" w:hAnsi="仿宋" w:eastAsia="仿宋"/>
            </w:rPr>
            <w:t>3.2.1</w:t>
          </w:r>
          <w:r>
            <w:tab/>
          </w:r>
          <w:r>
            <w:rPr>
              <w:rStyle w:val="13"/>
              <w:rFonts w:ascii="黑体" w:hAnsi="黑体" w:eastAsia="黑体"/>
            </w:rPr>
            <w:t>功能概述</w:t>
          </w:r>
          <w:r>
            <w:tab/>
          </w:r>
          <w:r>
            <w:fldChar w:fldCharType="begin"/>
          </w:r>
          <w:r>
            <w:instrText xml:space="preserve"> PAGEREF _Toc73560966 \h </w:instrText>
          </w:r>
          <w:r>
            <w:fldChar w:fldCharType="separate"/>
          </w:r>
          <w:r>
            <w:t>9</w:t>
          </w:r>
          <w:r>
            <w:fldChar w:fldCharType="end"/>
          </w:r>
          <w:r>
            <w:fldChar w:fldCharType="end"/>
          </w:r>
        </w:p>
        <w:p>
          <w:pPr>
            <w:pStyle w:val="5"/>
            <w:tabs>
              <w:tab w:val="left" w:pos="1680"/>
              <w:tab w:val="right" w:leader="dot" w:pos="8630"/>
            </w:tabs>
          </w:pPr>
          <w:r>
            <w:fldChar w:fldCharType="begin"/>
          </w:r>
          <w:r>
            <w:instrText xml:space="preserve"> HYPERLINK \l "_Toc73560967" </w:instrText>
          </w:r>
          <w:r>
            <w:fldChar w:fldCharType="separate"/>
          </w:r>
          <w:r>
            <w:rPr>
              <w:rStyle w:val="13"/>
              <w:rFonts w:ascii="仿宋" w:hAnsi="仿宋" w:eastAsia="仿宋"/>
            </w:rPr>
            <w:t>3.2.2</w:t>
          </w:r>
          <w:r>
            <w:tab/>
          </w:r>
          <w:r>
            <w:rPr>
              <w:rStyle w:val="13"/>
              <w:rFonts w:ascii="黑体" w:hAnsi="黑体" w:eastAsia="黑体"/>
            </w:rPr>
            <w:t>界面</w:t>
          </w:r>
          <w:r>
            <w:tab/>
          </w:r>
          <w:r>
            <w:fldChar w:fldCharType="begin"/>
          </w:r>
          <w:r>
            <w:instrText xml:space="preserve"> PAGEREF _Toc73560967 \h </w:instrText>
          </w:r>
          <w:r>
            <w:fldChar w:fldCharType="separate"/>
          </w:r>
          <w:r>
            <w:t>10</w:t>
          </w:r>
          <w:r>
            <w:fldChar w:fldCharType="end"/>
          </w:r>
          <w:r>
            <w:fldChar w:fldCharType="end"/>
          </w:r>
        </w:p>
        <w:p>
          <w:pPr>
            <w:pStyle w:val="9"/>
            <w:tabs>
              <w:tab w:val="left" w:pos="1050"/>
              <w:tab w:val="right" w:leader="dot" w:pos="8630"/>
            </w:tabs>
          </w:pPr>
          <w:r>
            <w:fldChar w:fldCharType="begin"/>
          </w:r>
          <w:r>
            <w:instrText xml:space="preserve"> HYPERLINK \l "_Toc73560968" </w:instrText>
          </w:r>
          <w:r>
            <w:fldChar w:fldCharType="separate"/>
          </w:r>
          <w:r>
            <w:rPr>
              <w:rStyle w:val="13"/>
              <w:rFonts w:ascii="仿宋" w:hAnsi="仿宋" w:eastAsia="仿宋"/>
            </w:rPr>
            <w:t>3.3</w:t>
          </w:r>
          <w:r>
            <w:tab/>
          </w:r>
          <w:r>
            <w:rPr>
              <w:rStyle w:val="13"/>
              <w:rFonts w:ascii="黑体" w:hAnsi="黑体" w:eastAsia="黑体"/>
            </w:rPr>
            <w:t>消息待办设计</w:t>
          </w:r>
          <w:r>
            <w:tab/>
          </w:r>
          <w:r>
            <w:fldChar w:fldCharType="begin"/>
          </w:r>
          <w:r>
            <w:instrText xml:space="preserve"> PAGEREF _Toc73560968 \h </w:instrText>
          </w:r>
          <w:r>
            <w:fldChar w:fldCharType="separate"/>
          </w:r>
          <w:r>
            <w:t>10</w:t>
          </w:r>
          <w:r>
            <w:fldChar w:fldCharType="end"/>
          </w:r>
          <w:r>
            <w:fldChar w:fldCharType="end"/>
          </w:r>
        </w:p>
        <w:p>
          <w:pPr>
            <w:pStyle w:val="5"/>
            <w:tabs>
              <w:tab w:val="left" w:pos="1680"/>
              <w:tab w:val="right" w:leader="dot" w:pos="8630"/>
            </w:tabs>
          </w:pPr>
          <w:r>
            <w:fldChar w:fldCharType="begin"/>
          </w:r>
          <w:r>
            <w:instrText xml:space="preserve"> HYPERLINK \l "_Toc73560969" </w:instrText>
          </w:r>
          <w:r>
            <w:fldChar w:fldCharType="separate"/>
          </w:r>
          <w:r>
            <w:rPr>
              <w:rStyle w:val="13"/>
              <w:rFonts w:ascii="仿宋" w:hAnsi="仿宋" w:eastAsia="仿宋"/>
            </w:rPr>
            <w:t>3.3.1</w:t>
          </w:r>
          <w:r>
            <w:tab/>
          </w:r>
          <w:r>
            <w:rPr>
              <w:rStyle w:val="13"/>
              <w:rFonts w:ascii="黑体" w:hAnsi="黑体" w:eastAsia="黑体"/>
            </w:rPr>
            <w:t>功能概述</w:t>
          </w:r>
          <w:r>
            <w:tab/>
          </w:r>
          <w:r>
            <w:fldChar w:fldCharType="begin"/>
          </w:r>
          <w:r>
            <w:instrText xml:space="preserve"> PAGEREF _Toc73560969 \h </w:instrText>
          </w:r>
          <w:r>
            <w:fldChar w:fldCharType="separate"/>
          </w:r>
          <w:r>
            <w:t>10</w:t>
          </w:r>
          <w:r>
            <w:fldChar w:fldCharType="end"/>
          </w:r>
          <w:r>
            <w:fldChar w:fldCharType="end"/>
          </w:r>
        </w:p>
        <w:p>
          <w:pPr>
            <w:pStyle w:val="5"/>
            <w:tabs>
              <w:tab w:val="left" w:pos="1680"/>
              <w:tab w:val="right" w:leader="dot" w:pos="8630"/>
            </w:tabs>
          </w:pPr>
          <w:r>
            <w:fldChar w:fldCharType="begin"/>
          </w:r>
          <w:r>
            <w:instrText xml:space="preserve"> HYPERLINK \l "_Toc73560970" </w:instrText>
          </w:r>
          <w:r>
            <w:fldChar w:fldCharType="separate"/>
          </w:r>
          <w:r>
            <w:rPr>
              <w:rStyle w:val="13"/>
              <w:rFonts w:ascii="仿宋" w:hAnsi="仿宋" w:eastAsia="仿宋"/>
            </w:rPr>
            <w:t>3.3.2</w:t>
          </w:r>
          <w:r>
            <w:tab/>
          </w:r>
          <w:r>
            <w:rPr>
              <w:rStyle w:val="13"/>
              <w:rFonts w:ascii="黑体" w:hAnsi="黑体" w:eastAsia="黑体"/>
            </w:rPr>
            <w:t>界面</w:t>
          </w:r>
          <w:r>
            <w:tab/>
          </w:r>
          <w:r>
            <w:fldChar w:fldCharType="begin"/>
          </w:r>
          <w:r>
            <w:instrText xml:space="preserve"> PAGEREF _Toc73560970 \h </w:instrText>
          </w:r>
          <w:r>
            <w:fldChar w:fldCharType="separate"/>
          </w:r>
          <w:r>
            <w:t>11</w:t>
          </w:r>
          <w:r>
            <w:fldChar w:fldCharType="end"/>
          </w:r>
          <w:r>
            <w:fldChar w:fldCharType="end"/>
          </w:r>
        </w:p>
        <w:p>
          <w:pPr>
            <w:pStyle w:val="5"/>
            <w:tabs>
              <w:tab w:val="left" w:pos="1680"/>
              <w:tab w:val="right" w:leader="dot" w:pos="8630"/>
            </w:tabs>
          </w:pPr>
          <w:r>
            <w:fldChar w:fldCharType="begin"/>
          </w:r>
          <w:r>
            <w:instrText xml:space="preserve"> HYPERLINK \l "_Toc73560971" </w:instrText>
          </w:r>
          <w:r>
            <w:fldChar w:fldCharType="separate"/>
          </w:r>
          <w:r>
            <w:rPr>
              <w:rStyle w:val="13"/>
              <w:rFonts w:ascii="仿宋" w:hAnsi="仿宋" w:eastAsia="仿宋"/>
            </w:rPr>
            <w:t>3.3.3</w:t>
          </w:r>
          <w:r>
            <w:tab/>
          </w:r>
          <w:r>
            <w:rPr>
              <w:rStyle w:val="13"/>
              <w:rFonts w:ascii="黑体" w:hAnsi="黑体" w:eastAsia="黑体"/>
            </w:rPr>
            <w:t>流程图</w:t>
          </w:r>
          <w:r>
            <w:tab/>
          </w:r>
          <w:r>
            <w:fldChar w:fldCharType="begin"/>
          </w:r>
          <w:r>
            <w:instrText xml:space="preserve"> PAGEREF _Toc73560971 \h </w:instrText>
          </w:r>
          <w:r>
            <w:fldChar w:fldCharType="separate"/>
          </w:r>
          <w:r>
            <w:t>12</w:t>
          </w:r>
          <w:r>
            <w:fldChar w:fldCharType="end"/>
          </w:r>
          <w:r>
            <w:fldChar w:fldCharType="end"/>
          </w:r>
        </w:p>
        <w:p>
          <w:pPr>
            <w:pStyle w:val="9"/>
            <w:tabs>
              <w:tab w:val="left" w:pos="1050"/>
              <w:tab w:val="right" w:leader="dot" w:pos="8630"/>
            </w:tabs>
          </w:pPr>
          <w:r>
            <w:fldChar w:fldCharType="begin"/>
          </w:r>
          <w:r>
            <w:instrText xml:space="preserve"> HYPERLINK \l "_Toc73560972" </w:instrText>
          </w:r>
          <w:r>
            <w:fldChar w:fldCharType="separate"/>
          </w:r>
          <w:r>
            <w:rPr>
              <w:rStyle w:val="13"/>
              <w:rFonts w:ascii="仿宋" w:hAnsi="仿宋" w:eastAsia="仿宋"/>
            </w:rPr>
            <w:t>3.4</w:t>
          </w:r>
          <w:r>
            <w:tab/>
          </w:r>
          <w:r>
            <w:rPr>
              <w:rStyle w:val="13"/>
              <w:rFonts w:ascii="黑体" w:hAnsi="黑体" w:eastAsia="黑体"/>
            </w:rPr>
            <w:t>需求报送设计</w:t>
          </w:r>
          <w:r>
            <w:tab/>
          </w:r>
          <w:r>
            <w:fldChar w:fldCharType="begin"/>
          </w:r>
          <w:r>
            <w:instrText xml:space="preserve"> PAGEREF _Toc73560972 \h </w:instrText>
          </w:r>
          <w:r>
            <w:fldChar w:fldCharType="separate"/>
          </w:r>
          <w:r>
            <w:t>15</w:t>
          </w:r>
          <w:r>
            <w:fldChar w:fldCharType="end"/>
          </w:r>
          <w:r>
            <w:fldChar w:fldCharType="end"/>
          </w:r>
        </w:p>
        <w:p>
          <w:pPr>
            <w:pStyle w:val="5"/>
            <w:tabs>
              <w:tab w:val="left" w:pos="1680"/>
              <w:tab w:val="right" w:leader="dot" w:pos="8630"/>
            </w:tabs>
          </w:pPr>
          <w:r>
            <w:fldChar w:fldCharType="begin"/>
          </w:r>
          <w:r>
            <w:instrText xml:space="preserve"> HYPERLINK \l "_Toc73560973" </w:instrText>
          </w:r>
          <w:r>
            <w:fldChar w:fldCharType="separate"/>
          </w:r>
          <w:r>
            <w:rPr>
              <w:rStyle w:val="13"/>
              <w:rFonts w:ascii="仿宋" w:hAnsi="仿宋" w:eastAsia="仿宋"/>
            </w:rPr>
            <w:t>3.4.1</w:t>
          </w:r>
          <w:r>
            <w:tab/>
          </w:r>
          <w:r>
            <w:rPr>
              <w:rStyle w:val="13"/>
              <w:rFonts w:ascii="黑体" w:hAnsi="黑体" w:eastAsia="黑体"/>
            </w:rPr>
            <w:t>功能概述</w:t>
          </w:r>
          <w:r>
            <w:tab/>
          </w:r>
          <w:r>
            <w:fldChar w:fldCharType="begin"/>
          </w:r>
          <w:r>
            <w:instrText xml:space="preserve"> PAGEREF _Toc73560973 \h </w:instrText>
          </w:r>
          <w:r>
            <w:fldChar w:fldCharType="separate"/>
          </w:r>
          <w:r>
            <w:t>15</w:t>
          </w:r>
          <w:r>
            <w:fldChar w:fldCharType="end"/>
          </w:r>
          <w:r>
            <w:fldChar w:fldCharType="end"/>
          </w:r>
        </w:p>
        <w:p>
          <w:pPr>
            <w:pStyle w:val="5"/>
            <w:tabs>
              <w:tab w:val="left" w:pos="1680"/>
              <w:tab w:val="right" w:leader="dot" w:pos="8630"/>
            </w:tabs>
          </w:pPr>
          <w:r>
            <w:fldChar w:fldCharType="begin"/>
          </w:r>
          <w:r>
            <w:instrText xml:space="preserve"> HYPERLINK \l "_Toc73560974" </w:instrText>
          </w:r>
          <w:r>
            <w:fldChar w:fldCharType="separate"/>
          </w:r>
          <w:r>
            <w:rPr>
              <w:rStyle w:val="13"/>
              <w:rFonts w:ascii="仿宋" w:hAnsi="仿宋" w:eastAsia="仿宋"/>
            </w:rPr>
            <w:t>3.4.2</w:t>
          </w:r>
          <w:r>
            <w:tab/>
          </w:r>
          <w:r>
            <w:rPr>
              <w:rStyle w:val="13"/>
              <w:rFonts w:ascii="黑体" w:hAnsi="黑体" w:eastAsia="黑体"/>
            </w:rPr>
            <w:t>界面</w:t>
          </w:r>
          <w:r>
            <w:tab/>
          </w:r>
          <w:r>
            <w:fldChar w:fldCharType="begin"/>
          </w:r>
          <w:r>
            <w:instrText xml:space="preserve"> PAGEREF _Toc73560974 \h </w:instrText>
          </w:r>
          <w:r>
            <w:fldChar w:fldCharType="separate"/>
          </w:r>
          <w:r>
            <w:t>16</w:t>
          </w:r>
          <w:r>
            <w:fldChar w:fldCharType="end"/>
          </w:r>
          <w:r>
            <w:fldChar w:fldCharType="end"/>
          </w:r>
        </w:p>
        <w:p>
          <w:pPr>
            <w:pStyle w:val="5"/>
            <w:tabs>
              <w:tab w:val="left" w:pos="1680"/>
              <w:tab w:val="right" w:leader="dot" w:pos="8630"/>
            </w:tabs>
          </w:pPr>
          <w:r>
            <w:fldChar w:fldCharType="begin"/>
          </w:r>
          <w:r>
            <w:instrText xml:space="preserve"> HYPERLINK \l "_Toc73560975" </w:instrText>
          </w:r>
          <w:r>
            <w:fldChar w:fldCharType="separate"/>
          </w:r>
          <w:r>
            <w:rPr>
              <w:rStyle w:val="13"/>
              <w:rFonts w:ascii="仿宋" w:hAnsi="仿宋" w:eastAsia="仿宋"/>
            </w:rPr>
            <w:t>3.4.3</w:t>
          </w:r>
          <w:r>
            <w:tab/>
          </w:r>
          <w:r>
            <w:rPr>
              <w:rStyle w:val="13"/>
              <w:rFonts w:ascii="黑体" w:hAnsi="黑体" w:eastAsia="黑体"/>
            </w:rPr>
            <w:t>流程图</w:t>
          </w:r>
          <w:r>
            <w:tab/>
          </w:r>
          <w:r>
            <w:fldChar w:fldCharType="begin"/>
          </w:r>
          <w:r>
            <w:instrText xml:space="preserve"> PAGEREF _Toc73560975 \h </w:instrText>
          </w:r>
          <w:r>
            <w:fldChar w:fldCharType="separate"/>
          </w:r>
          <w:r>
            <w:t>20</w:t>
          </w:r>
          <w:r>
            <w:fldChar w:fldCharType="end"/>
          </w:r>
          <w:r>
            <w:fldChar w:fldCharType="end"/>
          </w:r>
        </w:p>
        <w:p>
          <w:pPr>
            <w:pStyle w:val="9"/>
            <w:tabs>
              <w:tab w:val="left" w:pos="1050"/>
              <w:tab w:val="right" w:leader="dot" w:pos="8630"/>
            </w:tabs>
          </w:pPr>
          <w:r>
            <w:fldChar w:fldCharType="begin"/>
          </w:r>
          <w:r>
            <w:instrText xml:space="preserve"> HYPERLINK \l "_Toc73560976" </w:instrText>
          </w:r>
          <w:r>
            <w:fldChar w:fldCharType="separate"/>
          </w:r>
          <w:r>
            <w:rPr>
              <w:rStyle w:val="13"/>
              <w:rFonts w:ascii="仿宋" w:hAnsi="仿宋" w:eastAsia="仿宋"/>
            </w:rPr>
            <w:t>3.5</w:t>
          </w:r>
          <w:r>
            <w:tab/>
          </w:r>
          <w:r>
            <w:rPr>
              <w:rStyle w:val="13"/>
              <w:rFonts w:ascii="黑体" w:hAnsi="黑体" w:eastAsia="黑体"/>
            </w:rPr>
            <w:t>保单管理设计</w:t>
          </w:r>
          <w:r>
            <w:tab/>
          </w:r>
          <w:r>
            <w:fldChar w:fldCharType="begin"/>
          </w:r>
          <w:r>
            <w:instrText xml:space="preserve"> PAGEREF _Toc73560976 \h </w:instrText>
          </w:r>
          <w:r>
            <w:fldChar w:fldCharType="separate"/>
          </w:r>
          <w:r>
            <w:t>21</w:t>
          </w:r>
          <w:r>
            <w:fldChar w:fldCharType="end"/>
          </w:r>
          <w:r>
            <w:fldChar w:fldCharType="end"/>
          </w:r>
        </w:p>
        <w:p>
          <w:pPr>
            <w:pStyle w:val="5"/>
            <w:tabs>
              <w:tab w:val="left" w:pos="1680"/>
              <w:tab w:val="right" w:leader="dot" w:pos="8630"/>
            </w:tabs>
          </w:pPr>
          <w:r>
            <w:fldChar w:fldCharType="begin"/>
          </w:r>
          <w:r>
            <w:instrText xml:space="preserve"> HYPERLINK \l "_Toc73560977" </w:instrText>
          </w:r>
          <w:r>
            <w:fldChar w:fldCharType="separate"/>
          </w:r>
          <w:r>
            <w:rPr>
              <w:rStyle w:val="13"/>
              <w:rFonts w:ascii="仿宋" w:hAnsi="仿宋" w:eastAsia="仿宋"/>
            </w:rPr>
            <w:t>3.5.1</w:t>
          </w:r>
          <w:r>
            <w:tab/>
          </w:r>
          <w:r>
            <w:rPr>
              <w:rStyle w:val="13"/>
              <w:rFonts w:ascii="黑体" w:hAnsi="黑体" w:eastAsia="黑体"/>
            </w:rPr>
            <w:t>功能概述</w:t>
          </w:r>
          <w:r>
            <w:tab/>
          </w:r>
          <w:r>
            <w:fldChar w:fldCharType="begin"/>
          </w:r>
          <w:r>
            <w:instrText xml:space="preserve"> PAGEREF _Toc73560977 \h </w:instrText>
          </w:r>
          <w:r>
            <w:fldChar w:fldCharType="separate"/>
          </w:r>
          <w:r>
            <w:t>21</w:t>
          </w:r>
          <w:r>
            <w:fldChar w:fldCharType="end"/>
          </w:r>
          <w:r>
            <w:fldChar w:fldCharType="end"/>
          </w:r>
        </w:p>
        <w:p>
          <w:pPr>
            <w:pStyle w:val="5"/>
            <w:tabs>
              <w:tab w:val="left" w:pos="1680"/>
              <w:tab w:val="right" w:leader="dot" w:pos="8630"/>
            </w:tabs>
          </w:pPr>
          <w:r>
            <w:fldChar w:fldCharType="begin"/>
          </w:r>
          <w:r>
            <w:instrText xml:space="preserve"> HYPERLINK \l "_Toc73560978" </w:instrText>
          </w:r>
          <w:r>
            <w:fldChar w:fldCharType="separate"/>
          </w:r>
          <w:r>
            <w:rPr>
              <w:rStyle w:val="13"/>
              <w:rFonts w:ascii="仿宋" w:hAnsi="仿宋" w:eastAsia="仿宋"/>
            </w:rPr>
            <w:t>3.5.2</w:t>
          </w:r>
          <w:r>
            <w:tab/>
          </w:r>
          <w:r>
            <w:rPr>
              <w:rStyle w:val="13"/>
              <w:rFonts w:ascii="黑体" w:hAnsi="黑体" w:eastAsia="黑体"/>
            </w:rPr>
            <w:t>界面</w:t>
          </w:r>
          <w:r>
            <w:tab/>
          </w:r>
          <w:r>
            <w:fldChar w:fldCharType="begin"/>
          </w:r>
          <w:r>
            <w:instrText xml:space="preserve"> PAGEREF _Toc73560978 \h </w:instrText>
          </w:r>
          <w:r>
            <w:fldChar w:fldCharType="separate"/>
          </w:r>
          <w:r>
            <w:t>21</w:t>
          </w:r>
          <w:r>
            <w:fldChar w:fldCharType="end"/>
          </w:r>
          <w:r>
            <w:fldChar w:fldCharType="end"/>
          </w:r>
        </w:p>
        <w:p>
          <w:pPr>
            <w:pStyle w:val="5"/>
            <w:tabs>
              <w:tab w:val="left" w:pos="1680"/>
              <w:tab w:val="right" w:leader="dot" w:pos="8630"/>
            </w:tabs>
          </w:pPr>
          <w:r>
            <w:fldChar w:fldCharType="begin"/>
          </w:r>
          <w:r>
            <w:instrText xml:space="preserve"> HYPERLINK \l "_Toc73560979" </w:instrText>
          </w:r>
          <w:r>
            <w:fldChar w:fldCharType="separate"/>
          </w:r>
          <w:r>
            <w:rPr>
              <w:rStyle w:val="13"/>
              <w:rFonts w:ascii="仿宋" w:hAnsi="仿宋" w:eastAsia="仿宋"/>
            </w:rPr>
            <w:t>3.5.3</w:t>
          </w:r>
          <w:r>
            <w:tab/>
          </w:r>
          <w:r>
            <w:rPr>
              <w:rStyle w:val="13"/>
              <w:rFonts w:ascii="黑体" w:hAnsi="黑体" w:eastAsia="黑体"/>
            </w:rPr>
            <w:t>理赔流程图</w:t>
          </w:r>
          <w:r>
            <w:tab/>
          </w:r>
          <w:r>
            <w:fldChar w:fldCharType="begin"/>
          </w:r>
          <w:r>
            <w:instrText xml:space="preserve"> PAGEREF _Toc73560979 \h </w:instrText>
          </w:r>
          <w:r>
            <w:fldChar w:fldCharType="separate"/>
          </w:r>
          <w:r>
            <w:t>27</w:t>
          </w:r>
          <w:r>
            <w:fldChar w:fldCharType="end"/>
          </w:r>
          <w:r>
            <w:fldChar w:fldCharType="end"/>
          </w:r>
        </w:p>
        <w:p>
          <w:pPr>
            <w:pStyle w:val="9"/>
            <w:tabs>
              <w:tab w:val="left" w:pos="1050"/>
              <w:tab w:val="right" w:leader="dot" w:pos="8630"/>
            </w:tabs>
          </w:pPr>
          <w:r>
            <w:fldChar w:fldCharType="begin"/>
          </w:r>
          <w:r>
            <w:instrText xml:space="preserve"> HYPERLINK \l "_Toc73560980" </w:instrText>
          </w:r>
          <w:r>
            <w:fldChar w:fldCharType="separate"/>
          </w:r>
          <w:r>
            <w:rPr>
              <w:rStyle w:val="13"/>
              <w:rFonts w:ascii="仿宋" w:hAnsi="仿宋" w:eastAsia="仿宋"/>
            </w:rPr>
            <w:t>3.6</w:t>
          </w:r>
          <w:r>
            <w:tab/>
          </w:r>
          <w:r>
            <w:rPr>
              <w:rStyle w:val="13"/>
              <w:rFonts w:ascii="黑体" w:hAnsi="黑体" w:eastAsia="黑体"/>
            </w:rPr>
            <w:t>履约评价设计</w:t>
          </w:r>
          <w:r>
            <w:tab/>
          </w:r>
          <w:r>
            <w:fldChar w:fldCharType="begin"/>
          </w:r>
          <w:r>
            <w:instrText xml:space="preserve"> PAGEREF _Toc73560980 \h </w:instrText>
          </w:r>
          <w:r>
            <w:fldChar w:fldCharType="separate"/>
          </w:r>
          <w:r>
            <w:t>28</w:t>
          </w:r>
          <w:r>
            <w:fldChar w:fldCharType="end"/>
          </w:r>
          <w:r>
            <w:fldChar w:fldCharType="end"/>
          </w:r>
        </w:p>
        <w:p>
          <w:pPr>
            <w:pStyle w:val="5"/>
            <w:tabs>
              <w:tab w:val="left" w:pos="1680"/>
              <w:tab w:val="right" w:leader="dot" w:pos="8630"/>
            </w:tabs>
          </w:pPr>
          <w:r>
            <w:fldChar w:fldCharType="begin"/>
          </w:r>
          <w:r>
            <w:instrText xml:space="preserve"> HYPERLINK \l "_Toc73560981" </w:instrText>
          </w:r>
          <w:r>
            <w:fldChar w:fldCharType="separate"/>
          </w:r>
          <w:r>
            <w:rPr>
              <w:rStyle w:val="13"/>
              <w:rFonts w:ascii="仿宋" w:hAnsi="仿宋" w:eastAsia="仿宋"/>
            </w:rPr>
            <w:t>3.6.1</w:t>
          </w:r>
          <w:r>
            <w:tab/>
          </w:r>
          <w:r>
            <w:rPr>
              <w:rStyle w:val="13"/>
              <w:rFonts w:ascii="黑体" w:hAnsi="黑体" w:eastAsia="黑体"/>
            </w:rPr>
            <w:t>功能概述</w:t>
          </w:r>
          <w:r>
            <w:tab/>
          </w:r>
          <w:r>
            <w:fldChar w:fldCharType="begin"/>
          </w:r>
          <w:r>
            <w:instrText xml:space="preserve"> PAGEREF _Toc73560981 \h </w:instrText>
          </w:r>
          <w:r>
            <w:fldChar w:fldCharType="separate"/>
          </w:r>
          <w:r>
            <w:t>28</w:t>
          </w:r>
          <w:r>
            <w:fldChar w:fldCharType="end"/>
          </w:r>
          <w:r>
            <w:fldChar w:fldCharType="end"/>
          </w:r>
        </w:p>
        <w:p>
          <w:pPr>
            <w:pStyle w:val="5"/>
            <w:tabs>
              <w:tab w:val="left" w:pos="1680"/>
              <w:tab w:val="right" w:leader="dot" w:pos="8630"/>
            </w:tabs>
          </w:pPr>
          <w:r>
            <w:fldChar w:fldCharType="begin"/>
          </w:r>
          <w:r>
            <w:instrText xml:space="preserve"> HYPERLINK \l "_Toc73560982" </w:instrText>
          </w:r>
          <w:r>
            <w:fldChar w:fldCharType="separate"/>
          </w:r>
          <w:r>
            <w:rPr>
              <w:rStyle w:val="13"/>
              <w:rFonts w:ascii="仿宋" w:hAnsi="仿宋" w:eastAsia="仿宋"/>
            </w:rPr>
            <w:t>3.6.2</w:t>
          </w:r>
          <w:r>
            <w:tab/>
          </w:r>
          <w:r>
            <w:rPr>
              <w:rStyle w:val="13"/>
              <w:rFonts w:ascii="黑体" w:hAnsi="黑体" w:eastAsia="黑体"/>
            </w:rPr>
            <w:t>界面</w:t>
          </w:r>
          <w:r>
            <w:tab/>
          </w:r>
          <w:r>
            <w:fldChar w:fldCharType="begin"/>
          </w:r>
          <w:r>
            <w:instrText xml:space="preserve"> PAGEREF _Toc73560982 \h </w:instrText>
          </w:r>
          <w:r>
            <w:fldChar w:fldCharType="separate"/>
          </w:r>
          <w:r>
            <w:t>28</w:t>
          </w:r>
          <w:r>
            <w:fldChar w:fldCharType="end"/>
          </w:r>
          <w:r>
            <w:fldChar w:fldCharType="end"/>
          </w:r>
        </w:p>
        <w:p>
          <w:pPr>
            <w:pStyle w:val="5"/>
            <w:tabs>
              <w:tab w:val="left" w:pos="1680"/>
              <w:tab w:val="right" w:leader="dot" w:pos="8630"/>
            </w:tabs>
          </w:pPr>
          <w:r>
            <w:fldChar w:fldCharType="begin"/>
          </w:r>
          <w:r>
            <w:instrText xml:space="preserve"> HYPERLINK \l "_Toc73560983" </w:instrText>
          </w:r>
          <w:r>
            <w:fldChar w:fldCharType="separate"/>
          </w:r>
          <w:r>
            <w:rPr>
              <w:rStyle w:val="13"/>
              <w:rFonts w:ascii="仿宋" w:hAnsi="仿宋" w:eastAsia="仿宋"/>
            </w:rPr>
            <w:t>3.6.3</w:t>
          </w:r>
          <w:r>
            <w:tab/>
          </w:r>
          <w:r>
            <w:rPr>
              <w:rStyle w:val="13"/>
              <w:rFonts w:ascii="黑体" w:hAnsi="黑体" w:eastAsia="黑体"/>
            </w:rPr>
            <w:t>流程图</w:t>
          </w:r>
          <w:r>
            <w:tab/>
          </w:r>
          <w:r>
            <w:fldChar w:fldCharType="begin"/>
          </w:r>
          <w:r>
            <w:instrText xml:space="preserve"> PAGEREF _Toc73560983 \h </w:instrText>
          </w:r>
          <w:r>
            <w:fldChar w:fldCharType="separate"/>
          </w:r>
          <w:r>
            <w:t>32</w:t>
          </w:r>
          <w:r>
            <w:fldChar w:fldCharType="end"/>
          </w:r>
          <w:r>
            <w:fldChar w:fldCharType="end"/>
          </w:r>
        </w:p>
        <w:p>
          <w:pPr>
            <w:pStyle w:val="9"/>
            <w:tabs>
              <w:tab w:val="left" w:pos="1050"/>
              <w:tab w:val="right" w:leader="dot" w:pos="8630"/>
            </w:tabs>
          </w:pPr>
          <w:r>
            <w:fldChar w:fldCharType="begin"/>
          </w:r>
          <w:r>
            <w:instrText xml:space="preserve"> HYPERLINK \l "_Toc73560984" </w:instrText>
          </w:r>
          <w:r>
            <w:fldChar w:fldCharType="separate"/>
          </w:r>
          <w:r>
            <w:rPr>
              <w:rStyle w:val="13"/>
              <w:rFonts w:ascii="仿宋" w:hAnsi="仿宋" w:eastAsia="仿宋"/>
            </w:rPr>
            <w:t>3.7</w:t>
          </w:r>
          <w:r>
            <w:tab/>
          </w:r>
          <w:r>
            <w:rPr>
              <w:rStyle w:val="13"/>
              <w:rFonts w:ascii="黑体" w:hAnsi="黑体" w:eastAsia="黑体"/>
            </w:rPr>
            <w:t>报表统计设计</w:t>
          </w:r>
          <w:r>
            <w:tab/>
          </w:r>
          <w:r>
            <w:fldChar w:fldCharType="begin"/>
          </w:r>
          <w:r>
            <w:instrText xml:space="preserve"> PAGEREF _Toc73560984 \h </w:instrText>
          </w:r>
          <w:r>
            <w:fldChar w:fldCharType="separate"/>
          </w:r>
          <w:r>
            <w:t>38</w:t>
          </w:r>
          <w:r>
            <w:fldChar w:fldCharType="end"/>
          </w:r>
          <w:r>
            <w:fldChar w:fldCharType="end"/>
          </w:r>
        </w:p>
        <w:p>
          <w:pPr>
            <w:pStyle w:val="5"/>
            <w:tabs>
              <w:tab w:val="left" w:pos="1680"/>
              <w:tab w:val="right" w:leader="dot" w:pos="8630"/>
            </w:tabs>
          </w:pPr>
          <w:r>
            <w:fldChar w:fldCharType="begin"/>
          </w:r>
          <w:r>
            <w:instrText xml:space="preserve"> HYPERLINK \l "_Toc73560985" </w:instrText>
          </w:r>
          <w:r>
            <w:fldChar w:fldCharType="separate"/>
          </w:r>
          <w:r>
            <w:rPr>
              <w:rStyle w:val="13"/>
              <w:rFonts w:ascii="仿宋" w:hAnsi="仿宋" w:eastAsia="仿宋"/>
            </w:rPr>
            <w:t>3.7.1</w:t>
          </w:r>
          <w:r>
            <w:tab/>
          </w:r>
          <w:r>
            <w:rPr>
              <w:rStyle w:val="13"/>
              <w:rFonts w:ascii="黑体" w:hAnsi="黑体" w:eastAsia="黑体"/>
            </w:rPr>
            <w:t>功能概述</w:t>
          </w:r>
          <w:r>
            <w:tab/>
          </w:r>
          <w:r>
            <w:fldChar w:fldCharType="begin"/>
          </w:r>
          <w:r>
            <w:instrText xml:space="preserve"> PAGEREF _Toc73560985 \h </w:instrText>
          </w:r>
          <w:r>
            <w:fldChar w:fldCharType="separate"/>
          </w:r>
          <w:r>
            <w:t>38</w:t>
          </w:r>
          <w:r>
            <w:fldChar w:fldCharType="end"/>
          </w:r>
          <w:r>
            <w:fldChar w:fldCharType="end"/>
          </w:r>
        </w:p>
        <w:p>
          <w:pPr>
            <w:pStyle w:val="5"/>
            <w:tabs>
              <w:tab w:val="left" w:pos="1680"/>
              <w:tab w:val="right" w:leader="dot" w:pos="8630"/>
            </w:tabs>
          </w:pPr>
          <w:r>
            <w:fldChar w:fldCharType="begin"/>
          </w:r>
          <w:r>
            <w:instrText xml:space="preserve"> HYPERLINK \l "_Toc73560986" </w:instrText>
          </w:r>
          <w:r>
            <w:fldChar w:fldCharType="separate"/>
          </w:r>
          <w:r>
            <w:rPr>
              <w:rStyle w:val="13"/>
              <w:rFonts w:ascii="仿宋" w:hAnsi="仿宋" w:eastAsia="仿宋"/>
            </w:rPr>
            <w:t>3.7.2</w:t>
          </w:r>
          <w:r>
            <w:tab/>
          </w:r>
          <w:r>
            <w:rPr>
              <w:rStyle w:val="13"/>
              <w:rFonts w:ascii="黑体" w:hAnsi="黑体" w:eastAsia="黑体"/>
            </w:rPr>
            <w:t>界面</w:t>
          </w:r>
          <w:r>
            <w:tab/>
          </w:r>
          <w:r>
            <w:fldChar w:fldCharType="begin"/>
          </w:r>
          <w:r>
            <w:instrText xml:space="preserve"> PAGEREF _Toc73560986 \h </w:instrText>
          </w:r>
          <w:r>
            <w:fldChar w:fldCharType="separate"/>
          </w:r>
          <w:r>
            <w:t>39</w:t>
          </w:r>
          <w:r>
            <w:fldChar w:fldCharType="end"/>
          </w:r>
          <w:r>
            <w:fldChar w:fldCharType="end"/>
          </w:r>
        </w:p>
        <w:p>
          <w:pPr>
            <w:pStyle w:val="8"/>
            <w:tabs>
              <w:tab w:val="left" w:pos="420"/>
              <w:tab w:val="right" w:leader="dot" w:pos="8630"/>
            </w:tabs>
          </w:pPr>
          <w:r>
            <w:fldChar w:fldCharType="begin"/>
          </w:r>
          <w:r>
            <w:instrText xml:space="preserve"> HYPERLINK \l "_Toc73560987" </w:instrText>
          </w:r>
          <w:r>
            <w:fldChar w:fldCharType="separate"/>
          </w:r>
          <w:r>
            <w:rPr>
              <w:rStyle w:val="13"/>
              <w:rFonts w:ascii="仿宋" w:hAnsi="仿宋" w:eastAsia="仿宋"/>
            </w:rPr>
            <w:t>4</w:t>
          </w:r>
          <w:r>
            <w:tab/>
          </w:r>
          <w:r>
            <w:rPr>
              <w:rStyle w:val="13"/>
              <w:rFonts w:ascii="仿宋" w:hAnsi="仿宋" w:eastAsia="仿宋"/>
            </w:rPr>
            <w:t>数据库表结构设计</w:t>
          </w:r>
          <w:r>
            <w:tab/>
          </w:r>
          <w:r>
            <w:fldChar w:fldCharType="begin"/>
          </w:r>
          <w:r>
            <w:instrText xml:space="preserve"> PAGEREF _Toc73560987 \h </w:instrText>
          </w:r>
          <w:r>
            <w:fldChar w:fldCharType="separate"/>
          </w:r>
          <w:r>
            <w:t>41</w:t>
          </w:r>
          <w:r>
            <w:fldChar w:fldCharType="end"/>
          </w:r>
          <w:r>
            <w:fldChar w:fldCharType="end"/>
          </w:r>
        </w:p>
        <w:p>
          <w:pPr>
            <w:pStyle w:val="9"/>
            <w:tabs>
              <w:tab w:val="left" w:pos="1050"/>
              <w:tab w:val="right" w:leader="dot" w:pos="8630"/>
            </w:tabs>
          </w:pPr>
          <w:r>
            <w:fldChar w:fldCharType="begin"/>
          </w:r>
          <w:r>
            <w:instrText xml:space="preserve"> HYPERLINK \l "_Toc73560988" </w:instrText>
          </w:r>
          <w:r>
            <w:fldChar w:fldCharType="separate"/>
          </w:r>
          <w:r>
            <w:rPr>
              <w:rStyle w:val="13"/>
              <w:rFonts w:ascii="仿宋" w:hAnsi="仿宋" w:eastAsia="仿宋"/>
            </w:rPr>
            <w:t>4.1</w:t>
          </w:r>
          <w:r>
            <w:tab/>
          </w:r>
          <w:r>
            <w:rPr>
              <w:rStyle w:val="13"/>
              <w:rFonts w:ascii="黑体" w:hAnsi="黑体" w:eastAsia="黑体"/>
            </w:rPr>
            <w:t>消息中心模块</w:t>
          </w:r>
          <w:r>
            <w:tab/>
          </w:r>
          <w:r>
            <w:fldChar w:fldCharType="begin"/>
          </w:r>
          <w:r>
            <w:instrText xml:space="preserve"> PAGEREF _Toc73560988 \h </w:instrText>
          </w:r>
          <w:r>
            <w:fldChar w:fldCharType="separate"/>
          </w:r>
          <w:r>
            <w:t>42</w:t>
          </w:r>
          <w:r>
            <w:fldChar w:fldCharType="end"/>
          </w:r>
          <w:r>
            <w:fldChar w:fldCharType="end"/>
          </w:r>
        </w:p>
        <w:p>
          <w:pPr>
            <w:pStyle w:val="9"/>
            <w:tabs>
              <w:tab w:val="left" w:pos="1050"/>
              <w:tab w:val="right" w:leader="dot" w:pos="8630"/>
            </w:tabs>
          </w:pPr>
          <w:r>
            <w:fldChar w:fldCharType="begin"/>
          </w:r>
          <w:r>
            <w:instrText xml:space="preserve"> HYPERLINK \l "_Toc73560989" </w:instrText>
          </w:r>
          <w:r>
            <w:fldChar w:fldCharType="separate"/>
          </w:r>
          <w:r>
            <w:rPr>
              <w:rStyle w:val="13"/>
              <w:rFonts w:ascii="仿宋" w:hAnsi="仿宋" w:eastAsia="仿宋"/>
            </w:rPr>
            <w:t>4.2</w:t>
          </w:r>
          <w:r>
            <w:tab/>
          </w:r>
          <w:r>
            <w:rPr>
              <w:rStyle w:val="13"/>
              <w:rFonts w:ascii="黑体" w:hAnsi="黑体" w:eastAsia="黑体"/>
            </w:rPr>
            <w:t>履约评价模块</w:t>
          </w:r>
          <w:r>
            <w:tab/>
          </w:r>
          <w:r>
            <w:fldChar w:fldCharType="begin"/>
          </w:r>
          <w:r>
            <w:instrText xml:space="preserve"> PAGEREF _Toc73560989 \h </w:instrText>
          </w:r>
          <w:r>
            <w:fldChar w:fldCharType="separate"/>
          </w:r>
          <w:r>
            <w:t>42</w:t>
          </w:r>
          <w:r>
            <w:fldChar w:fldCharType="end"/>
          </w:r>
          <w:r>
            <w:fldChar w:fldCharType="end"/>
          </w:r>
        </w:p>
        <w:p>
          <w:r>
            <w:rPr>
              <w:b/>
              <w:bCs/>
              <w:lang w:val="zh-CN"/>
            </w:rPr>
            <w:fldChar w:fldCharType="end"/>
          </w:r>
        </w:p>
      </w:sdtContent>
    </w:sdt>
    <w:p>
      <w:pPr>
        <w:sectPr>
          <w:footerReference r:id="rId6" w:type="default"/>
          <w:pgSz w:w="12240" w:h="15840"/>
          <w:pgMar w:top="1440" w:right="1800" w:bottom="1440" w:left="1800" w:header="851" w:footer="992" w:gutter="0"/>
          <w:pgNumType w:fmt="upperRoman" w:start="1"/>
          <w:cols w:space="425" w:num="1"/>
          <w:docGrid w:type="lines" w:linePitch="312" w:charSpace="0"/>
        </w:sectPr>
      </w:pPr>
    </w:p>
    <w:p>
      <w:pPr>
        <w:pStyle w:val="2"/>
        <w:numPr>
          <w:ilvl w:val="0"/>
          <w:numId w:val="1"/>
        </w:numPr>
        <w:snapToGrid w:val="0"/>
        <w:ind w:left="431" w:hanging="431"/>
        <w:rPr>
          <w:rFonts w:ascii="仿宋" w:hAnsi="仿宋" w:eastAsia="仿宋"/>
        </w:rPr>
      </w:pPr>
      <w:bookmarkStart w:id="0" w:name="_Toc73560947"/>
      <w:r>
        <w:rPr>
          <w:rFonts w:ascii="仿宋" w:hAnsi="仿宋" w:eastAsia="仿宋"/>
        </w:rPr>
        <w:t>引言</w:t>
      </w:r>
      <w:bookmarkEnd w:id="0"/>
    </w:p>
    <w:p>
      <w:pPr>
        <w:pStyle w:val="3"/>
        <w:numPr>
          <w:ilvl w:val="1"/>
          <w:numId w:val="1"/>
        </w:numPr>
        <w:snapToGrid w:val="0"/>
        <w:ind w:left="996" w:leftChars="200" w:hanging="576"/>
        <w:rPr>
          <w:rFonts w:ascii="黑体" w:hAnsi="黑体" w:eastAsia="黑体"/>
        </w:rPr>
      </w:pPr>
      <w:bookmarkStart w:id="1" w:name="_Toc73560948"/>
      <w:r>
        <w:rPr>
          <w:rFonts w:ascii="黑体" w:hAnsi="黑体" w:eastAsia="黑体"/>
          <w:sz w:val="28"/>
          <w:szCs w:val="28"/>
        </w:rPr>
        <w:t>背景</w:t>
      </w:r>
      <w:bookmarkEnd w:id="1"/>
    </w:p>
    <w:p>
      <w:pPr>
        <w:ind w:firstLine="420" w:firstLineChars="200"/>
        <w:jc w:val="left"/>
        <w:rPr>
          <w:rFonts w:ascii="宋体" w:hAnsi="宋体" w:eastAsia="宋体"/>
          <w:color w:val="000000"/>
          <w:szCs w:val="21"/>
        </w:rPr>
      </w:pPr>
      <w:r>
        <w:rPr>
          <w:rFonts w:ascii="宋体" w:hAnsi="宋体" w:eastAsia="宋体"/>
          <w:color w:val="000000"/>
          <w:szCs w:val="21"/>
        </w:rPr>
        <w:t>企业日常经营中，面临各种各样的风险，企业需要保费预算支出将面临的各种风险转嫁给保险公司。保险管理是企业经营中一项重要的工作，保险投保、保单管理、保险理赔、保单信息变更等等，涉及到的部门和人员众多。目前国内所有的企业保险管理， 都是靠人工线下管理，有些公司员工众多、涉及到的保险资产金额庞大、车辆分布区域广泛，由于保险人员变更，有可能出现保险脱保的现象发生，给企业带来巨大的损失风险。如果有一套专门的企业保险管理系统，将企业所有的保险（包括员工的个人保险） 都集成在一个系统内，这将会给企业保险管理带来巨大的便利，大大提高人员的工作效率。</w:t>
      </w:r>
    </w:p>
    <w:p>
      <w:pPr>
        <w:pStyle w:val="3"/>
        <w:numPr>
          <w:ilvl w:val="1"/>
          <w:numId w:val="1"/>
        </w:numPr>
        <w:snapToGrid w:val="0"/>
        <w:ind w:left="996" w:leftChars="200" w:hanging="576"/>
        <w:rPr>
          <w:rFonts w:ascii="黑体" w:hAnsi="黑体" w:eastAsia="黑体"/>
          <w:sz w:val="28"/>
          <w:szCs w:val="28"/>
        </w:rPr>
      </w:pPr>
      <w:bookmarkStart w:id="2" w:name="_Toc73560949"/>
      <w:r>
        <w:rPr>
          <w:rFonts w:ascii="黑体" w:hAnsi="黑体" w:eastAsia="黑体"/>
          <w:sz w:val="28"/>
          <w:szCs w:val="28"/>
        </w:rPr>
        <w:t>目的</w:t>
      </w:r>
      <w:bookmarkEnd w:id="2"/>
    </w:p>
    <w:p>
      <w:pPr>
        <w:ind w:firstLine="420" w:firstLineChars="200"/>
        <w:jc w:val="left"/>
        <w:rPr>
          <w:rFonts w:ascii="宋体" w:hAnsi="宋体" w:eastAsia="宋体"/>
          <w:color w:val="000000"/>
          <w:szCs w:val="21"/>
        </w:rPr>
      </w:pPr>
      <w:r>
        <w:rPr>
          <w:rFonts w:ascii="宋体" w:hAnsi="宋体" w:eastAsia="宋体"/>
          <w:color w:val="000000"/>
          <w:szCs w:val="21"/>
        </w:rPr>
        <w:t>保险管理系统建设的目的是帮助采购人集团实现保险业务系统化管理。通过统一保险管理系统，记录集团成员单位及下属子公司的所有承保行为，即便经办人员变更，保险管理做到有迹可寻，不会混乱。通过与各家保险公司核心业务系统对接，可实现集团保险业务的投保管理、保单信息查询、保单自助批改、理赔跟踪、小额案件在线理赔、保单到期续保提醒、保单数据统计等功能。另外，系统提供保险专区，为集团员工提供优惠的保险业务。</w:t>
      </w:r>
    </w:p>
    <w:p>
      <w:pPr>
        <w:pStyle w:val="3"/>
        <w:numPr>
          <w:ilvl w:val="1"/>
          <w:numId w:val="1"/>
        </w:numPr>
        <w:snapToGrid w:val="0"/>
        <w:ind w:left="996" w:leftChars="200" w:hanging="576"/>
        <w:rPr>
          <w:rFonts w:ascii="黑体" w:hAnsi="黑体" w:eastAsia="黑体"/>
          <w:sz w:val="28"/>
          <w:szCs w:val="28"/>
        </w:rPr>
      </w:pPr>
      <w:bookmarkStart w:id="3" w:name="_Toc73560950"/>
      <w:r>
        <w:rPr>
          <w:rFonts w:ascii="黑体" w:hAnsi="黑体" w:eastAsia="黑体"/>
          <w:sz w:val="28"/>
          <w:szCs w:val="28"/>
        </w:rPr>
        <w:t>参考资料</w:t>
      </w:r>
      <w:bookmarkEnd w:id="3"/>
    </w:p>
    <w:tbl>
      <w:tblPr>
        <w:tblStyle w:val="11"/>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60" w:type="dxa"/>
          <w:bottom w:w="120" w:type="dxa"/>
          <w:right w:w="60" w:type="dxa"/>
        </w:tblCellMar>
      </w:tblPr>
      <w:tblGrid>
        <w:gridCol w:w="937"/>
        <w:gridCol w:w="3912"/>
        <w:gridCol w:w="3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535" w:type="pct"/>
            <w:tcBorders>
              <w:top w:val="single" w:color="000000" w:sz="8" w:space="0"/>
              <w:left w:val="single" w:color="000000" w:sz="8" w:space="0"/>
              <w:bottom w:val="single" w:color="000000" w:sz="8" w:space="0"/>
              <w:right w:val="single" w:color="000000" w:sz="8" w:space="0"/>
            </w:tcBorders>
            <w:shd w:val="clear" w:color="auto" w:fill="BFBFBF"/>
          </w:tcPr>
          <w:p>
            <w:pPr>
              <w:pStyle w:val="17"/>
            </w:pPr>
            <w:r>
              <w:t>序号</w:t>
            </w:r>
          </w:p>
        </w:tc>
        <w:tc>
          <w:tcPr>
            <w:tcW w:w="2233" w:type="pct"/>
            <w:tcBorders>
              <w:top w:val="single" w:color="000000" w:sz="8" w:space="0"/>
              <w:left w:val="single" w:color="000000" w:sz="8" w:space="0"/>
              <w:bottom w:val="single" w:color="000000" w:sz="8" w:space="0"/>
              <w:right w:val="single" w:color="000000" w:sz="8" w:space="0"/>
            </w:tcBorders>
            <w:shd w:val="clear" w:color="auto" w:fill="BFBFBF"/>
          </w:tcPr>
          <w:p>
            <w:pPr>
              <w:pStyle w:val="17"/>
            </w:pPr>
            <w:r>
              <w:t>参考资料名</w:t>
            </w:r>
          </w:p>
        </w:tc>
        <w:tc>
          <w:tcPr>
            <w:tcW w:w="2233" w:type="pct"/>
            <w:tcBorders>
              <w:top w:val="single" w:color="000000" w:sz="8" w:space="0"/>
              <w:left w:val="single" w:color="000000" w:sz="8" w:space="0"/>
              <w:bottom w:val="single" w:color="000000" w:sz="8" w:space="0"/>
              <w:right w:val="single" w:color="000000" w:sz="8" w:space="0"/>
            </w:tcBorders>
            <w:shd w:val="clear" w:color="auto" w:fill="BFBFBF"/>
          </w:tcPr>
          <w:p>
            <w:pPr>
              <w:pStyle w:val="17"/>
            </w:pPr>
            <w:r>
              <w:t>备注说明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840" w:hRule="atLeast"/>
        </w:trPr>
        <w:tc>
          <w:tcPr>
            <w:tcW w:w="535" w:type="pct"/>
            <w:tcBorders>
              <w:top w:val="single" w:color="000000" w:sz="8" w:space="0"/>
              <w:left w:val="single" w:color="000000" w:sz="8" w:space="0"/>
              <w:bottom w:val="single" w:color="000000" w:sz="8" w:space="0"/>
              <w:right w:val="single" w:color="000000" w:sz="8" w:space="0"/>
            </w:tcBorders>
          </w:tcPr>
          <w:p>
            <w:pPr>
              <w:pStyle w:val="17"/>
            </w:pPr>
            <w:r>
              <w:t>1</w:t>
            </w:r>
          </w:p>
        </w:tc>
        <w:tc>
          <w:tcPr>
            <w:tcW w:w="2233" w:type="pct"/>
            <w:tcBorders>
              <w:top w:val="single" w:color="000000" w:sz="8" w:space="0"/>
              <w:left w:val="single" w:color="000000" w:sz="8" w:space="0"/>
              <w:bottom w:val="single" w:color="000000" w:sz="8" w:space="0"/>
              <w:right w:val="single" w:color="000000" w:sz="8" w:space="0"/>
            </w:tcBorders>
          </w:tcPr>
          <w:p>
            <w:pPr>
              <w:pStyle w:val="17"/>
            </w:pPr>
            <w:r>
              <w:t>路桥企业保险管理系统需求规格说明书</w:t>
            </w:r>
          </w:p>
        </w:tc>
        <w:tc>
          <w:tcPr>
            <w:tcW w:w="2233" w:type="pct"/>
            <w:tcBorders>
              <w:top w:val="single" w:color="000000" w:sz="8" w:space="0"/>
              <w:left w:val="single" w:color="000000" w:sz="8" w:space="0"/>
              <w:bottom w:val="single" w:color="000000" w:sz="8" w:space="0"/>
              <w:right w:val="single" w:color="000000" w:sz="8" w:space="0"/>
            </w:tcBorders>
          </w:tcPr>
          <w:p>
            <w:pPr>
              <w:pStyle w:val="17"/>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840" w:hRule="atLeast"/>
        </w:trPr>
        <w:tc>
          <w:tcPr>
            <w:tcW w:w="535" w:type="pct"/>
            <w:tcBorders>
              <w:top w:val="single" w:color="000000" w:sz="8" w:space="0"/>
              <w:left w:val="single" w:color="000000" w:sz="8" w:space="0"/>
              <w:bottom w:val="single" w:color="000000" w:sz="8" w:space="0"/>
              <w:right w:val="single" w:color="000000" w:sz="8" w:space="0"/>
            </w:tcBorders>
          </w:tcPr>
          <w:p>
            <w:pPr>
              <w:pStyle w:val="17"/>
            </w:pPr>
            <w:r>
              <w:t>2</w:t>
            </w:r>
          </w:p>
        </w:tc>
        <w:tc>
          <w:tcPr>
            <w:tcW w:w="2233" w:type="pct"/>
            <w:tcBorders>
              <w:top w:val="single" w:color="000000" w:sz="8" w:space="0"/>
              <w:left w:val="single" w:color="000000" w:sz="8" w:space="0"/>
              <w:bottom w:val="single" w:color="000000" w:sz="8" w:space="0"/>
              <w:right w:val="single" w:color="000000" w:sz="8" w:space="0"/>
            </w:tcBorders>
          </w:tcPr>
          <w:p>
            <w:pPr>
              <w:pStyle w:val="17"/>
            </w:pPr>
            <w:r>
              <w:t>概要设计说明书</w:t>
            </w:r>
          </w:p>
        </w:tc>
        <w:tc>
          <w:tcPr>
            <w:tcW w:w="2233" w:type="pct"/>
            <w:tcBorders>
              <w:top w:val="single" w:color="000000" w:sz="8" w:space="0"/>
              <w:left w:val="single" w:color="000000" w:sz="8" w:space="0"/>
              <w:bottom w:val="single" w:color="000000" w:sz="8" w:space="0"/>
              <w:right w:val="single" w:color="000000" w:sz="8" w:space="0"/>
            </w:tcBorders>
          </w:tcPr>
          <w:p>
            <w:pPr>
              <w:pStyle w:val="17"/>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535" w:type="pct"/>
            <w:tcBorders>
              <w:top w:val="single" w:color="000000" w:sz="8" w:space="0"/>
              <w:left w:val="single" w:color="000000" w:sz="8" w:space="0"/>
              <w:bottom w:val="single" w:color="000000" w:sz="8" w:space="0"/>
              <w:right w:val="single" w:color="000000" w:sz="8" w:space="0"/>
            </w:tcBorders>
          </w:tcPr>
          <w:p>
            <w:pPr>
              <w:pStyle w:val="17"/>
            </w:pPr>
            <w:r>
              <w:t>3</w:t>
            </w:r>
          </w:p>
        </w:tc>
        <w:tc>
          <w:tcPr>
            <w:tcW w:w="2233" w:type="pct"/>
            <w:tcBorders>
              <w:top w:val="single" w:color="000000" w:sz="8" w:space="0"/>
              <w:left w:val="single" w:color="000000" w:sz="8" w:space="0"/>
              <w:bottom w:val="single" w:color="000000" w:sz="8" w:space="0"/>
              <w:right w:val="single" w:color="000000" w:sz="8" w:space="0"/>
            </w:tcBorders>
          </w:tcPr>
          <w:p>
            <w:pPr>
              <w:pStyle w:val="17"/>
            </w:pPr>
            <w:r>
              <w:t>企业保险管理系统方案</w:t>
            </w:r>
          </w:p>
        </w:tc>
        <w:tc>
          <w:tcPr>
            <w:tcW w:w="2233" w:type="pct"/>
            <w:tcBorders>
              <w:top w:val="single" w:color="000000" w:sz="8" w:space="0"/>
              <w:left w:val="single" w:color="000000" w:sz="8" w:space="0"/>
              <w:bottom w:val="single" w:color="000000" w:sz="8" w:space="0"/>
              <w:right w:val="single" w:color="000000" w:sz="8" w:space="0"/>
            </w:tcBorders>
          </w:tcPr>
          <w:p>
            <w:pPr>
              <w:pStyle w:val="17"/>
            </w:pPr>
          </w:p>
        </w:tc>
      </w:tr>
    </w:tbl>
    <w:p>
      <w:pPr>
        <w:pStyle w:val="2"/>
        <w:numPr>
          <w:ilvl w:val="0"/>
          <w:numId w:val="1"/>
        </w:numPr>
        <w:snapToGrid w:val="0"/>
        <w:ind w:hanging="431"/>
        <w:rPr>
          <w:rFonts w:ascii="仿宋" w:hAnsi="仿宋" w:eastAsia="仿宋"/>
        </w:rPr>
      </w:pPr>
      <w:bookmarkStart w:id="4" w:name="_Toc73560951"/>
      <w:r>
        <w:rPr>
          <w:rFonts w:hint="eastAsia" w:ascii="仿宋" w:hAnsi="仿宋" w:eastAsia="仿宋"/>
        </w:rPr>
        <w:t>系统功能概述</w:t>
      </w:r>
      <w:bookmarkEnd w:id="4"/>
    </w:p>
    <w:p>
      <w:pPr>
        <w:pStyle w:val="3"/>
        <w:numPr>
          <w:ilvl w:val="1"/>
          <w:numId w:val="1"/>
        </w:numPr>
        <w:snapToGrid w:val="0"/>
        <w:ind w:left="982" w:leftChars="200" w:hanging="562" w:hangingChars="200"/>
        <w:rPr>
          <w:rFonts w:ascii="黑体" w:hAnsi="黑体" w:eastAsia="黑体"/>
          <w:sz w:val="28"/>
          <w:szCs w:val="28"/>
        </w:rPr>
      </w:pPr>
      <w:bookmarkStart w:id="5" w:name="_Toc73560952"/>
      <w:r>
        <w:rPr>
          <w:rFonts w:hint="eastAsia" w:ascii="黑体" w:hAnsi="黑体" w:eastAsia="黑体"/>
          <w:sz w:val="28"/>
          <w:szCs w:val="28"/>
        </w:rPr>
        <w:t>主体功能架构</w:t>
      </w:r>
      <w:bookmarkEnd w:id="5"/>
    </w:p>
    <w:p>
      <w:pPr>
        <w:ind w:firstLine="420"/>
      </w:pPr>
      <w:r>
        <w:rPr>
          <w:rFonts w:hint="eastAsia"/>
        </w:rPr>
        <w:t>企业保险管理系统共有6个功能模块，分别是：首页、保险需求管理、保单中心、履约评价、报表统计、组织管理，其中保险需求管理与保单中心是主要业务流程，功能模块架构如下图所示：</w:t>
      </w:r>
    </w:p>
    <w:p>
      <w:pPr>
        <w:jc w:val="center"/>
      </w:pPr>
      <w:r>
        <w:rPr>
          <w:rFonts w:ascii="仿宋" w:hAnsi="仿宋" w:eastAsia="仿宋"/>
          <w:color w:val="000000"/>
          <w:szCs w:val="21"/>
        </w:rPr>
        <w:drawing>
          <wp:inline distT="0" distB="0" distL="0" distR="0">
            <wp:extent cx="5276850" cy="244792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9"/>
                    <a:stretch>
                      <a:fillRect/>
                    </a:stretch>
                  </pic:blipFill>
                  <pic:spPr>
                    <a:xfrm>
                      <a:off x="0" y="0"/>
                      <a:ext cx="5276850" cy="2447925"/>
                    </a:xfrm>
                    <a:prstGeom prst="rect">
                      <a:avLst/>
                    </a:prstGeom>
                  </pic:spPr>
                </pic:pic>
              </a:graphicData>
            </a:graphic>
          </wp:inline>
        </w:drawing>
      </w:r>
    </w:p>
    <w:p>
      <w:pPr>
        <w:pStyle w:val="4"/>
        <w:numPr>
          <w:ilvl w:val="2"/>
          <w:numId w:val="1"/>
        </w:numPr>
        <w:snapToGrid w:val="0"/>
        <w:ind w:left="1560" w:leftChars="400" w:hanging="720"/>
        <w:rPr>
          <w:rFonts w:ascii="黑体" w:hAnsi="黑体" w:eastAsia="黑体"/>
          <w:sz w:val="21"/>
          <w:szCs w:val="21"/>
        </w:rPr>
      </w:pPr>
      <w:bookmarkStart w:id="6" w:name="_Toc73560953"/>
      <w:r>
        <w:rPr>
          <w:rFonts w:hint="eastAsia" w:ascii="黑体" w:hAnsi="黑体" w:eastAsia="黑体"/>
          <w:sz w:val="21"/>
          <w:szCs w:val="21"/>
        </w:rPr>
        <w:t>系统首页</w:t>
      </w:r>
      <w:bookmarkEnd w:id="6"/>
    </w:p>
    <w:p>
      <w:pPr>
        <w:ind w:firstLine="420"/>
      </w:pPr>
      <w:r>
        <w:rPr>
          <w:rFonts w:hint="eastAsia"/>
        </w:rPr>
        <w:t>包含消息列表、企业官网二维码、我的待办、续保、理赔进度跟踪五个模块。</w:t>
      </w:r>
    </w:p>
    <w:p>
      <w:pPr>
        <w:pStyle w:val="4"/>
        <w:numPr>
          <w:ilvl w:val="2"/>
          <w:numId w:val="1"/>
        </w:numPr>
        <w:snapToGrid w:val="0"/>
        <w:ind w:left="1560" w:leftChars="400" w:hanging="720"/>
        <w:rPr>
          <w:rFonts w:ascii="黑体" w:hAnsi="黑体" w:eastAsia="黑体"/>
          <w:sz w:val="21"/>
          <w:szCs w:val="21"/>
        </w:rPr>
      </w:pPr>
      <w:bookmarkStart w:id="7" w:name="_Toc73560954"/>
      <w:r>
        <w:rPr>
          <w:rFonts w:hint="eastAsia" w:ascii="黑体" w:hAnsi="黑体" w:eastAsia="黑体"/>
          <w:sz w:val="21"/>
          <w:szCs w:val="21"/>
        </w:rPr>
        <w:t>需求报送</w:t>
      </w:r>
      <w:bookmarkEnd w:id="7"/>
    </w:p>
    <w:p>
      <w:pPr>
        <w:ind w:left="420" w:firstLine="420"/>
      </w:pPr>
      <w:r>
        <w:rPr>
          <w:rFonts w:hint="eastAsia"/>
        </w:rPr>
        <w:t>包含列表查询页与详情页两部分，项目组根据自身的实际情况，发起保险预算申请，由直属单位进行审批，审批流程完成后，经过集团线下招标，由路桥集团保险管理人员给对应保险公司授权。</w:t>
      </w:r>
    </w:p>
    <w:p>
      <w:pPr>
        <w:pStyle w:val="4"/>
        <w:numPr>
          <w:ilvl w:val="2"/>
          <w:numId w:val="1"/>
        </w:numPr>
        <w:snapToGrid w:val="0"/>
        <w:ind w:left="1560" w:leftChars="400" w:hanging="720"/>
        <w:rPr>
          <w:rFonts w:ascii="黑体" w:hAnsi="黑体" w:eastAsia="黑体"/>
          <w:sz w:val="21"/>
          <w:szCs w:val="21"/>
        </w:rPr>
      </w:pPr>
      <w:bookmarkStart w:id="8" w:name="_Toc73560955"/>
      <w:r>
        <w:rPr>
          <w:rFonts w:hint="eastAsia" w:ascii="黑体" w:hAnsi="黑体" w:eastAsia="黑体"/>
          <w:sz w:val="21"/>
          <w:szCs w:val="21"/>
        </w:rPr>
        <w:t>保单管理</w:t>
      </w:r>
      <w:bookmarkEnd w:id="8"/>
    </w:p>
    <w:p>
      <w:pPr>
        <w:ind w:firstLine="420"/>
      </w:pPr>
      <w:r>
        <w:rPr>
          <w:rFonts w:hint="eastAsia"/>
        </w:rPr>
        <w:t>保单管理支持企业查看保单，发起保单理赔报案。保单管理中心包括以下子菜单：保单中心、理赔管理和续保管理。</w:t>
      </w:r>
    </w:p>
    <w:p>
      <w:pPr>
        <w:ind w:firstLine="420"/>
      </w:pPr>
      <w:r>
        <w:rPr>
          <w:rFonts w:hint="eastAsia"/>
        </w:rPr>
        <w:t>1、保单中心</w:t>
      </w:r>
    </w:p>
    <w:p>
      <w:pPr>
        <w:ind w:firstLine="420"/>
      </w:pPr>
      <w:r>
        <w:rPr>
          <w:rFonts w:hint="eastAsia"/>
        </w:rPr>
        <w:t>保单管理部分支持根据当前登录账户查看保单，并且能根据保单状态发起保单理赔。</w:t>
      </w:r>
    </w:p>
    <w:p>
      <w:pPr>
        <w:ind w:firstLine="420"/>
      </w:pPr>
      <w:r>
        <w:rPr>
          <w:rFonts w:hint="eastAsia"/>
        </w:rPr>
        <w:t>2、理赔管理</w:t>
      </w:r>
    </w:p>
    <w:p>
      <w:pPr>
        <w:ind w:firstLine="420"/>
      </w:pPr>
      <w:r>
        <w:rPr>
          <w:rFonts w:hint="eastAsia"/>
        </w:rPr>
        <w:t>发起理赔的保单会展示在理赔列表内，其中企业仅支持发起理赔，录入相关信息并上传附件，理赔后续流程支持保险公司录入相关信息并更新理赔状态。</w:t>
      </w:r>
    </w:p>
    <w:p>
      <w:pPr>
        <w:ind w:firstLine="420"/>
      </w:pPr>
      <w:r>
        <w:rPr>
          <w:rFonts w:hint="eastAsia"/>
        </w:rPr>
        <w:t>理赔状态的变更目前主要通过同步保险公司的保单信息来同步。</w:t>
      </w:r>
    </w:p>
    <w:p>
      <w:pPr>
        <w:ind w:firstLine="420"/>
      </w:pPr>
      <w:r>
        <w:rPr>
          <w:rFonts w:hint="eastAsia"/>
        </w:rPr>
        <w:t>3、续保管理</w:t>
      </w:r>
    </w:p>
    <w:p>
      <w:pPr>
        <w:ind w:firstLine="420"/>
      </w:pPr>
      <w:r>
        <w:rPr>
          <w:rFonts w:hint="eastAsia"/>
        </w:rPr>
        <w:t>距离到期时间在30天内的保单会自动展示在续保列表内，集团公司与保险公司均能查看该条需要续保的保单，其中集团公司可以通过站内消息的形式催促保险公司为其续保；保险公司可对保单进行续保操作，录入新保单号并支持修改原有信息。</w:t>
      </w:r>
    </w:p>
    <w:p>
      <w:pPr>
        <w:pStyle w:val="4"/>
        <w:numPr>
          <w:ilvl w:val="2"/>
          <w:numId w:val="1"/>
        </w:numPr>
        <w:snapToGrid w:val="0"/>
        <w:ind w:left="1560" w:leftChars="400" w:hanging="720"/>
        <w:rPr>
          <w:rFonts w:ascii="黑体" w:hAnsi="黑体" w:eastAsia="黑体"/>
          <w:sz w:val="21"/>
          <w:szCs w:val="21"/>
        </w:rPr>
      </w:pPr>
      <w:bookmarkStart w:id="9" w:name="_Toc73560956"/>
      <w:r>
        <w:rPr>
          <w:rFonts w:hint="eastAsia" w:ascii="黑体" w:hAnsi="黑体" w:eastAsia="黑体"/>
          <w:sz w:val="21"/>
          <w:szCs w:val="21"/>
        </w:rPr>
        <w:t>履约评价</w:t>
      </w:r>
      <w:bookmarkEnd w:id="9"/>
    </w:p>
    <w:p>
      <w:pPr>
        <w:ind w:firstLine="420"/>
      </w:pPr>
      <w:r>
        <w:rPr>
          <w:rFonts w:hint="eastAsia"/>
        </w:rPr>
        <w:t>履约评价包含问卷模板、问卷管理、我的评价、评价列表四个模块，其中集团保险负责人可以查看所有子菜单，发起和管理问卷并查看所有的评价；直属单位保险业务员和项目部保险业务员可以查看我的评价，接收评价任务并填写。</w:t>
      </w:r>
    </w:p>
    <w:p>
      <w:pPr>
        <w:ind w:firstLine="420"/>
      </w:pPr>
      <w:r>
        <w:rPr>
          <w:rFonts w:hint="eastAsia"/>
        </w:rPr>
        <w:t>集团公司针对各公司发起对保险公司的履约评价，支持配置相应的模板和权重，并由下级机构填写问卷，分数在评价列表页面汇总统计，每日更新一次。</w:t>
      </w:r>
    </w:p>
    <w:p>
      <w:pPr>
        <w:pStyle w:val="4"/>
        <w:numPr>
          <w:ilvl w:val="2"/>
          <w:numId w:val="1"/>
        </w:numPr>
        <w:snapToGrid w:val="0"/>
        <w:ind w:left="1560" w:leftChars="400" w:hanging="720"/>
        <w:rPr>
          <w:rFonts w:ascii="黑体" w:hAnsi="黑体" w:eastAsia="黑体"/>
          <w:sz w:val="21"/>
          <w:szCs w:val="21"/>
        </w:rPr>
      </w:pPr>
      <w:bookmarkStart w:id="10" w:name="_Toc73560957"/>
      <w:r>
        <w:rPr>
          <w:rFonts w:hint="eastAsia" w:ascii="黑体" w:hAnsi="黑体" w:eastAsia="黑体"/>
          <w:sz w:val="21"/>
          <w:szCs w:val="21"/>
        </w:rPr>
        <w:t>报表统计</w:t>
      </w:r>
      <w:bookmarkEnd w:id="10"/>
    </w:p>
    <w:p>
      <w:pPr>
        <w:ind w:firstLine="420"/>
        <w:rPr>
          <w:lang w:eastAsia="zh-Hans"/>
        </w:rPr>
      </w:pPr>
      <w:r>
        <w:rPr>
          <w:rFonts w:hint="eastAsia"/>
          <w:lang w:eastAsia="zh-Hans"/>
        </w:rPr>
        <w:t>报表统计有 4个子菜单，理赔预警，保费统计，伤亡统计和防灾防损基金统计，点击子菜单会进入相应的统计页面。</w:t>
      </w:r>
    </w:p>
    <w:p>
      <w:pPr>
        <w:ind w:firstLine="420"/>
        <w:rPr>
          <w:lang w:eastAsia="zh-Hans"/>
        </w:rPr>
      </w:pPr>
      <w:r>
        <w:rPr>
          <w:rFonts w:hint="eastAsia"/>
          <w:lang w:eastAsia="zh-Hans"/>
        </w:rPr>
        <w:t>方便集团及下属成员单位通过多种维度对保费和伤亡、防灾防损基金统计数据进行分析，为各级机构提供精准的风险评估，为下一年度的投保计划提供数据支撑。</w:t>
      </w:r>
    </w:p>
    <w:p>
      <w:pPr>
        <w:pStyle w:val="4"/>
        <w:numPr>
          <w:ilvl w:val="2"/>
          <w:numId w:val="1"/>
        </w:numPr>
        <w:snapToGrid w:val="0"/>
        <w:ind w:left="1560" w:leftChars="400" w:hanging="720"/>
        <w:rPr>
          <w:rFonts w:ascii="黑体" w:hAnsi="黑体" w:eastAsia="黑体"/>
          <w:sz w:val="21"/>
          <w:szCs w:val="21"/>
        </w:rPr>
      </w:pPr>
      <w:bookmarkStart w:id="11" w:name="_Toc73560958"/>
      <w:r>
        <w:rPr>
          <w:rFonts w:hint="eastAsia" w:ascii="黑体" w:hAnsi="黑体" w:eastAsia="黑体"/>
          <w:sz w:val="21"/>
          <w:szCs w:val="21"/>
        </w:rPr>
        <w:t>组织管理</w:t>
      </w:r>
      <w:bookmarkEnd w:id="11"/>
    </w:p>
    <w:p>
      <w:pPr>
        <w:ind w:firstLine="420"/>
      </w:pPr>
      <w:r>
        <w:rPr>
          <w:rFonts w:hint="eastAsia"/>
        </w:rPr>
        <w:t>组织管理功能包括员工管理、角色管理和菜单管理三个模块。</w:t>
      </w:r>
    </w:p>
    <w:p>
      <w:pPr>
        <w:pStyle w:val="16"/>
        <w:numPr>
          <w:ilvl w:val="0"/>
          <w:numId w:val="2"/>
        </w:numPr>
        <w:ind w:firstLineChars="0"/>
      </w:pPr>
      <w:r>
        <w:rPr>
          <w:rFonts w:hint="eastAsia"/>
        </w:rPr>
        <w:t>员工管理</w:t>
      </w:r>
    </w:p>
    <w:p>
      <w:pPr>
        <w:ind w:firstLine="420"/>
        <w:rPr>
          <w:kern w:val="0"/>
        </w:rPr>
      </w:pPr>
      <w:r>
        <w:rPr>
          <w:rFonts w:hint="eastAsia"/>
        </w:rPr>
        <w:t>用于管理系统内的组织架构与对应的员工账号。支持同步路桥组织管理接口，导入公司及人员信息。具有编辑公司全称、重置账号密码、控制账号登录系统权限等功能。</w:t>
      </w:r>
    </w:p>
    <w:p>
      <w:pPr>
        <w:pStyle w:val="16"/>
        <w:numPr>
          <w:ilvl w:val="0"/>
          <w:numId w:val="2"/>
        </w:numPr>
        <w:ind w:firstLineChars="0"/>
      </w:pPr>
      <w:r>
        <w:rPr>
          <w:rFonts w:hint="eastAsia"/>
        </w:rPr>
        <w:t>角色管理</w:t>
      </w:r>
    </w:p>
    <w:p>
      <w:pPr>
        <w:ind w:firstLine="420"/>
        <w:rPr>
          <w:kern w:val="0"/>
        </w:rPr>
      </w:pPr>
      <w:r>
        <w:rPr>
          <w:rFonts w:hint="eastAsia"/>
        </w:rPr>
        <w:t>用于给角色设置菜单权限。可通过配置角色信息达到限制访问内容的目的。</w:t>
      </w:r>
    </w:p>
    <w:p>
      <w:pPr>
        <w:pStyle w:val="16"/>
        <w:numPr>
          <w:ilvl w:val="0"/>
          <w:numId w:val="2"/>
        </w:numPr>
        <w:ind w:firstLineChars="0"/>
      </w:pPr>
      <w:r>
        <w:rPr>
          <w:rFonts w:hint="eastAsia"/>
        </w:rPr>
        <w:t>菜单管理</w:t>
      </w:r>
    </w:p>
    <w:p>
      <w:pPr>
        <w:ind w:firstLine="420"/>
        <w:rPr>
          <w:kern w:val="0"/>
        </w:rPr>
      </w:pPr>
      <w:r>
        <w:rPr>
          <w:rFonts w:hint="eastAsia"/>
        </w:rPr>
        <w:t>用于为系统页面配置菜单及路由，可对菜单进行排序、添加、删除、修改等操作，亦可控制页面是否缓存，是否有效。</w:t>
      </w:r>
    </w:p>
    <w:p>
      <w:pPr>
        <w:pStyle w:val="3"/>
        <w:numPr>
          <w:ilvl w:val="1"/>
          <w:numId w:val="1"/>
        </w:numPr>
        <w:snapToGrid w:val="0"/>
        <w:ind w:left="982" w:leftChars="200" w:hanging="562" w:hangingChars="200"/>
        <w:rPr>
          <w:rFonts w:ascii="黑体" w:hAnsi="黑体" w:eastAsia="黑体"/>
          <w:sz w:val="28"/>
          <w:szCs w:val="28"/>
        </w:rPr>
      </w:pPr>
      <w:bookmarkStart w:id="12" w:name="_Toc73560959"/>
      <w:r>
        <w:rPr>
          <w:rFonts w:hint="eastAsia" w:ascii="黑体" w:hAnsi="黑体" w:eastAsia="黑体"/>
          <w:sz w:val="28"/>
          <w:szCs w:val="28"/>
        </w:rPr>
        <w:t>业务系统架构</w:t>
      </w:r>
      <w:bookmarkEnd w:id="12"/>
    </w:p>
    <w:p>
      <w:pPr>
        <w:ind w:firstLine="420"/>
      </w:pPr>
      <w:r>
        <w:rPr>
          <w:rFonts w:hint="eastAsia"/>
        </w:rPr>
        <w:t>企业保险管理系统分别对接了路桥主数据系统、路桥门户系统、云之家app、以及5家保险公司的系统（人民保险、平安保险、北部湾保险、华安保险、大地保险）。</w:t>
      </w:r>
    </w:p>
    <w:p>
      <w:pPr>
        <w:ind w:firstLine="420"/>
      </w:pPr>
      <w:r>
        <w:rPr>
          <w:rFonts w:hint="eastAsia"/>
        </w:rPr>
        <w:t>其中路桥主数据系统提供了组织机构与员工的相关信息，用于系统的登录以及各个流程的审批、权限等配置；对接路桥门户系统与云之家app实现单点登录，从上述系统中即可直接登录企业保险管理系统，无需再输入账号、密码、验证码等操作；对的接保险公司系统则提供了历史的保单与理赔数据，方便进一步的统计与分析。</w:t>
      </w:r>
    </w:p>
    <w:p>
      <w:pPr>
        <w:ind w:firstLine="420"/>
      </w:pPr>
      <w:r>
        <w:rPr>
          <w:rFonts w:hint="eastAsia"/>
        </w:rPr>
        <w:t>业务系统架构图如下：</w:t>
      </w:r>
    </w:p>
    <w:p>
      <w:r>
        <w:rPr>
          <w:rFonts w:hint="eastAsia" w:ascii="仿宋" w:hAnsi="仿宋" w:eastAsia="仿宋"/>
          <w:color w:val="000000"/>
          <w:szCs w:val="21"/>
        </w:rPr>
        <w:drawing>
          <wp:inline distT="0" distB="0" distL="0" distR="0">
            <wp:extent cx="5486400" cy="235331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486400" cy="2353310"/>
                    </a:xfrm>
                    <a:prstGeom prst="rect">
                      <a:avLst/>
                    </a:prstGeom>
                    <a:noFill/>
                    <a:ln>
                      <a:noFill/>
                    </a:ln>
                  </pic:spPr>
                </pic:pic>
              </a:graphicData>
            </a:graphic>
          </wp:inline>
        </w:drawing>
      </w:r>
    </w:p>
    <w:p>
      <w:pPr>
        <w:pStyle w:val="2"/>
        <w:numPr>
          <w:ilvl w:val="0"/>
          <w:numId w:val="1"/>
        </w:numPr>
        <w:snapToGrid w:val="0"/>
        <w:ind w:hanging="431"/>
        <w:rPr>
          <w:rFonts w:ascii="仿宋" w:hAnsi="仿宋" w:eastAsia="仿宋"/>
        </w:rPr>
      </w:pPr>
      <w:bookmarkStart w:id="13" w:name="_Toc73560960"/>
      <w:r>
        <w:rPr>
          <w:rFonts w:ascii="仿宋" w:hAnsi="仿宋" w:eastAsia="仿宋"/>
        </w:rPr>
        <w:t>系统功能设计</w:t>
      </w:r>
      <w:bookmarkEnd w:id="13"/>
    </w:p>
    <w:p>
      <w:pPr>
        <w:pStyle w:val="3"/>
        <w:numPr>
          <w:ilvl w:val="1"/>
          <w:numId w:val="1"/>
        </w:numPr>
        <w:snapToGrid w:val="0"/>
        <w:ind w:left="982" w:leftChars="200" w:hanging="562" w:hangingChars="200"/>
        <w:rPr>
          <w:rFonts w:ascii="黑体" w:hAnsi="黑体" w:eastAsia="黑体"/>
          <w:sz w:val="28"/>
          <w:szCs w:val="28"/>
        </w:rPr>
      </w:pPr>
      <w:bookmarkStart w:id="14" w:name="_Toc73560961"/>
      <w:r>
        <w:rPr>
          <w:rFonts w:ascii="黑体" w:hAnsi="黑体" w:eastAsia="黑体"/>
          <w:sz w:val="28"/>
          <w:szCs w:val="28"/>
        </w:rPr>
        <w:t>登录设计</w:t>
      </w:r>
      <w:bookmarkEnd w:id="14"/>
    </w:p>
    <w:p>
      <w:pPr>
        <w:pStyle w:val="4"/>
        <w:numPr>
          <w:ilvl w:val="2"/>
          <w:numId w:val="1"/>
        </w:numPr>
        <w:snapToGrid w:val="0"/>
        <w:ind w:left="1560" w:leftChars="400" w:hanging="720"/>
        <w:rPr>
          <w:rFonts w:ascii="黑体" w:hAnsi="黑体" w:eastAsia="黑体"/>
          <w:sz w:val="21"/>
          <w:szCs w:val="21"/>
        </w:rPr>
      </w:pPr>
      <w:bookmarkStart w:id="15" w:name="_Toc73560962"/>
      <w:r>
        <w:rPr>
          <w:rFonts w:ascii="黑体" w:hAnsi="黑体" w:eastAsia="黑体"/>
          <w:sz w:val="21"/>
          <w:szCs w:val="21"/>
        </w:rPr>
        <w:t>功能概述</w:t>
      </w:r>
      <w:bookmarkEnd w:id="15"/>
    </w:p>
    <w:p>
      <w:pPr>
        <w:ind w:firstLine="420"/>
        <w:jc w:val="left"/>
        <w:rPr>
          <w:rFonts w:ascii="宋体" w:hAnsi="宋体" w:eastAsia="宋体"/>
          <w:color w:val="000000"/>
          <w:szCs w:val="21"/>
        </w:rPr>
      </w:pPr>
      <w:r>
        <w:rPr>
          <w:rFonts w:ascii="宋体" w:hAnsi="宋体" w:eastAsia="宋体"/>
          <w:color w:val="000000"/>
          <w:szCs w:val="21"/>
        </w:rPr>
        <w:t>登录方式包括账号密码登录、门户系统单点登录、云之家APP内部登录这三种登录系统的方式。</w:t>
      </w:r>
    </w:p>
    <w:p>
      <w:pPr>
        <w:pStyle w:val="16"/>
        <w:numPr>
          <w:ilvl w:val="0"/>
          <w:numId w:val="3"/>
        </w:numPr>
        <w:ind w:firstLineChars="0"/>
        <w:jc w:val="left"/>
        <w:rPr>
          <w:rFonts w:ascii="宋体" w:hAnsi="宋体" w:eastAsia="宋体"/>
          <w:color w:val="000000"/>
          <w:szCs w:val="21"/>
        </w:rPr>
      </w:pPr>
      <w:r>
        <w:rPr>
          <w:rFonts w:hint="eastAsia" w:ascii="宋体" w:hAnsi="宋体" w:eastAsia="宋体"/>
          <w:color w:val="000000"/>
          <w:szCs w:val="21"/>
        </w:rPr>
        <w:t>账号密码登录</w:t>
      </w:r>
    </w:p>
    <w:p>
      <w:pPr>
        <w:ind w:firstLine="420"/>
        <w:jc w:val="left"/>
        <w:rPr>
          <w:rFonts w:ascii="宋体" w:hAnsi="宋体" w:eastAsia="宋体"/>
          <w:color w:val="000000"/>
          <w:szCs w:val="21"/>
        </w:rPr>
      </w:pPr>
      <w:r>
        <w:rPr>
          <w:rFonts w:hint="eastAsia" w:ascii="宋体" w:hAnsi="宋体" w:eastAsia="宋体"/>
          <w:color w:val="000000"/>
          <w:szCs w:val="21"/>
        </w:rPr>
        <w:t>需当前账号已开通登录权限，并正确输入验证码，验证码有效期60秒；</w:t>
      </w:r>
    </w:p>
    <w:p>
      <w:pPr>
        <w:pStyle w:val="16"/>
        <w:numPr>
          <w:ilvl w:val="0"/>
          <w:numId w:val="3"/>
        </w:numPr>
        <w:ind w:firstLineChars="0"/>
        <w:jc w:val="left"/>
        <w:rPr>
          <w:rFonts w:ascii="宋体" w:hAnsi="宋体" w:eastAsia="宋体"/>
          <w:color w:val="000000"/>
          <w:szCs w:val="21"/>
        </w:rPr>
      </w:pPr>
      <w:r>
        <w:rPr>
          <w:rFonts w:hint="eastAsia" w:ascii="宋体" w:hAnsi="宋体" w:eastAsia="宋体"/>
          <w:color w:val="000000"/>
          <w:szCs w:val="21"/>
        </w:rPr>
        <w:t>单点登录</w:t>
      </w:r>
    </w:p>
    <w:p>
      <w:pPr>
        <w:ind w:firstLine="420"/>
        <w:jc w:val="left"/>
        <w:rPr>
          <w:rFonts w:ascii="宋体" w:hAnsi="宋体" w:eastAsia="宋体"/>
          <w:color w:val="000000"/>
          <w:szCs w:val="21"/>
        </w:rPr>
      </w:pPr>
      <w:r>
        <w:rPr>
          <w:rFonts w:hint="eastAsia" w:ascii="宋体" w:hAnsi="宋体" w:eastAsia="宋体"/>
          <w:color w:val="000000"/>
          <w:szCs w:val="21"/>
        </w:rPr>
        <w:t>需要从路桥门户系统或云之家app内点击企业保险管理系统的图标、跳转链接或相关消息与待办，即可登录本系统，省去账号密码验证码的繁琐并提高了登录安全性。</w:t>
      </w:r>
    </w:p>
    <w:p>
      <w:pPr>
        <w:pStyle w:val="4"/>
        <w:numPr>
          <w:ilvl w:val="2"/>
          <w:numId w:val="1"/>
        </w:numPr>
        <w:snapToGrid w:val="0"/>
        <w:ind w:left="1560" w:leftChars="400" w:hanging="720"/>
        <w:rPr>
          <w:rFonts w:ascii="黑体" w:hAnsi="黑体" w:eastAsia="黑体"/>
          <w:sz w:val="21"/>
          <w:szCs w:val="21"/>
        </w:rPr>
      </w:pPr>
      <w:bookmarkStart w:id="16" w:name="_Toc73560963"/>
      <w:r>
        <w:rPr>
          <w:rFonts w:ascii="黑体" w:hAnsi="黑体" w:eastAsia="黑体"/>
          <w:sz w:val="21"/>
          <w:szCs w:val="21"/>
        </w:rPr>
        <w:t>界面</w:t>
      </w:r>
      <w:bookmarkEnd w:id="16"/>
    </w:p>
    <w:p>
      <w:pPr>
        <w:numPr>
          <w:ilvl w:val="0"/>
          <w:numId w:val="4"/>
        </w:numPr>
        <w:snapToGrid w:val="0"/>
        <w:spacing w:before="312" w:beforeLines="100"/>
        <w:ind w:left="336" w:hanging="336" w:hangingChars="160"/>
        <w:jc w:val="left"/>
      </w:pPr>
      <w:r>
        <w:rPr>
          <w:rFonts w:asciiTheme="minorEastAsia" w:hAnsiTheme="minorEastAsia"/>
          <w:color w:val="000000"/>
          <w:szCs w:val="21"/>
        </w:rPr>
        <w:t>初始登录界面</w:t>
      </w:r>
    </w:p>
    <w:p>
      <w:pPr>
        <w:ind w:firstLine="336"/>
      </w:pPr>
      <w:r>
        <w:rPr>
          <w:rFonts w:hint="eastAsia"/>
        </w:rPr>
        <w:t>此时账号、密码、验证码皆为空，点击登录按钮将校验账号、密码、验证码是否为空，且验证码是否为4位。</w:t>
      </w:r>
    </w:p>
    <w:p>
      <w:pPr>
        <w:snapToGrid w:val="0"/>
        <w:jc w:val="left"/>
        <w:rPr>
          <w:rFonts w:ascii="微软雅黑" w:hAnsi="微软雅黑" w:eastAsia="微软雅黑"/>
          <w:color w:val="000000"/>
          <w:szCs w:val="21"/>
        </w:rPr>
      </w:pPr>
      <w:r>
        <w:rPr>
          <w:rFonts w:ascii="微软雅黑" w:hAnsi="微软雅黑" w:eastAsia="微软雅黑"/>
          <w:color w:val="000000"/>
          <w:szCs w:val="21"/>
        </w:rPr>
        <w:drawing>
          <wp:inline distT="0" distB="0" distL="0" distR="0">
            <wp:extent cx="5486400" cy="27559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5486400" cy="2756058"/>
                    </a:xfrm>
                    <a:prstGeom prst="rect">
                      <a:avLst/>
                    </a:prstGeom>
                  </pic:spPr>
                </pic:pic>
              </a:graphicData>
            </a:graphic>
          </wp:inline>
        </w:drawing>
      </w:r>
    </w:p>
    <w:p>
      <w:pPr>
        <w:ind w:left="336"/>
      </w:pPr>
      <w:r>
        <w:rPr>
          <w:rFonts w:hint="eastAsia"/>
        </w:rPr>
        <w:t>若输入错误的账号，则提示“账号不存在”。</w:t>
      </w:r>
    </w:p>
    <w:p>
      <w:pPr>
        <w:snapToGrid w:val="0"/>
        <w:jc w:val="left"/>
        <w:rPr>
          <w:rFonts w:ascii="微软雅黑" w:hAnsi="微软雅黑" w:eastAsia="微软雅黑"/>
          <w:color w:val="000000"/>
          <w:szCs w:val="21"/>
        </w:rPr>
      </w:pPr>
      <w:r>
        <w:drawing>
          <wp:inline distT="0" distB="0" distL="0" distR="0">
            <wp:extent cx="3771265" cy="513715"/>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2"/>
                    <a:stretch>
                      <a:fillRect/>
                    </a:stretch>
                  </pic:blipFill>
                  <pic:spPr>
                    <a:xfrm>
                      <a:off x="0" y="0"/>
                      <a:ext cx="3771429" cy="514286"/>
                    </a:xfrm>
                    <a:prstGeom prst="rect">
                      <a:avLst/>
                    </a:prstGeom>
                  </pic:spPr>
                </pic:pic>
              </a:graphicData>
            </a:graphic>
          </wp:inline>
        </w:drawing>
      </w:r>
    </w:p>
    <w:p>
      <w:pPr>
        <w:ind w:firstLine="336"/>
      </w:pPr>
      <w:r>
        <w:rPr>
          <w:rFonts w:hint="eastAsia"/>
        </w:rPr>
        <w:t>若输入错误的密码，则提示“密码错误”。</w:t>
      </w:r>
    </w:p>
    <w:p>
      <w:r>
        <w:drawing>
          <wp:inline distT="0" distB="0" distL="0" distR="0">
            <wp:extent cx="3685540" cy="485140"/>
            <wp:effectExtent l="0" t="0" r="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3"/>
                    <a:stretch>
                      <a:fillRect/>
                    </a:stretch>
                  </pic:blipFill>
                  <pic:spPr>
                    <a:xfrm>
                      <a:off x="0" y="0"/>
                      <a:ext cx="3685714" cy="485714"/>
                    </a:xfrm>
                    <a:prstGeom prst="rect">
                      <a:avLst/>
                    </a:prstGeom>
                  </pic:spPr>
                </pic:pic>
              </a:graphicData>
            </a:graphic>
          </wp:inline>
        </w:drawing>
      </w:r>
    </w:p>
    <w:p>
      <w:pPr>
        <w:ind w:firstLine="336"/>
      </w:pPr>
      <w:r>
        <w:rPr>
          <w:rFonts w:hint="eastAsia"/>
        </w:rPr>
        <w:t>若输入错误的验证码，则提示“验证码错误”，并自动清空验证码输入框。</w:t>
      </w:r>
    </w:p>
    <w:p>
      <w:r>
        <w:drawing>
          <wp:inline distT="0" distB="0" distL="0" distR="0">
            <wp:extent cx="3628390" cy="42799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4"/>
                    <a:stretch>
                      <a:fillRect/>
                    </a:stretch>
                  </pic:blipFill>
                  <pic:spPr>
                    <a:xfrm>
                      <a:off x="0" y="0"/>
                      <a:ext cx="3628571" cy="428571"/>
                    </a:xfrm>
                    <a:prstGeom prst="rect">
                      <a:avLst/>
                    </a:prstGeom>
                  </pic:spPr>
                </pic:pic>
              </a:graphicData>
            </a:graphic>
          </wp:inline>
        </w:drawing>
      </w:r>
    </w:p>
    <w:p>
      <w:pPr>
        <w:ind w:firstLine="336"/>
      </w:pPr>
      <w:r>
        <w:rPr>
          <w:rFonts w:hint="eastAsia"/>
        </w:rPr>
        <w:t>验证码有效时间为60秒，失效后输入验证码则提示“验证码错误”，并自动清空验证码输入框，刷新验证码。</w:t>
      </w:r>
    </w:p>
    <w:p>
      <w:r>
        <w:drawing>
          <wp:inline distT="0" distB="0" distL="0" distR="0">
            <wp:extent cx="3742690" cy="542290"/>
            <wp:effectExtent l="0" t="0" r="889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5"/>
                    <a:stretch>
                      <a:fillRect/>
                    </a:stretch>
                  </pic:blipFill>
                  <pic:spPr>
                    <a:xfrm>
                      <a:off x="0" y="0"/>
                      <a:ext cx="3742857" cy="542857"/>
                    </a:xfrm>
                    <a:prstGeom prst="rect">
                      <a:avLst/>
                    </a:prstGeom>
                  </pic:spPr>
                </pic:pic>
              </a:graphicData>
            </a:graphic>
          </wp:inline>
        </w:drawing>
      </w:r>
    </w:p>
    <w:p>
      <w:pPr>
        <w:numPr>
          <w:ilvl w:val="0"/>
          <w:numId w:val="4"/>
        </w:numPr>
        <w:snapToGrid w:val="0"/>
        <w:spacing w:before="312" w:beforeLines="100"/>
        <w:ind w:left="336" w:hanging="336" w:hangingChars="160"/>
        <w:jc w:val="left"/>
        <w:rPr>
          <w:rFonts w:asciiTheme="minorEastAsia" w:hAnsiTheme="minorEastAsia"/>
          <w:color w:val="000000"/>
          <w:szCs w:val="21"/>
        </w:rPr>
      </w:pPr>
      <w:r>
        <w:rPr>
          <w:rFonts w:asciiTheme="minorEastAsia" w:hAnsiTheme="minorEastAsia"/>
          <w:color w:val="000000"/>
          <w:szCs w:val="21"/>
        </w:rPr>
        <w:t>选择登录公司</w:t>
      </w:r>
      <w:r>
        <w:rPr>
          <w:rFonts w:hint="eastAsia" w:asciiTheme="minorEastAsia" w:hAnsiTheme="minorEastAsia"/>
          <w:color w:val="000000"/>
          <w:szCs w:val="21"/>
        </w:rPr>
        <w:t>弹窗。</w:t>
      </w:r>
    </w:p>
    <w:p>
      <w:pPr>
        <w:ind w:firstLine="336"/>
        <w:rPr>
          <w:rFonts w:asciiTheme="minorEastAsia" w:hAnsiTheme="minorEastAsia"/>
          <w:color w:val="000000"/>
          <w:szCs w:val="21"/>
        </w:rPr>
      </w:pPr>
      <w:r>
        <w:rPr>
          <w:rFonts w:hint="eastAsia" w:asciiTheme="minorEastAsia" w:hAnsiTheme="minorEastAsia"/>
          <w:color w:val="000000"/>
          <w:szCs w:val="21"/>
        </w:rPr>
        <w:t>账号密码验证码输入正确，若该账号从属于多个公司或机构，则出现选择公司角色弹窗，选择所登录的公司机构及相关角色。</w:t>
      </w:r>
    </w:p>
    <w:p>
      <w:pPr>
        <w:ind w:firstLine="336"/>
      </w:pPr>
      <w:r>
        <w:rPr>
          <w:rFonts w:hint="eastAsia" w:asciiTheme="minorEastAsia" w:hAnsiTheme="minorEastAsia"/>
          <w:color w:val="000000"/>
          <w:szCs w:val="21"/>
        </w:rPr>
        <w:t>若此时点击取消按钮，则停留在登录页，登录操作终止。</w:t>
      </w:r>
    </w:p>
    <w:p>
      <w:pPr>
        <w:snapToGrid w:val="0"/>
        <w:jc w:val="center"/>
        <w:rPr>
          <w:rFonts w:ascii="微软雅黑" w:hAnsi="微软雅黑" w:eastAsia="微软雅黑"/>
          <w:color w:val="000000"/>
          <w:szCs w:val="21"/>
        </w:rPr>
      </w:pPr>
      <w:r>
        <w:drawing>
          <wp:inline distT="0" distB="0" distL="0" distR="0">
            <wp:extent cx="5486400" cy="24003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16"/>
                    <a:stretch>
                      <a:fillRect/>
                    </a:stretch>
                  </pic:blipFill>
                  <pic:spPr>
                    <a:xfrm>
                      <a:off x="0" y="0"/>
                      <a:ext cx="5486400" cy="2400300"/>
                    </a:xfrm>
                    <a:prstGeom prst="rect">
                      <a:avLst/>
                    </a:prstGeom>
                  </pic:spPr>
                </pic:pic>
              </a:graphicData>
            </a:graphic>
          </wp:inline>
        </w:drawing>
      </w:r>
    </w:p>
    <w:p>
      <w:pPr>
        <w:numPr>
          <w:ilvl w:val="0"/>
          <w:numId w:val="4"/>
        </w:numPr>
        <w:snapToGrid w:val="0"/>
        <w:spacing w:before="312" w:beforeLines="100"/>
        <w:ind w:left="336" w:hanging="336" w:hangingChars="160"/>
        <w:jc w:val="left"/>
        <w:rPr>
          <w:rFonts w:asciiTheme="minorEastAsia" w:hAnsiTheme="minorEastAsia"/>
          <w:color w:val="000000"/>
          <w:szCs w:val="21"/>
        </w:rPr>
      </w:pPr>
      <w:r>
        <w:rPr>
          <w:rFonts w:asciiTheme="minorEastAsia" w:hAnsiTheme="minorEastAsia"/>
          <w:color w:val="000000"/>
          <w:szCs w:val="21"/>
        </w:rPr>
        <w:t>录入公司全称</w:t>
      </w:r>
      <w:r>
        <w:rPr>
          <w:rFonts w:hint="eastAsia" w:asciiTheme="minorEastAsia" w:hAnsiTheme="minorEastAsia"/>
          <w:color w:val="000000"/>
          <w:szCs w:val="21"/>
        </w:rPr>
        <w:t>弹窗</w:t>
      </w:r>
    </w:p>
    <w:p>
      <w:pPr>
        <w:ind w:firstLine="336"/>
      </w:pPr>
      <w:r>
        <w:rPr>
          <w:rFonts w:hint="eastAsia"/>
        </w:rPr>
        <w:t>若该登录账号所在的公司尚未录入公司全称，则必须补充录入方可进入系统。</w:t>
      </w:r>
      <w:r>
        <w:rPr>
          <w:rFonts w:hint="eastAsia" w:asciiTheme="minorEastAsia" w:hAnsiTheme="minorEastAsia"/>
          <w:color w:val="000000"/>
          <w:szCs w:val="21"/>
        </w:rPr>
        <w:t>若此时关闭弹窗，则停留在登录页，登录操作终止。</w:t>
      </w:r>
    </w:p>
    <w:p>
      <w:pPr>
        <w:snapToGrid w:val="0"/>
        <w:jc w:val="left"/>
        <w:rPr>
          <w:rFonts w:ascii="微软雅黑" w:hAnsi="微软雅黑" w:eastAsia="微软雅黑"/>
          <w:color w:val="000000"/>
          <w:szCs w:val="21"/>
        </w:rPr>
      </w:pPr>
      <w:r>
        <w:rPr>
          <w:rFonts w:ascii="微软雅黑" w:hAnsi="微软雅黑" w:eastAsia="微软雅黑"/>
          <w:color w:val="000000"/>
          <w:szCs w:val="21"/>
        </w:rPr>
        <w:drawing>
          <wp:inline distT="0" distB="0" distL="0" distR="0">
            <wp:extent cx="5486400" cy="27559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stretch>
                      <a:fillRect/>
                    </a:stretch>
                  </pic:blipFill>
                  <pic:spPr>
                    <a:xfrm>
                      <a:off x="0" y="0"/>
                      <a:ext cx="5486400" cy="2756058"/>
                    </a:xfrm>
                    <a:prstGeom prst="rect">
                      <a:avLst/>
                    </a:prstGeom>
                  </pic:spPr>
                </pic:pic>
              </a:graphicData>
            </a:graphic>
          </wp:inline>
        </w:drawing>
      </w:r>
    </w:p>
    <w:p>
      <w:pPr>
        <w:numPr>
          <w:ilvl w:val="0"/>
          <w:numId w:val="4"/>
        </w:numPr>
        <w:snapToGrid w:val="0"/>
        <w:spacing w:before="312" w:beforeLines="100"/>
        <w:ind w:left="336" w:hanging="336" w:hangingChars="160"/>
        <w:jc w:val="left"/>
        <w:rPr>
          <w:rFonts w:asciiTheme="minorEastAsia" w:hAnsiTheme="minorEastAsia"/>
          <w:color w:val="000000"/>
          <w:szCs w:val="21"/>
        </w:rPr>
      </w:pPr>
      <w:r>
        <w:rPr>
          <w:rFonts w:hint="eastAsia" w:asciiTheme="minorEastAsia" w:hAnsiTheme="minorEastAsia"/>
          <w:color w:val="000000"/>
          <w:szCs w:val="21"/>
        </w:rPr>
        <w:t>修改初始密码弹窗</w:t>
      </w:r>
    </w:p>
    <w:p>
      <w:pPr>
        <w:ind w:firstLine="336"/>
      </w:pPr>
      <w:r>
        <w:rPr>
          <w:rFonts w:hint="eastAsia"/>
        </w:rPr>
        <w:t>若该登录账号的密码为初始密码，则出现提示修改密码弹窗，初始密码为：123456。此时点击取消按钮或关闭弹窗则会直接进入系统首页，若点击确定按钮则跳转个人中心的修改密码页面，可对登录密码进行个性化设置，提高账号安全性。</w:t>
      </w:r>
    </w:p>
    <w:p>
      <w:r>
        <w:rPr>
          <w:rFonts w:hint="eastAsia"/>
        </w:rPr>
        <w:t>注：若登录时出现录入公司全称弹窗，在录入公司全称后，即使登录账号为默认密码，也将不再弹出修改初始密码弹窗，防止一次登录进行过多繁琐的操作。</w:t>
      </w:r>
    </w:p>
    <w:p>
      <w:pPr>
        <w:jc w:val="center"/>
      </w:pPr>
      <w:r>
        <w:drawing>
          <wp:inline distT="0" distB="0" distL="0" distR="0">
            <wp:extent cx="4057015" cy="1351915"/>
            <wp:effectExtent l="0" t="0" r="635"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18"/>
                    <a:stretch>
                      <a:fillRect/>
                    </a:stretch>
                  </pic:blipFill>
                  <pic:spPr>
                    <a:xfrm>
                      <a:off x="0" y="0"/>
                      <a:ext cx="4057143" cy="1352381"/>
                    </a:xfrm>
                    <a:prstGeom prst="rect">
                      <a:avLst/>
                    </a:prstGeom>
                  </pic:spPr>
                </pic:pic>
              </a:graphicData>
            </a:graphic>
          </wp:inline>
        </w:drawing>
      </w:r>
    </w:p>
    <w:p>
      <w:pPr>
        <w:pStyle w:val="4"/>
        <w:numPr>
          <w:ilvl w:val="2"/>
          <w:numId w:val="1"/>
        </w:numPr>
        <w:snapToGrid w:val="0"/>
        <w:ind w:left="1560" w:leftChars="400" w:hanging="720"/>
        <w:rPr>
          <w:rFonts w:ascii="黑体" w:hAnsi="黑体" w:eastAsia="黑体"/>
          <w:sz w:val="21"/>
          <w:szCs w:val="21"/>
        </w:rPr>
      </w:pPr>
      <w:bookmarkStart w:id="17" w:name="_Toc73560964"/>
      <w:r>
        <w:rPr>
          <w:rFonts w:ascii="黑体" w:hAnsi="黑体" w:eastAsia="黑体"/>
          <w:sz w:val="21"/>
          <w:szCs w:val="21"/>
        </w:rPr>
        <w:t>流程图</w:t>
      </w:r>
      <w:bookmarkEnd w:id="17"/>
    </w:p>
    <w:p>
      <w:pPr>
        <w:snapToGrid w:val="0"/>
        <w:jc w:val="left"/>
        <w:rPr>
          <w:rFonts w:ascii="微软雅黑" w:hAnsi="微软雅黑" w:eastAsia="微软雅黑"/>
          <w:color w:val="000000"/>
          <w:szCs w:val="21"/>
        </w:rPr>
      </w:pPr>
      <w:r>
        <w:rPr>
          <w:rFonts w:ascii="微软雅黑" w:hAnsi="微软雅黑" w:eastAsia="微软雅黑"/>
          <w:color w:val="000000"/>
          <w:szCs w:val="21"/>
        </w:rPr>
        <w:drawing>
          <wp:inline distT="0" distB="0" distL="0" distR="0">
            <wp:extent cx="2828925" cy="57626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9"/>
                    <a:stretch>
                      <a:fillRect/>
                    </a:stretch>
                  </pic:blipFill>
                  <pic:spPr>
                    <a:xfrm>
                      <a:off x="0" y="0"/>
                      <a:ext cx="2828925" cy="5762625"/>
                    </a:xfrm>
                    <a:prstGeom prst="rect">
                      <a:avLst/>
                    </a:prstGeom>
                  </pic:spPr>
                </pic:pic>
              </a:graphicData>
            </a:graphic>
          </wp:inline>
        </w:drawing>
      </w:r>
    </w:p>
    <w:p>
      <w:pPr>
        <w:ind w:firstLine="420"/>
      </w:pPr>
      <w:r>
        <w:rPr>
          <w:rFonts w:hint="eastAsia"/>
        </w:rPr>
        <w:t>登录流程图如上所示。</w:t>
      </w:r>
    </w:p>
    <w:p>
      <w:pPr>
        <w:ind w:firstLine="420"/>
      </w:pPr>
      <w:r>
        <w:rPr>
          <w:rFonts w:hint="eastAsia"/>
        </w:rPr>
        <w:t>首先进行账号、密码、验证码的校验，若成功则由后台判断该登录账号是否丛属多个组织机构，反之留在登录页继续操作。</w:t>
      </w:r>
    </w:p>
    <w:p>
      <w:pPr>
        <w:ind w:firstLine="420"/>
      </w:pPr>
      <w:r>
        <w:rPr>
          <w:rFonts w:hint="eastAsia"/>
        </w:rPr>
        <w:t>若有多个机构，则选择此次登录系统的公司，选择公司后进行下一步；若无则直接进行下一步判断。</w:t>
      </w:r>
    </w:p>
    <w:p>
      <w:pPr>
        <w:ind w:firstLine="420"/>
      </w:pPr>
      <w:r>
        <w:rPr>
          <w:rFonts w:hint="eastAsia"/>
        </w:rPr>
        <w:t>判断登录账号的公司是否已录入全称，若未录入，则出现录入公司全称的弹窗，录入后进入系统首页。若为录入则判断登录密码是否为初始密码，若是初始密码则出现修改默认密码提示弹窗，选择取消则进入系统首页，选择确定则进入修改密码页面；若不为初始密码则直接进入系统首页。</w:t>
      </w:r>
    </w:p>
    <w:p>
      <w:pPr>
        <w:pStyle w:val="3"/>
        <w:numPr>
          <w:ilvl w:val="1"/>
          <w:numId w:val="1"/>
        </w:numPr>
        <w:snapToGrid w:val="0"/>
        <w:ind w:left="996" w:leftChars="200" w:hanging="576"/>
        <w:rPr>
          <w:rFonts w:ascii="黑体" w:hAnsi="黑体" w:eastAsia="黑体"/>
          <w:sz w:val="28"/>
          <w:szCs w:val="28"/>
        </w:rPr>
      </w:pPr>
      <w:bookmarkStart w:id="18" w:name="_Toc73560965"/>
      <w:r>
        <w:rPr>
          <w:rFonts w:ascii="黑体" w:hAnsi="黑体" w:eastAsia="黑体"/>
          <w:sz w:val="28"/>
          <w:szCs w:val="28"/>
        </w:rPr>
        <w:t>首页设计</w:t>
      </w:r>
      <w:bookmarkEnd w:id="18"/>
    </w:p>
    <w:p>
      <w:pPr>
        <w:pStyle w:val="4"/>
        <w:numPr>
          <w:ilvl w:val="2"/>
          <w:numId w:val="1"/>
        </w:numPr>
        <w:snapToGrid w:val="0"/>
        <w:ind w:leftChars="400"/>
        <w:rPr>
          <w:rFonts w:ascii="黑体" w:hAnsi="黑体" w:eastAsia="黑体"/>
          <w:sz w:val="21"/>
          <w:szCs w:val="21"/>
        </w:rPr>
      </w:pPr>
      <w:bookmarkStart w:id="19" w:name="_Toc73560966"/>
      <w:r>
        <w:rPr>
          <w:rFonts w:ascii="黑体" w:hAnsi="黑体" w:eastAsia="黑体"/>
          <w:sz w:val="21"/>
          <w:szCs w:val="21"/>
        </w:rPr>
        <w:t>功能概述</w:t>
      </w:r>
      <w:bookmarkEnd w:id="19"/>
    </w:p>
    <w:p>
      <w:pPr>
        <w:ind w:firstLine="420"/>
      </w:pPr>
      <w:r>
        <w:t>登录完成后会进入系统首页，页面上方展示系统名称</w:t>
      </w:r>
      <w:r>
        <w:rPr>
          <w:rFonts w:hint="eastAsia"/>
        </w:rPr>
        <w:t>、</w:t>
      </w:r>
      <w:r>
        <w:t>公司信息，右上角展示用户信息。页面左侧展示菜单栏，点击不同的菜单可跳转到不同页面。</w:t>
      </w:r>
    </w:p>
    <w:p>
      <w:pPr>
        <w:ind w:firstLine="420"/>
      </w:pPr>
      <w:r>
        <w:rPr>
          <w:rFonts w:hint="eastAsia"/>
        </w:rPr>
        <w:t>首页会展示用户的待办信息（需求审批、履约评价、项目合同金额录入提醒），用户需求审批列表，理赔进度，还有消息列表（包括评价，审批待办，审批进度，理赔进度，续保提醒、项目合同金额录入提醒）。</w:t>
      </w:r>
    </w:p>
    <w:p>
      <w:pPr>
        <w:jc w:val="left"/>
        <w:rPr>
          <w:rFonts w:ascii="宋体" w:hAnsi="宋体" w:eastAsia="宋体"/>
          <w:color w:val="000000"/>
          <w:szCs w:val="21"/>
        </w:rPr>
      </w:pPr>
      <w:r>
        <w:rPr>
          <w:rFonts w:hint="eastAsia" w:ascii="宋体" w:hAnsi="宋体" w:eastAsia="宋体"/>
          <w:color w:val="000000"/>
          <w:szCs w:val="21"/>
        </w:rPr>
        <w:t>注：系统每日筛选未填写项目合同金额的保单进行提示。</w:t>
      </w:r>
    </w:p>
    <w:p>
      <w:pPr>
        <w:pStyle w:val="16"/>
        <w:numPr>
          <w:ilvl w:val="0"/>
          <w:numId w:val="5"/>
        </w:numPr>
        <w:ind w:left="420" w:hanging="420" w:firstLineChars="0"/>
      </w:pPr>
      <w:r>
        <w:rPr>
          <w:rFonts w:hint="eastAsia"/>
        </w:rPr>
        <w:t>消息列表</w:t>
      </w:r>
    </w:p>
    <w:p>
      <w:pPr>
        <w:ind w:firstLine="420"/>
      </w:pPr>
      <w:r>
        <w:rPr>
          <w:rFonts w:hint="eastAsia"/>
        </w:rPr>
        <w:t>默认展示最新的6条消息，包括审批待办、审批进度、理赔进度、续保提醒、项目合同金额录入提醒，点击消息跳转相关列表页或详情页。点击“查看更多”按钮浏览全部消息内容。</w:t>
      </w:r>
    </w:p>
    <w:p>
      <w:pPr>
        <w:pStyle w:val="16"/>
        <w:numPr>
          <w:ilvl w:val="0"/>
          <w:numId w:val="5"/>
        </w:numPr>
        <w:ind w:firstLineChars="0"/>
      </w:pPr>
      <w:r>
        <w:rPr>
          <w:rFonts w:hint="eastAsia"/>
        </w:rPr>
        <w:t>企业二维码</w:t>
      </w:r>
    </w:p>
    <w:p>
      <w:pPr>
        <w:ind w:left="360"/>
      </w:pPr>
      <w:r>
        <w:rPr>
          <w:rFonts w:hint="eastAsia"/>
        </w:rPr>
        <w:t>点击二维码预览大图，手机扫码可进入路桥官网。</w:t>
      </w:r>
    </w:p>
    <w:p>
      <w:pPr>
        <w:pStyle w:val="16"/>
        <w:numPr>
          <w:ilvl w:val="0"/>
          <w:numId w:val="5"/>
        </w:numPr>
        <w:ind w:firstLineChars="0"/>
      </w:pPr>
      <w:r>
        <w:rPr>
          <w:rFonts w:hint="eastAsia"/>
        </w:rPr>
        <w:t>我的待办</w:t>
      </w:r>
    </w:p>
    <w:p>
      <w:pPr>
        <w:ind w:firstLine="360"/>
      </w:pPr>
      <w:r>
        <w:rPr>
          <w:rFonts w:hint="eastAsia"/>
        </w:rPr>
        <w:t>默认展示最新的6条待办事项，待办事项类型包括需求审批、履约评价与项目合同金额录入，点击保险需求审批会进入需求查看页面，履约评价会跳转到我的评价页面，项目合同金额录入会跳转到对应的保单详情。点击“查看更多”按钮浏览全部待办内容。</w:t>
      </w:r>
    </w:p>
    <w:p>
      <w:pPr>
        <w:pStyle w:val="16"/>
        <w:numPr>
          <w:ilvl w:val="0"/>
          <w:numId w:val="5"/>
        </w:numPr>
        <w:ind w:firstLineChars="0"/>
      </w:pPr>
      <w:r>
        <w:rPr>
          <w:rFonts w:hint="eastAsia"/>
        </w:rPr>
        <w:t>续保</w:t>
      </w:r>
    </w:p>
    <w:p>
      <w:pPr>
        <w:ind w:firstLine="360"/>
      </w:pPr>
      <w:r>
        <w:rPr>
          <w:rFonts w:hint="eastAsia"/>
        </w:rPr>
        <w:t>默认展示最新的6条续保信息，点击续保列表中查看按钮会跳转续保管理列表页，查看相关保单的续保情况。</w:t>
      </w:r>
    </w:p>
    <w:p>
      <w:pPr>
        <w:pStyle w:val="16"/>
        <w:numPr>
          <w:ilvl w:val="0"/>
          <w:numId w:val="5"/>
        </w:numPr>
        <w:ind w:firstLineChars="0"/>
      </w:pPr>
      <w:r>
        <w:rPr>
          <w:rFonts w:hint="eastAsia"/>
        </w:rPr>
        <w:t>理赔进度跟踪</w:t>
      </w:r>
    </w:p>
    <w:p>
      <w:pPr>
        <w:spacing w:line="240" w:lineRule="auto"/>
        <w:ind w:firstLine="360"/>
      </w:pPr>
      <w:r>
        <w:rPr>
          <w:rFonts w:hint="eastAsia"/>
        </w:rPr>
        <w:t>默认展示最新的6条理赔进度信息，点击理赔进度跟踪的条目会跳转到相应的理赔详情页面，点击“查看更多”按钮跳转到理赔列表页面。</w:t>
      </w:r>
    </w:p>
    <w:p>
      <w:pPr>
        <w:pStyle w:val="4"/>
        <w:numPr>
          <w:ilvl w:val="2"/>
          <w:numId w:val="1"/>
        </w:numPr>
        <w:snapToGrid w:val="0"/>
        <w:ind w:leftChars="400"/>
        <w:rPr>
          <w:rFonts w:ascii="黑体" w:hAnsi="黑体" w:eastAsia="黑体"/>
          <w:sz w:val="21"/>
          <w:szCs w:val="21"/>
        </w:rPr>
      </w:pPr>
      <w:bookmarkStart w:id="20" w:name="_Toc73560967"/>
      <w:r>
        <w:rPr>
          <w:rFonts w:ascii="黑体" w:hAnsi="黑体" w:eastAsia="黑体"/>
          <w:sz w:val="21"/>
          <w:szCs w:val="21"/>
        </w:rPr>
        <w:t>界面</w:t>
      </w:r>
      <w:bookmarkEnd w:id="20"/>
    </w:p>
    <w:p>
      <w:pPr>
        <w:numPr>
          <w:ilvl w:val="0"/>
          <w:numId w:val="4"/>
        </w:numPr>
        <w:snapToGrid w:val="0"/>
        <w:spacing w:before="312" w:beforeLines="100"/>
        <w:ind w:left="336" w:hanging="336" w:hangingChars="160"/>
        <w:jc w:val="left"/>
      </w:pPr>
      <w:r>
        <w:rPr>
          <w:rFonts w:hint="eastAsia"/>
        </w:rPr>
        <w:t>首页</w:t>
      </w:r>
    </w:p>
    <w:p>
      <w:pPr>
        <w:ind w:firstLine="420"/>
      </w:pPr>
      <w:r>
        <w:rPr>
          <w:rFonts w:hint="eastAsia"/>
        </w:rPr>
        <w:t>首页布局分为五个板块，分别是消息列表、企业官网二维码、待办列表、续保提醒以及理赔进度追踪，均默认展示六条数据，浏览更多内容需进入对应列表页查看（点击“查看更多”或“查看”按钮）。</w:t>
      </w:r>
    </w:p>
    <w:p>
      <w:pPr>
        <w:snapToGrid w:val="0"/>
        <w:ind w:left="720" w:hanging="720"/>
        <w:jc w:val="left"/>
        <w:rPr>
          <w:rFonts w:ascii="黑体" w:hAnsi="黑体" w:eastAsia="黑体"/>
          <w:color w:val="000000"/>
          <w:sz w:val="28"/>
          <w:szCs w:val="28"/>
        </w:rPr>
      </w:pPr>
      <w:r>
        <w:rPr>
          <w:rFonts w:ascii="微软雅黑" w:hAnsi="微软雅黑" w:eastAsia="微软雅黑"/>
          <w:color w:val="000000"/>
          <w:szCs w:val="21"/>
        </w:rPr>
        <w:drawing>
          <wp:inline distT="0" distB="0" distL="0" distR="0">
            <wp:extent cx="5486400" cy="27559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stretch>
                      <a:fillRect/>
                    </a:stretch>
                  </pic:blipFill>
                  <pic:spPr>
                    <a:xfrm>
                      <a:off x="0" y="0"/>
                      <a:ext cx="5486400" cy="2755919"/>
                    </a:xfrm>
                    <a:prstGeom prst="rect">
                      <a:avLst/>
                    </a:prstGeom>
                  </pic:spPr>
                </pic:pic>
              </a:graphicData>
            </a:graphic>
          </wp:inline>
        </w:drawing>
      </w:r>
    </w:p>
    <w:p>
      <w:pPr>
        <w:pStyle w:val="3"/>
        <w:numPr>
          <w:ilvl w:val="1"/>
          <w:numId w:val="1"/>
        </w:numPr>
        <w:snapToGrid w:val="0"/>
        <w:ind w:left="996" w:leftChars="200" w:hanging="576"/>
        <w:rPr>
          <w:rFonts w:ascii="黑体" w:hAnsi="黑体" w:eastAsia="黑体"/>
          <w:sz w:val="28"/>
          <w:szCs w:val="28"/>
        </w:rPr>
      </w:pPr>
      <w:bookmarkStart w:id="21" w:name="_Toc73560968"/>
      <w:r>
        <w:rPr>
          <w:rFonts w:ascii="黑体" w:hAnsi="黑体" w:eastAsia="黑体"/>
          <w:sz w:val="28"/>
          <w:szCs w:val="28"/>
        </w:rPr>
        <w:t>消息</w:t>
      </w:r>
      <w:r>
        <w:rPr>
          <w:rFonts w:hint="eastAsia" w:ascii="黑体" w:hAnsi="黑体" w:eastAsia="黑体"/>
          <w:sz w:val="28"/>
          <w:szCs w:val="28"/>
        </w:rPr>
        <w:t>待办</w:t>
      </w:r>
      <w:r>
        <w:rPr>
          <w:rFonts w:ascii="黑体" w:hAnsi="黑体" w:eastAsia="黑体"/>
          <w:sz w:val="28"/>
          <w:szCs w:val="28"/>
        </w:rPr>
        <w:t>设计</w:t>
      </w:r>
      <w:bookmarkEnd w:id="21"/>
    </w:p>
    <w:p>
      <w:pPr>
        <w:pStyle w:val="4"/>
        <w:numPr>
          <w:ilvl w:val="2"/>
          <w:numId w:val="1"/>
        </w:numPr>
        <w:snapToGrid w:val="0"/>
        <w:ind w:left="1560" w:leftChars="400" w:hanging="720"/>
        <w:rPr>
          <w:rFonts w:ascii="黑体" w:hAnsi="黑体" w:eastAsia="黑体"/>
          <w:sz w:val="21"/>
          <w:szCs w:val="21"/>
        </w:rPr>
      </w:pPr>
      <w:bookmarkStart w:id="22" w:name="_Toc73560969"/>
      <w:r>
        <w:rPr>
          <w:rFonts w:ascii="黑体" w:hAnsi="黑体" w:eastAsia="黑体"/>
          <w:sz w:val="21"/>
          <w:szCs w:val="21"/>
        </w:rPr>
        <w:t>功能概述</w:t>
      </w:r>
      <w:bookmarkEnd w:id="22"/>
    </w:p>
    <w:p>
      <w:pPr>
        <w:pStyle w:val="16"/>
        <w:numPr>
          <w:ilvl w:val="0"/>
          <w:numId w:val="6"/>
        </w:numPr>
        <w:ind w:firstLineChars="0"/>
      </w:pPr>
      <w:r>
        <w:rPr>
          <w:rFonts w:hint="eastAsia"/>
        </w:rPr>
        <w:t>消息列表</w:t>
      </w:r>
    </w:p>
    <w:p>
      <w:pPr>
        <w:ind w:firstLine="420"/>
      </w:pPr>
      <w:r>
        <w:rPr>
          <w:rFonts w:hint="eastAsia"/>
        </w:rPr>
        <w:t>消息列表中展示用户收到的各种消息提醒，包括审批消息、保单理赔状态变更、续保提醒和评价提醒、项目合同金额录入提醒，点击会跳转到相应页面。</w:t>
      </w:r>
    </w:p>
    <w:p>
      <w:pPr>
        <w:pStyle w:val="16"/>
        <w:numPr>
          <w:ilvl w:val="0"/>
          <w:numId w:val="6"/>
        </w:numPr>
        <w:ind w:firstLineChars="0"/>
      </w:pPr>
      <w:r>
        <w:rPr>
          <w:rFonts w:hint="eastAsia"/>
        </w:rPr>
        <w:t>待办列表</w:t>
      </w:r>
    </w:p>
    <w:p>
      <w:pPr>
        <w:ind w:firstLine="420"/>
        <w:jc w:val="left"/>
        <w:rPr>
          <w:rFonts w:ascii="宋体" w:hAnsi="宋体" w:eastAsia="宋体"/>
          <w:color w:val="000000"/>
          <w:szCs w:val="21"/>
        </w:rPr>
      </w:pPr>
      <w:r>
        <w:rPr>
          <w:rFonts w:ascii="宋体" w:hAnsi="宋体" w:eastAsia="宋体"/>
          <w:color w:val="000000"/>
          <w:szCs w:val="21"/>
        </w:rPr>
        <w:t>点击待办列表的按钮跳转到相应处理页面，保险需求审批会进入需求查看页面，履约评价会跳转到我的评价页面，项目合同金额录入会跳转到对应的保单详情</w:t>
      </w:r>
      <w:r>
        <w:rPr>
          <w:rFonts w:hint="eastAsia" w:ascii="宋体" w:hAnsi="宋体" w:eastAsia="宋体"/>
          <w:color w:val="000000"/>
          <w:szCs w:val="21"/>
        </w:rPr>
        <w:t>。</w:t>
      </w:r>
    </w:p>
    <w:p>
      <w:pPr>
        <w:jc w:val="left"/>
        <w:rPr>
          <w:rFonts w:ascii="宋体" w:hAnsi="宋体" w:eastAsia="宋体"/>
          <w:color w:val="000000"/>
          <w:szCs w:val="21"/>
        </w:rPr>
      </w:pPr>
      <w:r>
        <w:rPr>
          <w:rFonts w:ascii="宋体" w:hAnsi="宋体" w:eastAsia="宋体"/>
          <w:color w:val="000000"/>
          <w:szCs w:val="21"/>
        </w:rPr>
        <w:t>注：审批完成的待办事项</w:t>
      </w:r>
      <w:r>
        <w:rPr>
          <w:rFonts w:hint="eastAsia" w:ascii="宋体" w:hAnsi="宋体" w:eastAsia="宋体"/>
          <w:color w:val="000000"/>
          <w:szCs w:val="21"/>
        </w:rPr>
        <w:t>将</w:t>
      </w:r>
      <w:r>
        <w:rPr>
          <w:rFonts w:ascii="宋体" w:hAnsi="宋体" w:eastAsia="宋体"/>
          <w:color w:val="000000"/>
          <w:szCs w:val="21"/>
        </w:rPr>
        <w:t>不</w:t>
      </w:r>
      <w:r>
        <w:rPr>
          <w:rFonts w:hint="eastAsia" w:ascii="宋体" w:hAnsi="宋体" w:eastAsia="宋体"/>
          <w:color w:val="000000"/>
          <w:szCs w:val="21"/>
        </w:rPr>
        <w:t>再出现</w:t>
      </w:r>
      <w:r>
        <w:rPr>
          <w:rFonts w:ascii="宋体" w:hAnsi="宋体" w:eastAsia="宋体"/>
          <w:color w:val="000000"/>
          <w:szCs w:val="21"/>
        </w:rPr>
        <w:t>在待办列表。</w:t>
      </w:r>
    </w:p>
    <w:p>
      <w:pPr>
        <w:pStyle w:val="4"/>
        <w:numPr>
          <w:ilvl w:val="2"/>
          <w:numId w:val="1"/>
        </w:numPr>
        <w:snapToGrid w:val="0"/>
        <w:ind w:left="1560" w:leftChars="400" w:hanging="720"/>
        <w:rPr>
          <w:rFonts w:ascii="黑体" w:hAnsi="黑体" w:eastAsia="黑体"/>
          <w:sz w:val="21"/>
          <w:szCs w:val="21"/>
        </w:rPr>
      </w:pPr>
      <w:bookmarkStart w:id="23" w:name="_Toc73560970"/>
      <w:r>
        <w:rPr>
          <w:rFonts w:ascii="黑体" w:hAnsi="黑体" w:eastAsia="黑体"/>
          <w:sz w:val="21"/>
          <w:szCs w:val="21"/>
        </w:rPr>
        <w:t>界面</w:t>
      </w:r>
      <w:bookmarkEnd w:id="23"/>
    </w:p>
    <w:p>
      <w:pPr>
        <w:numPr>
          <w:ilvl w:val="0"/>
          <w:numId w:val="4"/>
        </w:numPr>
        <w:snapToGrid w:val="0"/>
        <w:spacing w:before="312" w:beforeLines="100"/>
        <w:ind w:left="336" w:hanging="336" w:hangingChars="160"/>
        <w:jc w:val="left"/>
        <w:rPr>
          <w:rFonts w:asciiTheme="minorEastAsia" w:hAnsiTheme="minorEastAsia"/>
          <w:color w:val="000000"/>
          <w:szCs w:val="21"/>
        </w:rPr>
      </w:pPr>
      <w:r>
        <w:rPr>
          <w:rFonts w:asciiTheme="minorEastAsia" w:hAnsiTheme="minorEastAsia"/>
          <w:color w:val="000000"/>
          <w:szCs w:val="21"/>
        </w:rPr>
        <w:t>消息列表</w:t>
      </w:r>
    </w:p>
    <w:p>
      <w:pPr>
        <w:ind w:firstLine="336"/>
      </w:pPr>
      <w:r>
        <w:rPr>
          <w:rFonts w:hint="eastAsia"/>
        </w:rPr>
        <w:t>消息列表页面分为全部消息、需求报送、保单管理、履约评价四个模块，默认展示10条数据。消息列表的消息会以消息提醒的形式发送到对应使用人的云之家app上。</w:t>
      </w:r>
    </w:p>
    <w:p>
      <w:pPr>
        <w:pStyle w:val="16"/>
        <w:numPr>
          <w:ilvl w:val="0"/>
          <w:numId w:val="7"/>
        </w:numPr>
        <w:ind w:firstLineChars="0"/>
      </w:pPr>
      <w:r>
        <w:rPr>
          <w:rFonts w:hint="eastAsia"/>
        </w:rPr>
        <w:t>点击审批消息和进度会跳转到需求审批查看页面；</w:t>
      </w:r>
    </w:p>
    <w:p>
      <w:pPr>
        <w:pStyle w:val="16"/>
        <w:numPr>
          <w:ilvl w:val="0"/>
          <w:numId w:val="7"/>
        </w:numPr>
        <w:ind w:firstLineChars="0"/>
      </w:pPr>
      <w:r>
        <w:rPr>
          <w:rFonts w:hint="eastAsia"/>
        </w:rPr>
        <w:t>点击保单理赔状态变更会跳转到保单理赔详情页面；</w:t>
      </w:r>
    </w:p>
    <w:p>
      <w:pPr>
        <w:pStyle w:val="16"/>
        <w:numPr>
          <w:ilvl w:val="0"/>
          <w:numId w:val="7"/>
        </w:numPr>
        <w:ind w:firstLineChars="0"/>
      </w:pPr>
      <w:r>
        <w:rPr>
          <w:rFonts w:hint="eastAsia"/>
        </w:rPr>
        <w:t>点击续保提醒会跳转到续保管理页面；</w:t>
      </w:r>
    </w:p>
    <w:p>
      <w:pPr>
        <w:pStyle w:val="16"/>
        <w:numPr>
          <w:ilvl w:val="0"/>
          <w:numId w:val="7"/>
        </w:numPr>
        <w:ind w:firstLineChars="0"/>
      </w:pPr>
      <w:r>
        <w:rPr>
          <w:rFonts w:hint="eastAsia"/>
        </w:rPr>
        <w:t>点击评价提醒会跳转到我的评价页面；</w:t>
      </w:r>
    </w:p>
    <w:p>
      <w:pPr>
        <w:pStyle w:val="16"/>
        <w:numPr>
          <w:ilvl w:val="0"/>
          <w:numId w:val="7"/>
        </w:numPr>
        <w:ind w:firstLineChars="0"/>
      </w:pPr>
      <w:r>
        <w:rPr>
          <w:rFonts w:hint="eastAsia"/>
        </w:rPr>
        <w:t>点击沟通记录会跳转到理赔详情页面；</w:t>
      </w:r>
    </w:p>
    <w:p>
      <w:pPr>
        <w:pStyle w:val="16"/>
        <w:numPr>
          <w:ilvl w:val="0"/>
          <w:numId w:val="7"/>
        </w:numPr>
        <w:ind w:firstLineChars="0"/>
      </w:pPr>
      <w:r>
        <w:rPr>
          <w:rFonts w:hint="eastAsia"/>
        </w:rPr>
        <w:t>点击项目合同金额录入提醒会跳转到保单列表页面；</w:t>
      </w:r>
    </w:p>
    <w:p>
      <w:pPr>
        <w:snapToGrid w:val="0"/>
        <w:jc w:val="left"/>
        <w:rPr>
          <w:rFonts w:ascii="微软雅黑" w:hAnsi="微软雅黑" w:eastAsia="微软雅黑"/>
          <w:color w:val="000000"/>
          <w:szCs w:val="21"/>
        </w:rPr>
      </w:pPr>
      <w:r>
        <w:rPr>
          <w:rFonts w:ascii="微软雅黑" w:hAnsi="微软雅黑" w:eastAsia="微软雅黑"/>
          <w:color w:val="000000"/>
          <w:szCs w:val="21"/>
        </w:rPr>
        <w:drawing>
          <wp:inline distT="0" distB="0" distL="0" distR="0">
            <wp:extent cx="5486400" cy="27603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1"/>
                    <a:stretch>
                      <a:fillRect/>
                    </a:stretch>
                  </pic:blipFill>
                  <pic:spPr>
                    <a:xfrm>
                      <a:off x="0" y="0"/>
                      <a:ext cx="5486400" cy="2760345"/>
                    </a:xfrm>
                    <a:prstGeom prst="rect">
                      <a:avLst/>
                    </a:prstGeom>
                  </pic:spPr>
                </pic:pic>
              </a:graphicData>
            </a:graphic>
          </wp:inline>
        </w:drawing>
      </w:r>
    </w:p>
    <w:p>
      <w:pPr>
        <w:numPr>
          <w:ilvl w:val="0"/>
          <w:numId w:val="4"/>
        </w:numPr>
        <w:snapToGrid w:val="0"/>
        <w:spacing w:before="312" w:beforeLines="100"/>
        <w:ind w:left="336" w:hanging="336" w:hangingChars="160"/>
        <w:jc w:val="left"/>
        <w:rPr>
          <w:rFonts w:asciiTheme="minorEastAsia" w:hAnsiTheme="minorEastAsia"/>
          <w:color w:val="000000"/>
          <w:szCs w:val="21"/>
        </w:rPr>
      </w:pPr>
      <w:r>
        <w:rPr>
          <w:rFonts w:asciiTheme="minorEastAsia" w:hAnsiTheme="minorEastAsia"/>
          <w:color w:val="000000"/>
          <w:szCs w:val="21"/>
        </w:rPr>
        <w:t>待办列表</w:t>
      </w:r>
    </w:p>
    <w:p>
      <w:pPr>
        <w:ind w:firstLine="336"/>
      </w:pPr>
      <w:r>
        <w:rPr>
          <w:rFonts w:hint="eastAsia"/>
        </w:rPr>
        <w:t>待办列表页面展示该待办的编号、待办事项、发起公司以及更新时间，待办操作共有三种类型，具体功能如下所示：</w:t>
      </w:r>
    </w:p>
    <w:p>
      <w:pPr>
        <w:pStyle w:val="16"/>
        <w:numPr>
          <w:ilvl w:val="0"/>
          <w:numId w:val="8"/>
        </w:numPr>
        <w:ind w:firstLineChars="0"/>
      </w:pPr>
      <w:r>
        <w:rPr>
          <w:rFonts w:hint="eastAsia"/>
        </w:rPr>
        <w:t>去审批，进入需求详情页面处理需求审批事项。</w:t>
      </w:r>
    </w:p>
    <w:p>
      <w:pPr>
        <w:pStyle w:val="16"/>
        <w:numPr>
          <w:ilvl w:val="0"/>
          <w:numId w:val="8"/>
        </w:numPr>
        <w:ind w:firstLineChars="0"/>
      </w:pPr>
      <w:r>
        <w:rPr>
          <w:rFonts w:hint="eastAsia"/>
        </w:rPr>
        <w:t>去录入，进入保单详情页面录入缺失的项目合同金额。</w:t>
      </w:r>
    </w:p>
    <w:p>
      <w:pPr>
        <w:pStyle w:val="16"/>
        <w:numPr>
          <w:ilvl w:val="0"/>
          <w:numId w:val="8"/>
        </w:numPr>
        <w:ind w:firstLineChars="0"/>
      </w:pPr>
      <w:r>
        <w:rPr>
          <w:rFonts w:hint="eastAsia"/>
        </w:rPr>
        <w:t>去评价，进入问卷评价页面填写指定的履约评价问卷。</w:t>
      </w:r>
    </w:p>
    <w:p>
      <w:pPr>
        <w:snapToGrid w:val="0"/>
        <w:jc w:val="left"/>
        <w:rPr>
          <w:rFonts w:ascii="微软雅黑" w:hAnsi="微软雅黑" w:eastAsia="微软雅黑"/>
          <w:color w:val="000000"/>
          <w:szCs w:val="21"/>
        </w:rPr>
      </w:pPr>
      <w:r>
        <w:rPr>
          <w:rFonts w:ascii="微软雅黑" w:hAnsi="微软雅黑" w:eastAsia="微软雅黑"/>
          <w:color w:val="000000"/>
          <w:szCs w:val="21"/>
        </w:rPr>
        <w:drawing>
          <wp:inline distT="0" distB="0" distL="0" distR="0">
            <wp:extent cx="5486400" cy="27514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2"/>
                    <a:stretch>
                      <a:fillRect/>
                    </a:stretch>
                  </pic:blipFill>
                  <pic:spPr>
                    <a:xfrm>
                      <a:off x="0" y="0"/>
                      <a:ext cx="5486400" cy="2751772"/>
                    </a:xfrm>
                    <a:prstGeom prst="rect">
                      <a:avLst/>
                    </a:prstGeom>
                  </pic:spPr>
                </pic:pic>
              </a:graphicData>
            </a:graphic>
          </wp:inline>
        </w:drawing>
      </w:r>
    </w:p>
    <w:p>
      <w:pPr>
        <w:pStyle w:val="4"/>
        <w:numPr>
          <w:ilvl w:val="2"/>
          <w:numId w:val="1"/>
        </w:numPr>
        <w:snapToGrid w:val="0"/>
        <w:ind w:left="1560" w:leftChars="400" w:hanging="720"/>
        <w:rPr>
          <w:rFonts w:ascii="黑体" w:hAnsi="黑体" w:eastAsia="黑体"/>
          <w:sz w:val="21"/>
          <w:szCs w:val="21"/>
        </w:rPr>
      </w:pPr>
      <w:bookmarkStart w:id="24" w:name="_Toc73560971"/>
      <w:r>
        <w:rPr>
          <w:rFonts w:ascii="黑体" w:hAnsi="黑体" w:eastAsia="黑体"/>
          <w:sz w:val="21"/>
          <w:szCs w:val="21"/>
        </w:rPr>
        <w:t>流程图</w:t>
      </w:r>
      <w:bookmarkEnd w:id="24"/>
    </w:p>
    <w:p>
      <w:pPr>
        <w:numPr>
          <w:ilvl w:val="0"/>
          <w:numId w:val="4"/>
        </w:numPr>
        <w:snapToGrid w:val="0"/>
        <w:spacing w:before="312" w:beforeLines="100"/>
        <w:ind w:left="336" w:hanging="336" w:hangingChars="160"/>
        <w:jc w:val="left"/>
        <w:rPr>
          <w:rFonts w:asciiTheme="minorEastAsia" w:hAnsiTheme="minorEastAsia"/>
          <w:color w:val="000000"/>
          <w:szCs w:val="21"/>
        </w:rPr>
      </w:pPr>
      <w:r>
        <w:rPr>
          <w:rFonts w:asciiTheme="minorEastAsia" w:hAnsiTheme="minorEastAsia"/>
          <w:color w:val="000000"/>
          <w:szCs w:val="21"/>
        </w:rPr>
        <w:t>新增消息</w:t>
      </w:r>
    </w:p>
    <w:p>
      <w:pPr>
        <w:ind w:firstLine="336"/>
      </w:pPr>
      <w:r>
        <w:rPr>
          <w:rFonts w:hint="eastAsia"/>
        </w:rPr>
        <w:t>由理赔进度、履约评价、审批流程等事件触发消息的新增，确定消息的来源与接收者，根据预定的消息类型与消息内容组成消息主体，最后则是将新增的消息与接收用户或机构层级相关联，如此新增消息流程结束，数据落库。</w:t>
      </w:r>
    </w:p>
    <w:p>
      <w:pPr>
        <w:snapToGrid w:val="0"/>
        <w:jc w:val="left"/>
        <w:rPr>
          <w:rFonts w:ascii="宋体" w:hAnsi="宋体" w:eastAsia="宋体"/>
          <w:color w:val="000000"/>
          <w:szCs w:val="21"/>
        </w:rPr>
      </w:pPr>
      <w:r>
        <w:rPr>
          <w:rFonts w:ascii="微软雅黑" w:hAnsi="微软雅黑" w:eastAsia="微软雅黑"/>
          <w:color w:val="000000"/>
          <w:szCs w:val="21"/>
        </w:rPr>
        <w:drawing>
          <wp:inline distT="0" distB="0" distL="0" distR="0">
            <wp:extent cx="1398270" cy="409448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3"/>
                    <a:stretch>
                      <a:fillRect/>
                    </a:stretch>
                  </pic:blipFill>
                  <pic:spPr>
                    <a:xfrm>
                      <a:off x="0" y="0"/>
                      <a:ext cx="1408151" cy="4121609"/>
                    </a:xfrm>
                    <a:prstGeom prst="rect">
                      <a:avLst/>
                    </a:prstGeom>
                  </pic:spPr>
                </pic:pic>
              </a:graphicData>
            </a:graphic>
          </wp:inline>
        </w:drawing>
      </w:r>
    </w:p>
    <w:p>
      <w:pPr>
        <w:numPr>
          <w:ilvl w:val="0"/>
          <w:numId w:val="4"/>
        </w:numPr>
        <w:snapToGrid w:val="0"/>
        <w:spacing w:before="312" w:beforeLines="100"/>
        <w:ind w:left="336" w:hanging="336" w:hangingChars="160"/>
        <w:jc w:val="left"/>
        <w:rPr>
          <w:rFonts w:asciiTheme="minorEastAsia" w:hAnsiTheme="minorEastAsia"/>
          <w:color w:val="000000"/>
          <w:szCs w:val="21"/>
        </w:rPr>
      </w:pPr>
      <w:r>
        <w:rPr>
          <w:rFonts w:asciiTheme="minorEastAsia" w:hAnsiTheme="minorEastAsia"/>
          <w:color w:val="000000"/>
          <w:szCs w:val="21"/>
        </w:rPr>
        <w:t>消息查询</w:t>
      </w:r>
    </w:p>
    <w:p>
      <w:pPr>
        <w:ind w:firstLine="336"/>
      </w:pPr>
      <w:r>
        <w:rPr>
          <w:rFonts w:hint="eastAsia"/>
        </w:rPr>
        <w:t>登入系统，通过用户id（消息关联的接收者）、消息类型、状态（已读、未读）、发起时间、截止时间、数量、页码等条件。由消息类型判断所需的条件于数据库中查询并返回消息主体、类型、跳转地址等数据，并按照消息的发起时间顺序倒序排列。</w:t>
      </w:r>
    </w:p>
    <w:p>
      <w:pPr>
        <w:ind w:firstLine="336"/>
        <w:jc w:val="center"/>
        <w:rPr>
          <w:rFonts w:ascii="宋体" w:hAnsi="宋体" w:eastAsia="宋体"/>
          <w:color w:val="000000"/>
          <w:szCs w:val="21"/>
        </w:rPr>
      </w:pPr>
      <w:r>
        <w:rPr>
          <w:rFonts w:hint="eastAsia"/>
        </w:rPr>
        <w:t>通知提示类消息与查看次数、处理与否无关，始终在用户消息列表展示；待办类消息在相关事项处理后完成后，即被清除；公告类消息按照机构层级发送，不指定用户个人。</w:t>
      </w:r>
      <w:r>
        <w:rPr>
          <w:rFonts w:ascii="宋体" w:hAnsi="宋体" w:eastAsia="宋体"/>
          <w:color w:val="000000"/>
          <w:szCs w:val="21"/>
        </w:rPr>
        <w:drawing>
          <wp:inline distT="0" distB="0" distL="0" distR="0">
            <wp:extent cx="5450840" cy="539051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4"/>
                    <a:stretch>
                      <a:fillRect/>
                    </a:stretch>
                  </pic:blipFill>
                  <pic:spPr>
                    <a:xfrm>
                      <a:off x="0" y="0"/>
                      <a:ext cx="5469102" cy="5408671"/>
                    </a:xfrm>
                    <a:prstGeom prst="rect">
                      <a:avLst/>
                    </a:prstGeom>
                  </pic:spPr>
                </pic:pic>
              </a:graphicData>
            </a:graphic>
          </wp:inline>
        </w:drawing>
      </w:r>
    </w:p>
    <w:p>
      <w:pPr>
        <w:numPr>
          <w:ilvl w:val="0"/>
          <w:numId w:val="4"/>
        </w:numPr>
        <w:snapToGrid w:val="0"/>
        <w:spacing w:before="312" w:beforeLines="100"/>
        <w:ind w:left="336" w:hanging="336" w:hangingChars="160"/>
        <w:jc w:val="left"/>
        <w:rPr>
          <w:rFonts w:asciiTheme="minorEastAsia" w:hAnsiTheme="minorEastAsia"/>
          <w:color w:val="000000"/>
          <w:szCs w:val="21"/>
        </w:rPr>
      </w:pPr>
      <w:r>
        <w:rPr>
          <w:rFonts w:asciiTheme="minorEastAsia" w:hAnsiTheme="minorEastAsia"/>
          <w:color w:val="000000"/>
          <w:szCs w:val="21"/>
        </w:rPr>
        <w:t>消息处理</w:t>
      </w:r>
    </w:p>
    <w:p>
      <w:pPr>
        <w:snapToGrid w:val="0"/>
        <w:jc w:val="left"/>
        <w:rPr>
          <w:rFonts w:ascii="微软雅黑" w:hAnsi="微软雅黑" w:eastAsia="微软雅黑"/>
          <w:color w:val="000000"/>
          <w:szCs w:val="21"/>
        </w:rPr>
      </w:pPr>
      <w:r>
        <w:rPr>
          <w:rFonts w:ascii="微软雅黑" w:hAnsi="微软雅黑" w:eastAsia="微软雅黑"/>
          <w:color w:val="000000"/>
          <w:szCs w:val="21"/>
        </w:rPr>
        <w:drawing>
          <wp:inline distT="0" distB="0" distL="0" distR="0">
            <wp:extent cx="5486400" cy="34937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5"/>
                    <a:stretch>
                      <a:fillRect/>
                    </a:stretch>
                  </pic:blipFill>
                  <pic:spPr>
                    <a:xfrm>
                      <a:off x="0" y="0"/>
                      <a:ext cx="5486400" cy="3494266"/>
                    </a:xfrm>
                    <a:prstGeom prst="rect">
                      <a:avLst/>
                    </a:prstGeom>
                  </pic:spPr>
                </pic:pic>
              </a:graphicData>
            </a:graphic>
          </wp:inline>
        </w:drawing>
      </w:r>
    </w:p>
    <w:p>
      <w:pPr>
        <w:pStyle w:val="3"/>
        <w:numPr>
          <w:ilvl w:val="1"/>
          <w:numId w:val="1"/>
        </w:numPr>
        <w:snapToGrid w:val="0"/>
        <w:ind w:left="996" w:leftChars="200" w:hanging="576"/>
        <w:rPr>
          <w:rFonts w:ascii="黑体" w:hAnsi="黑体" w:eastAsia="黑体"/>
          <w:sz w:val="28"/>
          <w:szCs w:val="28"/>
        </w:rPr>
      </w:pPr>
      <w:bookmarkStart w:id="25" w:name="_Toc73560972"/>
      <w:r>
        <w:rPr>
          <w:rFonts w:ascii="黑体" w:hAnsi="黑体" w:eastAsia="黑体"/>
          <w:sz w:val="28"/>
          <w:szCs w:val="28"/>
        </w:rPr>
        <w:t>需求报送设计</w:t>
      </w:r>
      <w:bookmarkEnd w:id="25"/>
    </w:p>
    <w:p>
      <w:pPr>
        <w:pStyle w:val="4"/>
        <w:numPr>
          <w:ilvl w:val="2"/>
          <w:numId w:val="1"/>
        </w:numPr>
        <w:snapToGrid w:val="0"/>
        <w:ind w:left="1560" w:leftChars="400" w:hanging="720"/>
        <w:rPr>
          <w:rFonts w:ascii="黑体" w:hAnsi="黑体" w:eastAsia="黑体"/>
          <w:sz w:val="21"/>
          <w:szCs w:val="21"/>
        </w:rPr>
      </w:pPr>
      <w:bookmarkStart w:id="26" w:name="_Toc73560973"/>
      <w:r>
        <w:rPr>
          <w:rFonts w:ascii="黑体" w:hAnsi="黑体" w:eastAsia="黑体"/>
          <w:sz w:val="21"/>
          <w:szCs w:val="21"/>
        </w:rPr>
        <w:t>功能概述</w:t>
      </w:r>
      <w:bookmarkEnd w:id="26"/>
    </w:p>
    <w:p>
      <w:pPr>
        <w:ind w:firstLine="420"/>
        <w:jc w:val="left"/>
        <w:rPr>
          <w:rFonts w:ascii="宋体" w:hAnsi="宋体" w:eastAsia="宋体"/>
          <w:color w:val="000000"/>
          <w:szCs w:val="21"/>
        </w:rPr>
      </w:pPr>
      <w:r>
        <w:rPr>
          <w:rFonts w:ascii="宋体" w:hAnsi="宋体" w:eastAsia="宋体"/>
          <w:color w:val="000000"/>
          <w:szCs w:val="21"/>
        </w:rPr>
        <w:t>保险具体需求公司，根据自己的实际情况，发起保险预算申请，由直属单位进行审批，审批流程完成后，经过集团线下招标，由路桥集团保险管理人员给对应保险公司授权。授权后的保司能查看相关的资料，协助录入保单。</w:t>
      </w:r>
    </w:p>
    <w:p>
      <w:pPr>
        <w:ind w:firstLine="420"/>
        <w:jc w:val="left"/>
        <w:rPr>
          <w:rFonts w:ascii="宋体" w:hAnsi="宋体" w:eastAsia="宋体"/>
          <w:color w:val="000000"/>
          <w:szCs w:val="21"/>
        </w:rPr>
      </w:pPr>
      <w:r>
        <w:rPr>
          <w:rFonts w:hint="eastAsia" w:ascii="宋体" w:hAnsi="宋体" w:eastAsia="宋体"/>
          <w:color w:val="000000"/>
          <w:szCs w:val="21"/>
        </w:rPr>
        <w:t>保险需求共有以下几个状态：</w:t>
      </w:r>
    </w:p>
    <w:p>
      <w:pPr>
        <w:pStyle w:val="16"/>
        <w:numPr>
          <w:ilvl w:val="0"/>
          <w:numId w:val="9"/>
        </w:numPr>
        <w:ind w:firstLineChars="0"/>
        <w:jc w:val="left"/>
        <w:rPr>
          <w:rFonts w:ascii="宋体" w:hAnsi="宋体" w:eastAsia="宋体"/>
          <w:color w:val="000000"/>
          <w:szCs w:val="21"/>
        </w:rPr>
      </w:pPr>
      <w:r>
        <w:rPr>
          <w:rFonts w:hint="eastAsia"/>
        </w:rPr>
        <w:t>暂存：</w:t>
      </w:r>
      <w:r>
        <w:rPr>
          <w:rFonts w:hint="eastAsia" w:ascii="宋体" w:hAnsi="宋体" w:eastAsia="宋体"/>
          <w:color w:val="000000"/>
          <w:szCs w:val="21"/>
        </w:rPr>
        <w:t>创建需求并保存生成需求编号但是还未提交审核；</w:t>
      </w:r>
    </w:p>
    <w:p>
      <w:pPr>
        <w:pStyle w:val="16"/>
        <w:numPr>
          <w:ilvl w:val="0"/>
          <w:numId w:val="9"/>
        </w:numPr>
        <w:ind w:firstLineChars="0"/>
        <w:jc w:val="left"/>
        <w:rPr>
          <w:rFonts w:ascii="宋体" w:hAnsi="宋体" w:eastAsia="宋体"/>
          <w:color w:val="000000"/>
          <w:szCs w:val="21"/>
        </w:rPr>
      </w:pPr>
      <w:r>
        <w:rPr>
          <w:rFonts w:hint="eastAsia"/>
        </w:rPr>
        <w:t>审核中</w:t>
      </w:r>
      <w:r>
        <w:rPr>
          <w:rFonts w:hint="eastAsia" w:ascii="宋体" w:hAnsi="宋体" w:eastAsia="宋体"/>
          <w:color w:val="000000"/>
          <w:szCs w:val="21"/>
        </w:rPr>
        <w:t>：</w:t>
      </w:r>
      <w:r>
        <w:rPr>
          <w:rFonts w:hint="eastAsia"/>
        </w:rPr>
        <w:t>需求已提交审核，待直属单位保险业务员和集团保险负责人审批</w:t>
      </w:r>
      <w:r>
        <w:rPr>
          <w:rFonts w:hint="eastAsia" w:ascii="宋体" w:hAnsi="宋体" w:eastAsia="宋体"/>
          <w:color w:val="000000"/>
          <w:szCs w:val="21"/>
        </w:rPr>
        <w:t>；</w:t>
      </w:r>
    </w:p>
    <w:p>
      <w:pPr>
        <w:pStyle w:val="16"/>
        <w:numPr>
          <w:ilvl w:val="0"/>
          <w:numId w:val="9"/>
        </w:numPr>
        <w:ind w:firstLineChars="0"/>
        <w:jc w:val="left"/>
        <w:rPr>
          <w:rFonts w:ascii="宋体" w:hAnsi="宋体" w:eastAsia="宋体"/>
          <w:color w:val="000000"/>
          <w:szCs w:val="21"/>
        </w:rPr>
      </w:pPr>
      <w:r>
        <w:rPr>
          <w:rFonts w:hint="eastAsia"/>
        </w:rPr>
        <w:t>被驳回：需求审核的时候被驳回，会回到上一个发起人处</w:t>
      </w:r>
      <w:r>
        <w:rPr>
          <w:rFonts w:hint="eastAsia" w:ascii="宋体" w:hAnsi="宋体" w:eastAsia="宋体"/>
          <w:color w:val="000000"/>
          <w:szCs w:val="21"/>
        </w:rPr>
        <w:t>；</w:t>
      </w:r>
    </w:p>
    <w:p>
      <w:pPr>
        <w:pStyle w:val="16"/>
        <w:numPr>
          <w:ilvl w:val="0"/>
          <w:numId w:val="9"/>
        </w:numPr>
        <w:ind w:firstLineChars="0"/>
        <w:jc w:val="left"/>
        <w:rPr>
          <w:rFonts w:ascii="宋体" w:hAnsi="宋体" w:eastAsia="宋体"/>
          <w:color w:val="000000"/>
          <w:szCs w:val="21"/>
        </w:rPr>
      </w:pPr>
      <w:r>
        <w:rPr>
          <w:rFonts w:hint="eastAsia"/>
        </w:rPr>
        <w:t>审核完成：需求</w:t>
      </w:r>
      <w:r>
        <w:rPr>
          <w:rFonts w:hint="eastAsia" w:ascii="宋体" w:hAnsi="宋体" w:eastAsia="宋体"/>
          <w:color w:val="000000"/>
          <w:szCs w:val="21"/>
        </w:rPr>
        <w:t>在公司内部的审核流程完成，待线下招标；</w:t>
      </w:r>
    </w:p>
    <w:p>
      <w:pPr>
        <w:pStyle w:val="16"/>
        <w:numPr>
          <w:ilvl w:val="0"/>
          <w:numId w:val="9"/>
        </w:numPr>
        <w:ind w:firstLineChars="0"/>
        <w:jc w:val="left"/>
        <w:rPr>
          <w:rFonts w:ascii="宋体" w:hAnsi="宋体" w:eastAsia="宋体"/>
          <w:color w:val="000000"/>
          <w:szCs w:val="21"/>
        </w:rPr>
      </w:pPr>
      <w:r>
        <w:rPr>
          <w:rFonts w:hint="eastAsia"/>
        </w:rPr>
        <w:t>招标完成：集团</w:t>
      </w:r>
      <w:r>
        <w:rPr>
          <w:rFonts w:hint="eastAsia" w:ascii="宋体" w:hAnsi="宋体" w:eastAsia="宋体"/>
          <w:color w:val="000000"/>
          <w:szCs w:val="21"/>
        </w:rPr>
        <w:t>线下招标完成后，由路桥集团保险负责人将已经完成招标的项目授权给相应的保险公司。</w:t>
      </w:r>
    </w:p>
    <w:p>
      <w:pPr>
        <w:ind w:firstLine="360"/>
        <w:jc w:val="left"/>
        <w:rPr>
          <w:rFonts w:ascii="宋体" w:hAnsi="宋体" w:eastAsia="宋体"/>
          <w:color w:val="000000"/>
          <w:szCs w:val="21"/>
        </w:rPr>
      </w:pPr>
      <w:r>
        <w:rPr>
          <w:rFonts w:hint="eastAsia" w:ascii="宋体" w:hAnsi="宋体" w:eastAsia="宋体"/>
          <w:color w:val="000000"/>
          <w:szCs w:val="21"/>
        </w:rPr>
        <w:t>需求报送列表中的需求编号列点击会进入保险需求详情页面，根据当前用户是否发起人和审批人以及需求当前状态进入不同页面，操作也会展示不同按钮。</w:t>
      </w:r>
    </w:p>
    <w:p>
      <w:pPr>
        <w:pStyle w:val="16"/>
        <w:numPr>
          <w:ilvl w:val="0"/>
          <w:numId w:val="10"/>
        </w:numPr>
        <w:ind w:firstLineChars="0"/>
        <w:jc w:val="left"/>
        <w:rPr>
          <w:rFonts w:ascii="宋体" w:hAnsi="宋体" w:eastAsia="宋体"/>
          <w:color w:val="000000"/>
          <w:szCs w:val="21"/>
        </w:rPr>
      </w:pPr>
      <w:r>
        <w:rPr>
          <w:rFonts w:hint="eastAsia" w:ascii="宋体" w:hAnsi="宋体" w:eastAsia="宋体"/>
          <w:color w:val="000000"/>
          <w:szCs w:val="21"/>
        </w:rPr>
        <w:t>用户是发起人且当前需求是暂存状态，操作栏展示处理按钮，点击处理按钮进入需求编辑页面，页面展示暂存和提交审批按钮，点击提交审批按钮需求状态变为审核中状态，点击暂存状态提交变更，需求状态不变；</w:t>
      </w:r>
    </w:p>
    <w:p>
      <w:pPr>
        <w:pStyle w:val="16"/>
        <w:numPr>
          <w:ilvl w:val="0"/>
          <w:numId w:val="10"/>
        </w:numPr>
        <w:ind w:firstLineChars="0"/>
        <w:jc w:val="left"/>
        <w:rPr>
          <w:rFonts w:ascii="宋体" w:hAnsi="宋体" w:eastAsia="宋体"/>
          <w:color w:val="000000"/>
          <w:szCs w:val="21"/>
        </w:rPr>
      </w:pPr>
      <w:r>
        <w:rPr>
          <w:rFonts w:hint="eastAsia" w:ascii="宋体" w:hAnsi="宋体" w:eastAsia="宋体"/>
          <w:color w:val="000000"/>
          <w:szCs w:val="21"/>
        </w:rPr>
        <w:t>用户是发起人且当前需求是审核中状态，点击查看按钮进入需求查看页面，页面展示撤回按钮，点击会弹出阻断提示“是否确定要撤回需求”，点击确定会撤回保险需求，需求状态变为暂存（需求在审核提交到审核完成之间都可以撤回）；</w:t>
      </w:r>
    </w:p>
    <w:p>
      <w:pPr>
        <w:pStyle w:val="16"/>
        <w:numPr>
          <w:ilvl w:val="0"/>
          <w:numId w:val="10"/>
        </w:numPr>
        <w:ind w:firstLineChars="0"/>
        <w:jc w:val="left"/>
        <w:rPr>
          <w:rFonts w:ascii="宋体" w:hAnsi="宋体" w:eastAsia="宋体"/>
          <w:color w:val="000000"/>
          <w:szCs w:val="21"/>
        </w:rPr>
      </w:pPr>
      <w:r>
        <w:rPr>
          <w:rFonts w:hint="eastAsia" w:ascii="宋体" w:hAnsi="宋体" w:eastAsia="宋体"/>
          <w:color w:val="000000"/>
          <w:szCs w:val="21"/>
        </w:rPr>
        <w:t>用户是发起人且当前需求是被驳回状态，操作栏展示处理按钮，点击处理按钮进入需求编辑页面，页面展示暂存和再次提交按钮，点击再次提交按钮需求状态变为审核中状态，点击暂存状态提交变更，需求状态变为被驳回；</w:t>
      </w:r>
    </w:p>
    <w:p>
      <w:pPr>
        <w:pStyle w:val="16"/>
        <w:numPr>
          <w:ilvl w:val="0"/>
          <w:numId w:val="10"/>
        </w:numPr>
        <w:ind w:firstLineChars="0"/>
        <w:jc w:val="left"/>
        <w:rPr>
          <w:rFonts w:ascii="宋体" w:hAnsi="宋体" w:eastAsia="宋体"/>
          <w:color w:val="000000"/>
          <w:szCs w:val="21"/>
        </w:rPr>
      </w:pPr>
      <w:r>
        <w:rPr>
          <w:rFonts w:hint="eastAsia" w:ascii="宋体" w:hAnsi="宋体" w:eastAsia="宋体"/>
          <w:color w:val="000000"/>
          <w:szCs w:val="21"/>
        </w:rPr>
        <w:t>用户是发起人且当前需求是审核完成或招标完成状态，点击查看按钮会进入需求查看页面；</w:t>
      </w:r>
    </w:p>
    <w:p>
      <w:pPr>
        <w:pStyle w:val="16"/>
        <w:numPr>
          <w:ilvl w:val="0"/>
          <w:numId w:val="10"/>
        </w:numPr>
        <w:ind w:firstLineChars="0"/>
        <w:jc w:val="left"/>
        <w:rPr>
          <w:rFonts w:ascii="宋体" w:hAnsi="宋体" w:eastAsia="宋体"/>
          <w:color w:val="000000"/>
          <w:szCs w:val="21"/>
        </w:rPr>
      </w:pPr>
      <w:r>
        <w:rPr>
          <w:rFonts w:hint="eastAsia" w:ascii="宋体" w:hAnsi="宋体" w:eastAsia="宋体"/>
          <w:color w:val="000000"/>
          <w:szCs w:val="21"/>
        </w:rPr>
        <w:t>用户是审批人且当前需求是审批中状态且用户是当前处理人，操作栏展示处理按钮，点击处理按钮进入需求查看页面，查看页面展示审批通过和驳回按钮。点击审批通过则审批会流转到下一个处理人，处理人会收到待办消息；点击驳回按钮需求会驳回到上一个处理人；</w:t>
      </w:r>
    </w:p>
    <w:p>
      <w:pPr>
        <w:pStyle w:val="16"/>
        <w:numPr>
          <w:ilvl w:val="0"/>
          <w:numId w:val="10"/>
        </w:numPr>
        <w:ind w:firstLineChars="0"/>
        <w:jc w:val="left"/>
        <w:rPr>
          <w:rFonts w:ascii="宋体" w:hAnsi="宋体" w:eastAsia="宋体"/>
          <w:color w:val="000000"/>
          <w:szCs w:val="21"/>
        </w:rPr>
      </w:pPr>
      <w:r>
        <w:rPr>
          <w:rFonts w:hint="eastAsia" w:ascii="宋体" w:hAnsi="宋体" w:eastAsia="宋体"/>
          <w:color w:val="000000"/>
          <w:szCs w:val="21"/>
        </w:rPr>
        <w:t>用户是集团保险负责人且当前需求是审核完成状态，点击按钮和需求按钮进入需求查看页面，在查看页面的保险信息会展示授权按钮（其他用户不会看到授权按钮），点击可以做相应的保险公司授权；</w:t>
      </w:r>
    </w:p>
    <w:p>
      <w:pPr>
        <w:pStyle w:val="16"/>
        <w:numPr>
          <w:ilvl w:val="0"/>
          <w:numId w:val="10"/>
        </w:numPr>
        <w:ind w:firstLineChars="0"/>
        <w:jc w:val="left"/>
        <w:rPr>
          <w:rFonts w:ascii="宋体" w:hAnsi="宋体" w:eastAsia="宋体"/>
          <w:color w:val="000000"/>
          <w:szCs w:val="21"/>
        </w:rPr>
      </w:pPr>
      <w:r>
        <w:rPr>
          <w:rFonts w:hint="eastAsia" w:ascii="宋体" w:hAnsi="宋体" w:eastAsia="宋体"/>
          <w:color w:val="000000"/>
          <w:szCs w:val="21"/>
        </w:rPr>
        <w:t>用户是审批人且当前需求是被驳回状态且用户是当前经办人，操作栏展示处理按钮，点击处理按钮进入需求查看页面，查看页面展示驳回按钮；</w:t>
      </w:r>
    </w:p>
    <w:p>
      <w:pPr>
        <w:pStyle w:val="16"/>
        <w:numPr>
          <w:ilvl w:val="0"/>
          <w:numId w:val="10"/>
        </w:numPr>
        <w:ind w:firstLineChars="0"/>
        <w:jc w:val="left"/>
        <w:rPr>
          <w:rFonts w:ascii="宋体" w:hAnsi="宋体" w:eastAsia="宋体"/>
          <w:color w:val="000000"/>
          <w:szCs w:val="21"/>
        </w:rPr>
      </w:pPr>
      <w:r>
        <w:rPr>
          <w:rFonts w:hint="eastAsia" w:ascii="宋体" w:hAnsi="宋体" w:eastAsia="宋体"/>
          <w:color w:val="000000"/>
          <w:szCs w:val="21"/>
        </w:rPr>
        <w:t>用户是审批人（直属单位保险业务员或集团保险负责人）且需求是暂存状态或审批完成或招标完成状态，点击查看按钮进入需求查看页面。</w:t>
      </w:r>
    </w:p>
    <w:p>
      <w:pPr>
        <w:pStyle w:val="4"/>
        <w:numPr>
          <w:ilvl w:val="2"/>
          <w:numId w:val="1"/>
        </w:numPr>
        <w:snapToGrid w:val="0"/>
        <w:ind w:left="1560" w:leftChars="400" w:hanging="720"/>
        <w:rPr>
          <w:rFonts w:ascii="黑体" w:hAnsi="黑体" w:eastAsia="黑体"/>
          <w:sz w:val="21"/>
          <w:szCs w:val="21"/>
        </w:rPr>
      </w:pPr>
      <w:bookmarkStart w:id="27" w:name="_Toc73560974"/>
      <w:r>
        <w:rPr>
          <w:rFonts w:ascii="黑体" w:hAnsi="黑体" w:eastAsia="黑体"/>
          <w:sz w:val="21"/>
          <w:szCs w:val="21"/>
        </w:rPr>
        <w:t>界面</w:t>
      </w:r>
      <w:bookmarkEnd w:id="27"/>
    </w:p>
    <w:p>
      <w:pPr>
        <w:numPr>
          <w:ilvl w:val="0"/>
          <w:numId w:val="4"/>
        </w:numPr>
        <w:snapToGrid w:val="0"/>
        <w:spacing w:before="312" w:beforeLines="100"/>
        <w:ind w:left="336" w:hanging="336" w:hangingChars="160"/>
        <w:jc w:val="left"/>
        <w:rPr>
          <w:rFonts w:asciiTheme="minorEastAsia" w:hAnsiTheme="minorEastAsia"/>
          <w:color w:val="000000"/>
          <w:szCs w:val="21"/>
        </w:rPr>
      </w:pPr>
      <w:r>
        <w:rPr>
          <w:rFonts w:asciiTheme="minorEastAsia" w:hAnsiTheme="minorEastAsia"/>
          <w:color w:val="000000"/>
          <w:szCs w:val="21"/>
        </w:rPr>
        <w:t>需求列表</w:t>
      </w:r>
    </w:p>
    <w:p>
      <w:pPr>
        <w:ind w:firstLine="336"/>
      </w:pPr>
      <w:r>
        <w:rPr>
          <w:rFonts w:hint="eastAsia"/>
        </w:rPr>
        <w:t>展示保险需求相关信息，包括需求编号、需求名称、发起公司、发起人、发起时间、预估总保费、流程审批状态、最后处理人等信息。</w:t>
      </w:r>
    </w:p>
    <w:p>
      <w:pPr>
        <w:ind w:firstLine="420"/>
      </w:pPr>
      <w:r>
        <w:rPr>
          <w:rFonts w:hint="eastAsia"/>
        </w:rPr>
        <w:t>可根据直属单位、项目部、发起人、状态、需求编号、发起时间等条件进行查询，其中直属单位与项目部根据登录机构层级自动带入，直属公司这里选择了相应公司以后，项目组只能选择选中直属单位的子公司，然后直属单位没有选择的时候，项目组没有选项或者置为不可用。</w:t>
      </w:r>
    </w:p>
    <w:p>
      <w:pPr>
        <w:ind w:firstLine="420"/>
      </w:pPr>
      <w:r>
        <w:rPr>
          <w:rFonts w:hint="eastAsia"/>
        </w:rPr>
        <w:t>操作栏按钮展示的规则：如果用户是当前处理人展示为处理，否则显示为查看。</w:t>
      </w:r>
    </w:p>
    <w:p>
      <w:pPr>
        <w:snapToGrid w:val="0"/>
        <w:jc w:val="left"/>
        <w:rPr>
          <w:rFonts w:ascii="微软雅黑" w:hAnsi="微软雅黑" w:eastAsia="微软雅黑"/>
          <w:color w:val="000000"/>
          <w:szCs w:val="21"/>
        </w:rPr>
      </w:pPr>
      <w:r>
        <w:rPr>
          <w:rFonts w:ascii="微软雅黑" w:hAnsi="微软雅黑" w:eastAsia="微软雅黑"/>
          <w:color w:val="000000"/>
          <w:szCs w:val="21"/>
        </w:rPr>
        <w:drawing>
          <wp:inline distT="0" distB="0" distL="0" distR="0">
            <wp:extent cx="5448300" cy="27139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6"/>
                    <a:srcRect t="697"/>
                    <a:stretch>
                      <a:fillRect/>
                    </a:stretch>
                  </pic:blipFill>
                  <pic:spPr>
                    <a:xfrm>
                      <a:off x="0" y="0"/>
                      <a:ext cx="5448300" cy="2714621"/>
                    </a:xfrm>
                    <a:prstGeom prst="rect">
                      <a:avLst/>
                    </a:prstGeom>
                  </pic:spPr>
                </pic:pic>
              </a:graphicData>
            </a:graphic>
          </wp:inline>
        </w:drawing>
      </w:r>
    </w:p>
    <w:p>
      <w:pPr>
        <w:numPr>
          <w:ilvl w:val="0"/>
          <w:numId w:val="4"/>
        </w:numPr>
        <w:snapToGrid w:val="0"/>
        <w:spacing w:before="312" w:beforeLines="100"/>
        <w:ind w:left="336" w:hanging="336" w:hangingChars="160"/>
        <w:jc w:val="left"/>
        <w:rPr>
          <w:rFonts w:asciiTheme="minorEastAsia" w:hAnsiTheme="minorEastAsia"/>
          <w:color w:val="000000"/>
          <w:szCs w:val="21"/>
        </w:rPr>
      </w:pPr>
      <w:r>
        <w:rPr>
          <w:rFonts w:asciiTheme="minorEastAsia" w:hAnsiTheme="minorEastAsia"/>
          <w:color w:val="000000"/>
          <w:szCs w:val="21"/>
        </w:rPr>
        <w:t>发起保险需求</w:t>
      </w:r>
    </w:p>
    <w:p>
      <w:pPr>
        <w:ind w:firstLine="336"/>
      </w:pPr>
      <w:r>
        <w:rPr>
          <w:rFonts w:hint="eastAsia"/>
        </w:rPr>
        <w:t>其中发起公司和发起人来自用户信息，不可修改，保险需求的发起需录入保险信息、项目相关信息以及附件信息。</w:t>
      </w:r>
    </w:p>
    <w:p>
      <w:r>
        <w:rPr>
          <w:rFonts w:ascii="宋体" w:hAnsi="宋体" w:eastAsia="宋体"/>
          <w:color w:val="000000"/>
          <w:szCs w:val="21"/>
        </w:rPr>
        <w:drawing>
          <wp:inline distT="0" distB="0" distL="0" distR="0">
            <wp:extent cx="5485765" cy="2545080"/>
            <wp:effectExtent l="0" t="0" r="635"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7"/>
                    <a:srcRect b="7493"/>
                    <a:stretch>
                      <a:fillRect/>
                    </a:stretch>
                  </pic:blipFill>
                  <pic:spPr>
                    <a:xfrm>
                      <a:off x="0" y="0"/>
                      <a:ext cx="5486400" cy="2545600"/>
                    </a:xfrm>
                    <a:prstGeom prst="rect">
                      <a:avLst/>
                    </a:prstGeom>
                    <a:ln>
                      <a:noFill/>
                    </a:ln>
                  </pic:spPr>
                </pic:pic>
              </a:graphicData>
            </a:graphic>
          </wp:inline>
        </w:drawing>
      </w:r>
    </w:p>
    <w:p>
      <w:pPr>
        <w:ind w:firstLine="336"/>
      </w:pPr>
      <w:r>
        <w:rPr>
          <w:rFonts w:hint="eastAsia"/>
        </w:rPr>
        <w:t>点击暂存按钮则可从列表页再次进入，填写具体信息；点击提交审批按钮，将校验录入数据时候完整，若通过则流转上级机构的处理人，等待进行下一步的审批处理。</w:t>
      </w:r>
    </w:p>
    <w:p>
      <w:pPr>
        <w:numPr>
          <w:ilvl w:val="1"/>
          <w:numId w:val="4"/>
        </w:numPr>
        <w:snapToGrid w:val="0"/>
        <w:spacing w:before="312" w:beforeLines="100"/>
        <w:jc w:val="left"/>
        <w:rPr>
          <w:rFonts w:asciiTheme="minorEastAsia" w:hAnsiTheme="minorEastAsia"/>
          <w:color w:val="000000"/>
          <w:szCs w:val="21"/>
        </w:rPr>
      </w:pPr>
      <w:r>
        <w:rPr>
          <w:rFonts w:hint="eastAsia" w:asciiTheme="minorEastAsia" w:hAnsiTheme="minorEastAsia"/>
          <w:color w:val="000000"/>
          <w:szCs w:val="21"/>
        </w:rPr>
        <w:t>新增保险信息弹窗</w:t>
      </w:r>
    </w:p>
    <w:p>
      <w:pPr>
        <w:ind w:firstLine="420"/>
      </w:pPr>
      <w:r>
        <w:rPr>
          <w:rFonts w:hint="eastAsia"/>
        </w:rPr>
        <w:t>填写信息并点击确定按钮以后会生成新的需求险种条目展示在列表中，也可以点击删除按钮删除创建的条目。</w:t>
      </w:r>
    </w:p>
    <w:p>
      <w:pPr>
        <w:snapToGrid w:val="0"/>
        <w:jc w:val="left"/>
        <w:rPr>
          <w:rFonts w:ascii="宋体" w:hAnsi="宋体" w:eastAsia="宋体"/>
          <w:color w:val="000000"/>
          <w:szCs w:val="21"/>
        </w:rPr>
      </w:pPr>
      <w:r>
        <w:drawing>
          <wp:inline distT="0" distB="0" distL="0" distR="0">
            <wp:extent cx="5486400" cy="2603500"/>
            <wp:effectExtent l="0" t="0" r="0" b="635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28"/>
                    <a:stretch>
                      <a:fillRect/>
                    </a:stretch>
                  </pic:blipFill>
                  <pic:spPr>
                    <a:xfrm>
                      <a:off x="0" y="0"/>
                      <a:ext cx="5486400" cy="2603500"/>
                    </a:xfrm>
                    <a:prstGeom prst="rect">
                      <a:avLst/>
                    </a:prstGeom>
                  </pic:spPr>
                </pic:pic>
              </a:graphicData>
            </a:graphic>
          </wp:inline>
        </w:drawing>
      </w:r>
    </w:p>
    <w:p>
      <w:pPr>
        <w:numPr>
          <w:ilvl w:val="1"/>
          <w:numId w:val="4"/>
        </w:numPr>
        <w:snapToGrid w:val="0"/>
        <w:spacing w:before="312" w:beforeLines="100"/>
        <w:jc w:val="left"/>
        <w:rPr>
          <w:rFonts w:asciiTheme="minorEastAsia" w:hAnsiTheme="minorEastAsia"/>
          <w:color w:val="000000"/>
          <w:szCs w:val="21"/>
        </w:rPr>
      </w:pPr>
      <w:r>
        <w:rPr>
          <w:rFonts w:hint="eastAsia" w:asciiTheme="minorEastAsia" w:hAnsiTheme="minorEastAsia"/>
          <w:color w:val="000000"/>
          <w:szCs w:val="21"/>
        </w:rPr>
        <w:t>上传附件弹窗</w:t>
      </w:r>
    </w:p>
    <w:p>
      <w:pPr>
        <w:ind w:firstLine="420"/>
        <w:jc w:val="left"/>
      </w:pPr>
      <w:r>
        <w:rPr>
          <w:rFonts w:hint="eastAsia"/>
        </w:rPr>
        <w:t>上传文件填写信息并点击确定按钮以后会生成新的上传附件并展示在列表中，也可以点击下载查看已上传的文件，点击删除按钮删除上传的附件。</w:t>
      </w:r>
    </w:p>
    <w:p>
      <w:pPr>
        <w:jc w:val="left"/>
      </w:pPr>
      <w:r>
        <w:rPr>
          <w:rFonts w:hint="eastAsia"/>
        </w:rPr>
        <w:t>注：文件类型.doc,.xlsx,.pdf,.docx,.png,.jpg,.jpeg,.zip,.rar。</w:t>
      </w:r>
    </w:p>
    <w:p>
      <w:r>
        <w:drawing>
          <wp:inline distT="0" distB="0" distL="0" distR="0">
            <wp:extent cx="5480685" cy="2464435"/>
            <wp:effectExtent l="0" t="0" r="571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29"/>
                    <a:srcRect l="2610" t="1717" r="4158" b="1838"/>
                    <a:stretch>
                      <a:fillRect/>
                    </a:stretch>
                  </pic:blipFill>
                  <pic:spPr>
                    <a:xfrm>
                      <a:off x="0" y="0"/>
                      <a:ext cx="5501058" cy="2473886"/>
                    </a:xfrm>
                    <a:prstGeom prst="rect">
                      <a:avLst/>
                    </a:prstGeom>
                    <a:ln>
                      <a:noFill/>
                    </a:ln>
                  </pic:spPr>
                </pic:pic>
              </a:graphicData>
            </a:graphic>
          </wp:inline>
        </w:drawing>
      </w:r>
    </w:p>
    <w:p>
      <w:pPr>
        <w:numPr>
          <w:ilvl w:val="0"/>
          <w:numId w:val="4"/>
        </w:numPr>
        <w:snapToGrid w:val="0"/>
        <w:spacing w:before="312" w:beforeLines="100"/>
        <w:ind w:left="336" w:hanging="336" w:hangingChars="160"/>
        <w:jc w:val="left"/>
        <w:rPr>
          <w:rFonts w:asciiTheme="minorEastAsia" w:hAnsiTheme="minorEastAsia"/>
          <w:color w:val="000000"/>
          <w:szCs w:val="21"/>
        </w:rPr>
      </w:pPr>
      <w:r>
        <w:rPr>
          <w:rFonts w:asciiTheme="minorEastAsia" w:hAnsiTheme="minorEastAsia"/>
          <w:color w:val="000000"/>
          <w:szCs w:val="21"/>
        </w:rPr>
        <w:t>查看详情</w:t>
      </w:r>
    </w:p>
    <w:p>
      <w:pPr>
        <w:ind w:firstLine="336"/>
        <w:rPr>
          <w:color w:val="000000" w:themeColor="text1"/>
          <w14:textFill>
            <w14:solidFill>
              <w14:schemeClr w14:val="tx1"/>
            </w14:solidFill>
          </w14:textFill>
        </w:rPr>
      </w:pPr>
      <w:r>
        <w:rPr>
          <w:rFonts w:hint="eastAsia"/>
          <w:color w:val="000000" w:themeColor="text1"/>
          <w14:textFill>
            <w14:solidFill>
              <w14:schemeClr w14:val="tx1"/>
            </w14:solidFill>
          </w14:textFill>
        </w:rPr>
        <w:t>其中的输入框不可修改，授权文件可以下载、删除和提交，如上传文件错误可以删除重新上传。查看页面下面会加入审核信息列表，展示该需求的审核历史。</w:t>
      </w:r>
    </w:p>
    <w:p>
      <w:pPr>
        <w:ind w:firstLine="336"/>
        <w:rPr>
          <w:color w:val="000000" w:themeColor="text1"/>
          <w14:textFill>
            <w14:solidFill>
              <w14:schemeClr w14:val="tx1"/>
            </w14:solidFill>
          </w14:textFill>
        </w:rPr>
      </w:pPr>
      <w:r>
        <w:rPr>
          <w:rFonts w:hint="eastAsia"/>
          <w:color w:val="000000" w:themeColor="text1"/>
          <w14:textFill>
            <w14:solidFill>
              <w14:schemeClr w14:val="tx1"/>
            </w14:solidFill>
          </w14:textFill>
        </w:rPr>
        <w:t>如果当前用户是审批人且当前用户是处理人会展示驳回和通过按钮，点击通过按钮会将将经办意见默认置为“已通过”并将需求流转到下一个</w:t>
      </w:r>
      <w:r>
        <w:rPr>
          <w:rFonts w:hint="eastAsia"/>
          <w:color w:val="000000" w:themeColor="text1"/>
          <w:lang w:eastAsia="zh-Hans"/>
          <w14:textFill>
            <w14:solidFill>
              <w14:schemeClr w14:val="tx1"/>
            </w14:solidFill>
          </w14:textFill>
        </w:rPr>
        <w:t>处理</w:t>
      </w:r>
      <w:r>
        <w:rPr>
          <w:rFonts w:hint="eastAsia"/>
          <w:color w:val="000000" w:themeColor="text1"/>
          <w14:textFill>
            <w14:solidFill>
              <w14:schemeClr w14:val="tx1"/>
            </w14:solidFill>
          </w14:textFill>
        </w:rPr>
        <w:t>人；</w:t>
      </w:r>
    </w:p>
    <w:p>
      <w:pPr>
        <w:rPr>
          <w:color w:val="000000" w:themeColor="text1"/>
          <w:kern w:val="0"/>
          <w14:textFill>
            <w14:solidFill>
              <w14:schemeClr w14:val="tx1"/>
            </w14:solidFill>
          </w14:textFill>
        </w:rPr>
      </w:pPr>
      <w:r>
        <w:rPr>
          <w:rFonts w:hint="eastAsia"/>
          <w:color w:val="000000" w:themeColor="text1"/>
          <w14:textFill>
            <w14:solidFill>
              <w14:schemeClr w14:val="tx1"/>
            </w14:solidFill>
          </w14:textFill>
        </w:rPr>
        <w:t>注：在审批前增加显示经办人-按照下一个层级的第一个用户来界定，根据员工管理的顺序确定。</w:t>
      </w:r>
    </w:p>
    <w:p>
      <w:pPr>
        <w:snapToGrid w:val="0"/>
        <w:jc w:val="left"/>
        <w:rPr>
          <w:rFonts w:ascii="宋体" w:hAnsi="宋体" w:eastAsia="宋体"/>
          <w:color w:val="000000"/>
          <w:szCs w:val="21"/>
        </w:rPr>
      </w:pPr>
      <w:r>
        <w:rPr>
          <w:rFonts w:ascii="宋体" w:hAnsi="宋体" w:eastAsia="宋体"/>
          <w:color w:val="000000"/>
          <w:szCs w:val="21"/>
        </w:rPr>
        <w:drawing>
          <wp:inline distT="0" distB="0" distL="0" distR="0">
            <wp:extent cx="5486400" cy="27387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0"/>
                    <a:stretch>
                      <a:fillRect/>
                    </a:stretch>
                  </pic:blipFill>
                  <pic:spPr>
                    <a:xfrm>
                      <a:off x="0" y="0"/>
                      <a:ext cx="5486400" cy="2738913"/>
                    </a:xfrm>
                    <a:prstGeom prst="rect">
                      <a:avLst/>
                    </a:prstGeom>
                  </pic:spPr>
                </pic:pic>
              </a:graphicData>
            </a:graphic>
          </wp:inline>
        </w:drawing>
      </w:r>
    </w:p>
    <w:p>
      <w:pPr>
        <w:ind w:firstLine="336"/>
        <w:rPr>
          <w:color w:val="000000" w:themeColor="text1"/>
          <w14:textFill>
            <w14:solidFill>
              <w14:schemeClr w14:val="tx1"/>
            </w14:solidFill>
          </w14:textFill>
        </w:rPr>
      </w:pPr>
      <w:r>
        <w:rPr>
          <w:rFonts w:hint="eastAsia"/>
          <w:color w:val="000000" w:themeColor="text1"/>
          <w14:textFill>
            <w14:solidFill>
              <w14:schemeClr w14:val="tx1"/>
            </w14:solidFill>
          </w14:textFill>
        </w:rPr>
        <w:t>如果用户是集团保险负责人则将需求置为审核完成并展示授权保险公司按钮，点击驳回按钮会出现审核驳回弹窗，其中</w:t>
      </w:r>
      <w:r>
        <w:rPr>
          <w:rFonts w:hint="eastAsia"/>
          <w:color w:val="000000" w:themeColor="text1"/>
          <w:lang w:eastAsia="zh-Hans"/>
          <w14:textFill>
            <w14:solidFill>
              <w14:schemeClr w14:val="tx1"/>
            </w14:solidFill>
          </w14:textFill>
        </w:rPr>
        <w:t>驳回原因必填，</w:t>
      </w:r>
      <w:r>
        <w:rPr>
          <w:rFonts w:hint="eastAsia"/>
          <w:color w:val="000000" w:themeColor="text1"/>
          <w14:textFill>
            <w14:solidFill>
              <w14:schemeClr w14:val="tx1"/>
            </w14:solidFill>
          </w14:textFill>
        </w:rPr>
        <w:t>填写的驳回原因会展示在审核信息表格中的经办意见栏中，如果审核通过经办意见默认展示“已通过”。</w:t>
      </w:r>
    </w:p>
    <w:p>
      <w:pPr>
        <w:numPr>
          <w:ilvl w:val="1"/>
          <w:numId w:val="4"/>
        </w:numPr>
        <w:snapToGrid w:val="0"/>
        <w:spacing w:before="312" w:beforeLines="100"/>
        <w:jc w:val="left"/>
        <w:rPr>
          <w:rFonts w:asciiTheme="minorEastAsia" w:hAnsiTheme="minorEastAsia"/>
          <w:color w:val="000000"/>
          <w:szCs w:val="21"/>
        </w:rPr>
      </w:pPr>
      <w:r>
        <w:rPr>
          <w:rFonts w:hint="eastAsia" w:asciiTheme="minorEastAsia" w:hAnsiTheme="minorEastAsia"/>
          <w:color w:val="000000"/>
          <w:szCs w:val="21"/>
        </w:rPr>
        <w:t>审核驳回弹窗</w:t>
      </w:r>
    </w:p>
    <w:p>
      <w:pPr>
        <w:snapToGrid w:val="0"/>
        <w:jc w:val="left"/>
        <w:rPr>
          <w:rFonts w:ascii="宋体" w:hAnsi="宋体" w:eastAsia="宋体"/>
          <w:color w:val="000000"/>
          <w:szCs w:val="21"/>
        </w:rPr>
      </w:pPr>
      <w:r>
        <w:drawing>
          <wp:inline distT="0" distB="0" distL="0" distR="0">
            <wp:extent cx="5486400" cy="1577340"/>
            <wp:effectExtent l="0" t="0" r="0" b="381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31"/>
                    <a:stretch>
                      <a:fillRect/>
                    </a:stretch>
                  </pic:blipFill>
                  <pic:spPr>
                    <a:xfrm>
                      <a:off x="0" y="0"/>
                      <a:ext cx="5486400" cy="1577340"/>
                    </a:xfrm>
                    <a:prstGeom prst="rect">
                      <a:avLst/>
                    </a:prstGeom>
                  </pic:spPr>
                </pic:pic>
              </a:graphicData>
            </a:graphic>
          </wp:inline>
        </w:drawing>
      </w:r>
    </w:p>
    <w:p>
      <w:pPr>
        <w:pStyle w:val="4"/>
        <w:numPr>
          <w:ilvl w:val="2"/>
          <w:numId w:val="1"/>
        </w:numPr>
        <w:snapToGrid w:val="0"/>
        <w:ind w:left="1560" w:leftChars="400" w:hanging="720"/>
        <w:rPr>
          <w:rFonts w:ascii="黑体" w:hAnsi="黑体" w:eastAsia="黑体"/>
          <w:sz w:val="21"/>
          <w:szCs w:val="21"/>
        </w:rPr>
      </w:pPr>
      <w:bookmarkStart w:id="28" w:name="_Toc73560975"/>
      <w:r>
        <w:rPr>
          <w:rFonts w:ascii="黑体" w:hAnsi="黑体" w:eastAsia="黑体"/>
          <w:sz w:val="21"/>
          <w:szCs w:val="21"/>
        </w:rPr>
        <w:t>流程图</w:t>
      </w:r>
      <w:bookmarkEnd w:id="28"/>
    </w:p>
    <w:p>
      <w:pPr>
        <w:pStyle w:val="16"/>
        <w:numPr>
          <w:ilvl w:val="0"/>
          <w:numId w:val="11"/>
        </w:numPr>
        <w:ind w:firstLineChars="0"/>
      </w:pPr>
      <w:r>
        <w:rPr>
          <w:rFonts w:hint="eastAsia"/>
        </w:rPr>
        <w:t>保险具体需求公司，根据自己的实际情况，发起保险预算申请，由上级单位进行审批，系统承担一部分企业内部OA职责，记录保险需求审批情况。</w:t>
      </w:r>
    </w:p>
    <w:p>
      <w:pPr>
        <w:pStyle w:val="16"/>
        <w:numPr>
          <w:ilvl w:val="0"/>
          <w:numId w:val="11"/>
        </w:numPr>
        <w:ind w:firstLineChars="0"/>
        <w:rPr>
          <w:rFonts w:hint="eastAsia"/>
        </w:rPr>
      </w:pPr>
      <w:r>
        <w:rPr>
          <w:rFonts w:hint="eastAsia"/>
        </w:rPr>
        <w:t>系统记录集团保险招标的条件、参与招标的供应商及应标标书、最终招标结果，标书电子版可以随时下载，方便未来的某个时点查看招投标记录。</w:t>
      </w:r>
    </w:p>
    <w:p>
      <w:pPr>
        <w:snapToGrid w:val="0"/>
        <w:jc w:val="left"/>
        <w:rPr>
          <w:rFonts w:ascii="微软雅黑" w:hAnsi="微软雅黑" w:eastAsia="微软雅黑"/>
          <w:color w:val="000000"/>
          <w:szCs w:val="21"/>
        </w:rPr>
      </w:pPr>
      <w:r>
        <w:rPr>
          <w:rFonts w:ascii="微软雅黑" w:hAnsi="微软雅黑" w:eastAsia="微软雅黑"/>
          <w:color w:val="000000"/>
          <w:szCs w:val="21"/>
        </w:rPr>
        <w:drawing>
          <wp:inline distT="0" distB="0" distL="0" distR="0">
            <wp:extent cx="5486400" cy="490601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2"/>
                    <a:srcRect l="2273" t="2148" r="2098" b="2344"/>
                    <a:stretch>
                      <a:fillRect/>
                    </a:stretch>
                  </pic:blipFill>
                  <pic:spPr>
                    <a:xfrm>
                      <a:off x="0" y="0"/>
                      <a:ext cx="5486400" cy="4906640"/>
                    </a:xfrm>
                    <a:prstGeom prst="rect">
                      <a:avLst/>
                    </a:prstGeom>
                  </pic:spPr>
                </pic:pic>
              </a:graphicData>
            </a:graphic>
          </wp:inline>
        </w:drawing>
      </w:r>
    </w:p>
    <w:p>
      <w:pPr>
        <w:ind w:firstLine="420"/>
      </w:pPr>
      <w:r>
        <w:rPr>
          <w:rFonts w:hint="eastAsia"/>
        </w:rPr>
        <w:t>保险需求由直属单位或项目部发起，录入完整信息后流转上级单位进行审批，流转到集团公司进行审批时，需将相关保险信息授权给保司。全部的保险信息授权完成后该保险需求的审批流程即结束，状态转为招标完成。</w:t>
      </w:r>
    </w:p>
    <w:p>
      <w:pPr>
        <w:ind w:firstLine="420"/>
      </w:pPr>
      <w:r>
        <w:rPr>
          <w:rFonts w:hint="eastAsia"/>
        </w:rPr>
        <w:t>后续将由相关的保险公司的业务员录入此保险需求的保单信息。</w:t>
      </w:r>
    </w:p>
    <w:p>
      <w:pPr>
        <w:pStyle w:val="3"/>
        <w:numPr>
          <w:ilvl w:val="1"/>
          <w:numId w:val="1"/>
        </w:numPr>
        <w:snapToGrid w:val="0"/>
        <w:ind w:left="996" w:leftChars="200" w:hanging="576"/>
        <w:rPr>
          <w:rFonts w:ascii="黑体" w:hAnsi="黑体" w:eastAsia="黑体"/>
          <w:sz w:val="28"/>
          <w:szCs w:val="28"/>
        </w:rPr>
      </w:pPr>
      <w:bookmarkStart w:id="29" w:name="_Toc73560976"/>
      <w:r>
        <w:rPr>
          <w:rFonts w:ascii="黑体" w:hAnsi="黑体" w:eastAsia="黑体"/>
          <w:sz w:val="28"/>
          <w:szCs w:val="28"/>
        </w:rPr>
        <w:t>保单管理设计</w:t>
      </w:r>
      <w:bookmarkEnd w:id="29"/>
    </w:p>
    <w:p>
      <w:pPr>
        <w:pStyle w:val="4"/>
        <w:numPr>
          <w:ilvl w:val="2"/>
          <w:numId w:val="1"/>
        </w:numPr>
        <w:snapToGrid w:val="0"/>
        <w:ind w:left="1560" w:leftChars="400" w:hanging="720"/>
        <w:rPr>
          <w:rFonts w:ascii="黑体" w:hAnsi="黑体" w:eastAsia="黑体"/>
          <w:sz w:val="21"/>
          <w:szCs w:val="21"/>
        </w:rPr>
      </w:pPr>
      <w:bookmarkStart w:id="30" w:name="_Toc73560977"/>
      <w:r>
        <w:rPr>
          <w:rFonts w:ascii="黑体" w:hAnsi="黑体" w:eastAsia="黑体"/>
          <w:sz w:val="21"/>
          <w:szCs w:val="21"/>
        </w:rPr>
        <w:t>功能概述</w:t>
      </w:r>
      <w:bookmarkEnd w:id="30"/>
    </w:p>
    <w:p>
      <w:pPr>
        <w:ind w:firstLine="420"/>
        <w:jc w:val="left"/>
        <w:rPr>
          <w:rFonts w:ascii="宋体" w:hAnsi="宋体" w:eastAsia="宋体"/>
          <w:color w:val="000000"/>
          <w:szCs w:val="21"/>
        </w:rPr>
      </w:pPr>
      <w:r>
        <w:rPr>
          <w:rFonts w:ascii="宋体" w:hAnsi="宋体" w:eastAsia="宋体"/>
          <w:color w:val="000000"/>
          <w:szCs w:val="21"/>
        </w:rPr>
        <w:t>保单管理支持企业查看保单，发起保单理赔报案</w:t>
      </w:r>
      <w:r>
        <w:rPr>
          <w:rFonts w:hint="eastAsia" w:ascii="宋体" w:hAnsi="宋体" w:eastAsia="宋体"/>
          <w:color w:val="000000"/>
          <w:szCs w:val="21"/>
        </w:rPr>
        <w:t>并可保单、理赔及续保的数据批量导出为Excel文件</w:t>
      </w:r>
      <w:r>
        <w:rPr>
          <w:rFonts w:ascii="宋体" w:hAnsi="宋体" w:eastAsia="宋体"/>
          <w:color w:val="000000"/>
          <w:szCs w:val="21"/>
        </w:rPr>
        <w:t>。保单管理中心包括以下子菜单：保单中心、理赔管理和续保管理。</w:t>
      </w:r>
    </w:p>
    <w:p>
      <w:pPr>
        <w:pStyle w:val="16"/>
        <w:numPr>
          <w:ilvl w:val="0"/>
          <w:numId w:val="12"/>
        </w:numPr>
        <w:ind w:firstLineChars="0"/>
        <w:jc w:val="left"/>
        <w:rPr>
          <w:rFonts w:ascii="宋体" w:hAnsi="宋体" w:eastAsia="宋体"/>
          <w:color w:val="000000"/>
          <w:szCs w:val="21"/>
        </w:rPr>
      </w:pPr>
      <w:r>
        <w:rPr>
          <w:rFonts w:hint="eastAsia" w:ascii="宋体" w:hAnsi="宋体" w:eastAsia="宋体"/>
          <w:color w:val="000000"/>
          <w:szCs w:val="21"/>
        </w:rPr>
        <w:t>报单中心</w:t>
      </w:r>
    </w:p>
    <w:p>
      <w:pPr>
        <w:pStyle w:val="16"/>
        <w:ind w:left="360" w:firstLine="60" w:firstLineChars="0"/>
        <w:jc w:val="left"/>
        <w:rPr>
          <w:rFonts w:ascii="宋体" w:hAnsi="宋体" w:eastAsia="宋体"/>
          <w:color w:val="000000"/>
          <w:szCs w:val="21"/>
        </w:rPr>
      </w:pPr>
      <w:r>
        <w:rPr>
          <w:rFonts w:ascii="宋体" w:hAnsi="宋体" w:eastAsia="宋体"/>
          <w:color w:val="000000" w:themeColor="text1"/>
          <w:szCs w:val="21"/>
          <w14:textFill>
            <w14:solidFill>
              <w14:schemeClr w14:val="tx1"/>
            </w14:solidFill>
          </w14:textFill>
        </w:rPr>
        <w:t>支持根据当前登录账户查看保单，</w:t>
      </w:r>
      <w:r>
        <w:rPr>
          <w:rFonts w:ascii="宋体" w:hAnsi="宋体" w:eastAsia="宋体"/>
          <w:color w:val="000000"/>
          <w:szCs w:val="21"/>
        </w:rPr>
        <w:t>并且能根据保单状态发起保单理赔。</w:t>
      </w:r>
    </w:p>
    <w:p>
      <w:pPr>
        <w:pStyle w:val="16"/>
        <w:numPr>
          <w:ilvl w:val="0"/>
          <w:numId w:val="12"/>
        </w:numPr>
        <w:ind w:firstLineChars="0"/>
        <w:jc w:val="left"/>
        <w:rPr>
          <w:rFonts w:ascii="宋体" w:hAnsi="宋体" w:eastAsia="宋体"/>
          <w:color w:val="000000"/>
          <w:szCs w:val="21"/>
        </w:rPr>
      </w:pPr>
      <w:r>
        <w:rPr>
          <w:rFonts w:hint="eastAsia" w:ascii="宋体" w:hAnsi="宋体" w:eastAsia="宋体"/>
          <w:color w:val="000000"/>
          <w:szCs w:val="21"/>
        </w:rPr>
        <w:t>理赔管理</w:t>
      </w:r>
    </w:p>
    <w:p>
      <w:pPr>
        <w:ind w:firstLine="420"/>
        <w:jc w:val="left"/>
        <w:rPr>
          <w:rFonts w:hint="eastAsia" w:ascii="宋体" w:hAnsi="宋体" w:eastAsia="宋体"/>
          <w:color w:val="000000"/>
          <w:szCs w:val="21"/>
        </w:rPr>
      </w:pPr>
      <w:r>
        <w:rPr>
          <w:rFonts w:ascii="宋体" w:hAnsi="宋体" w:eastAsia="宋体"/>
          <w:color w:val="000000"/>
          <w:szCs w:val="21"/>
        </w:rPr>
        <w:t>发起理赔的保单会展示在理赔列表内，其中企业仅支持发起理赔，录入相关信息并上传附件，理赔后续流程支持保险公司录入相关信息并更新理赔状态。</w:t>
      </w:r>
    </w:p>
    <w:p>
      <w:pPr>
        <w:pStyle w:val="16"/>
        <w:numPr>
          <w:ilvl w:val="0"/>
          <w:numId w:val="12"/>
        </w:numPr>
        <w:ind w:firstLineChars="0"/>
        <w:jc w:val="left"/>
        <w:rPr>
          <w:rFonts w:hint="eastAsia" w:ascii="宋体" w:hAnsi="宋体" w:eastAsia="宋体"/>
          <w:color w:val="000000"/>
          <w:szCs w:val="21"/>
        </w:rPr>
      </w:pPr>
      <w:r>
        <w:rPr>
          <w:rFonts w:hint="eastAsia" w:ascii="宋体" w:hAnsi="宋体" w:eastAsia="宋体"/>
          <w:color w:val="000000"/>
          <w:szCs w:val="21"/>
        </w:rPr>
        <w:t>续保管理</w:t>
      </w:r>
    </w:p>
    <w:p>
      <w:pPr>
        <w:ind w:firstLine="420" w:firstLineChars="200"/>
        <w:jc w:val="left"/>
        <w:rPr>
          <w:rFonts w:ascii="宋体" w:hAnsi="宋体" w:eastAsia="宋体"/>
          <w:color w:val="000000"/>
          <w:szCs w:val="21"/>
        </w:rPr>
      </w:pPr>
      <w:r>
        <w:rPr>
          <w:rFonts w:ascii="宋体" w:hAnsi="宋体" w:eastAsia="宋体"/>
          <w:color w:val="000000"/>
          <w:szCs w:val="21"/>
        </w:rPr>
        <w:t>距离到期时间在30天内的保单会自动展示在续保列表内，集团公司与保险公司均能查看该条需要续保的保单，其中集团公司可以通过站内消息的形式催促保险公司为其续保。</w:t>
      </w:r>
    </w:p>
    <w:p>
      <w:pPr>
        <w:pStyle w:val="4"/>
        <w:numPr>
          <w:ilvl w:val="2"/>
          <w:numId w:val="1"/>
        </w:numPr>
        <w:snapToGrid w:val="0"/>
        <w:ind w:left="1560" w:leftChars="400" w:hanging="720"/>
        <w:rPr>
          <w:rFonts w:ascii="黑体" w:hAnsi="黑体" w:eastAsia="黑体"/>
          <w:sz w:val="21"/>
          <w:szCs w:val="21"/>
        </w:rPr>
      </w:pPr>
      <w:bookmarkStart w:id="31" w:name="_Toc73560978"/>
      <w:r>
        <w:rPr>
          <w:rFonts w:ascii="黑体" w:hAnsi="黑体" w:eastAsia="黑体"/>
          <w:sz w:val="21"/>
          <w:szCs w:val="21"/>
        </w:rPr>
        <w:t>界面</w:t>
      </w:r>
      <w:bookmarkEnd w:id="31"/>
    </w:p>
    <w:p>
      <w:pPr>
        <w:numPr>
          <w:ilvl w:val="0"/>
          <w:numId w:val="4"/>
        </w:numPr>
        <w:snapToGrid w:val="0"/>
        <w:spacing w:before="312" w:beforeLines="100"/>
        <w:ind w:left="336" w:hanging="336" w:hangingChars="160"/>
        <w:jc w:val="left"/>
        <w:rPr>
          <w:rFonts w:ascii="宋体" w:hAnsi="宋体" w:eastAsia="宋体"/>
          <w:color w:val="000000"/>
          <w:szCs w:val="21"/>
        </w:rPr>
      </w:pPr>
      <w:r>
        <w:rPr>
          <w:rFonts w:asciiTheme="minorEastAsia" w:hAnsiTheme="minorEastAsia"/>
          <w:color w:val="000000"/>
          <w:szCs w:val="21"/>
        </w:rPr>
        <w:t>保单中心-列表页</w:t>
      </w:r>
    </w:p>
    <w:p>
      <w:pPr>
        <w:snapToGrid w:val="0"/>
        <w:jc w:val="left"/>
        <w:rPr>
          <w:rFonts w:ascii="宋体" w:hAnsi="宋体" w:eastAsia="宋体"/>
          <w:color w:val="000000"/>
          <w:szCs w:val="21"/>
        </w:rPr>
      </w:pPr>
      <w:r>
        <w:rPr>
          <w:rFonts w:ascii="宋体" w:hAnsi="宋体" w:eastAsia="宋体"/>
          <w:color w:val="000000"/>
          <w:szCs w:val="21"/>
        </w:rPr>
        <w:drawing>
          <wp:inline distT="0" distB="0" distL="0" distR="0">
            <wp:extent cx="5448300" cy="27336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3"/>
                    <a:srcRect t="347"/>
                    <a:stretch>
                      <a:fillRect/>
                    </a:stretch>
                  </pic:blipFill>
                  <pic:spPr>
                    <a:xfrm>
                      <a:off x="0" y="0"/>
                      <a:ext cx="5448300" cy="2733681"/>
                    </a:xfrm>
                    <a:prstGeom prst="rect">
                      <a:avLst/>
                    </a:prstGeom>
                  </pic:spPr>
                </pic:pic>
              </a:graphicData>
            </a:graphic>
          </wp:inline>
        </w:drawing>
      </w:r>
    </w:p>
    <w:p>
      <w:pPr>
        <w:ind w:firstLine="360"/>
        <w:rPr>
          <w:rFonts w:hint="eastAsia"/>
          <w:lang w:eastAsia="zh-Hans"/>
        </w:rPr>
      </w:pPr>
      <w:r>
        <w:rPr>
          <w:rFonts w:hint="eastAsia"/>
        </w:rPr>
        <w:t>根据投保人、保单号、保险公司以及保险日期这四个维度可以查询并管理保单。</w:t>
      </w:r>
      <w:r>
        <w:rPr>
          <w:rFonts w:hint="eastAsia"/>
          <w:lang w:eastAsia="zh-Hans"/>
        </w:rPr>
        <w:t>其中保险日期默认查询最近半年内发起的保单，保险日期输入的起期和止期用于搜索保险起期在这期间的保单。</w:t>
      </w:r>
    </w:p>
    <w:p>
      <w:pPr>
        <w:ind w:firstLine="360"/>
        <w:rPr>
          <w:rFonts w:hint="eastAsia"/>
          <w:lang w:eastAsia="zh-Hans"/>
        </w:rPr>
      </w:pPr>
      <w:r>
        <w:rPr>
          <w:rFonts w:hint="eastAsia"/>
          <w:lang w:eastAsia="zh-Hans"/>
        </w:rPr>
        <w:t>列表页主要展示保单的基本信息，如保单号、项目组织、保险公司、投被保人、险种名称、保险起止期、保费以及状态。其中保单状态分为以下两种：</w:t>
      </w:r>
    </w:p>
    <w:p>
      <w:pPr>
        <w:pStyle w:val="16"/>
        <w:numPr>
          <w:ilvl w:val="0"/>
          <w:numId w:val="13"/>
        </w:numPr>
        <w:ind w:firstLineChars="0"/>
        <w:rPr>
          <w:kern w:val="0"/>
        </w:rPr>
      </w:pPr>
      <w:r>
        <w:rPr>
          <w:rFonts w:hint="eastAsia"/>
        </w:rPr>
        <w:t>有效：比对保险有效起止日期，如在当前自然时间内即为有效。</w:t>
      </w:r>
    </w:p>
    <w:p>
      <w:pPr>
        <w:pStyle w:val="16"/>
        <w:numPr>
          <w:ilvl w:val="0"/>
          <w:numId w:val="13"/>
        </w:numPr>
        <w:ind w:firstLineChars="0"/>
        <w:rPr>
          <w:kern w:val="0"/>
        </w:rPr>
      </w:pPr>
      <w:r>
        <w:rPr>
          <w:rFonts w:hint="eastAsia"/>
        </w:rPr>
        <w:t>过期：比对保险有效起止日期，如不在当前自然时间内即为过期。</w:t>
      </w:r>
    </w:p>
    <w:p>
      <w:pPr>
        <w:ind w:firstLine="360"/>
        <w:rPr>
          <w:rFonts w:eastAsia="宋体"/>
          <w:color w:val="000000"/>
          <w:szCs w:val="21"/>
        </w:rPr>
      </w:pPr>
      <w:r>
        <w:rPr>
          <w:rFonts w:hint="eastAsia" w:eastAsia="宋体"/>
          <w:color w:val="000000"/>
          <w:szCs w:val="21"/>
        </w:rPr>
        <w:t>有效保单在操作栏显示“理赔”按钮，点击则前往发起理赔页面录入信息；无效保单的状态栏则为空。点击保单号即进入保单详情页面。</w:t>
      </w:r>
    </w:p>
    <w:p>
      <w:pPr>
        <w:numPr>
          <w:ilvl w:val="0"/>
          <w:numId w:val="4"/>
        </w:numPr>
        <w:snapToGrid w:val="0"/>
        <w:spacing w:before="312" w:beforeLines="100"/>
        <w:ind w:left="336" w:hanging="336" w:hangingChars="160"/>
        <w:jc w:val="left"/>
        <w:rPr>
          <w:rFonts w:asciiTheme="minorEastAsia" w:hAnsiTheme="minorEastAsia"/>
          <w:color w:val="000000"/>
          <w:szCs w:val="21"/>
        </w:rPr>
      </w:pPr>
      <w:r>
        <w:rPr>
          <w:rFonts w:asciiTheme="minorEastAsia" w:hAnsiTheme="minorEastAsia"/>
          <w:color w:val="000000"/>
          <w:szCs w:val="21"/>
        </w:rPr>
        <w:t>保单中心-详情页</w:t>
      </w:r>
    </w:p>
    <w:p>
      <w:pPr>
        <w:snapToGrid w:val="0"/>
        <w:jc w:val="left"/>
        <w:rPr>
          <w:rFonts w:ascii="宋体" w:hAnsi="宋体" w:eastAsia="宋体"/>
          <w:color w:val="000000"/>
          <w:szCs w:val="21"/>
        </w:rPr>
      </w:pPr>
      <w:r>
        <w:rPr>
          <w:rFonts w:ascii="宋体" w:hAnsi="宋体" w:eastAsia="宋体"/>
          <w:color w:val="000000"/>
          <w:szCs w:val="21"/>
        </w:rPr>
        <w:drawing>
          <wp:inline distT="0" distB="0" distL="0" distR="0">
            <wp:extent cx="5486400" cy="27514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4"/>
                    <a:stretch>
                      <a:fillRect/>
                    </a:stretch>
                  </pic:blipFill>
                  <pic:spPr>
                    <a:xfrm>
                      <a:off x="0" y="0"/>
                      <a:ext cx="5486400" cy="2751772"/>
                    </a:xfrm>
                    <a:prstGeom prst="rect">
                      <a:avLst/>
                    </a:prstGeom>
                  </pic:spPr>
                </pic:pic>
              </a:graphicData>
            </a:graphic>
          </wp:inline>
        </w:drawing>
      </w:r>
    </w:p>
    <w:p>
      <w:pPr>
        <w:ind w:firstLine="420"/>
      </w:pPr>
      <w:r>
        <w:rPr>
          <w:rFonts w:hint="eastAsia"/>
        </w:rPr>
        <w:t>详情页面有保单的基本信息、工程险信息、其他信息、附件信息以及理赔信息五个模块。在其他信息部分可录入项目合同金额，在附件信息部分可下载保险公司上传的相关文件，在理赔信息部分可看到该保单的理赔次数、时间、金额、状态等要素，点击“查看详情”即可跳转至理赔详情页面。</w:t>
      </w:r>
    </w:p>
    <w:p>
      <w:pPr>
        <w:ind w:firstLine="420"/>
        <w:rPr>
          <w:rFonts w:hint="eastAsia"/>
        </w:rPr>
      </w:pPr>
      <w:r>
        <w:rPr>
          <w:rFonts w:hint="eastAsia"/>
        </w:rPr>
        <w:t>除了页面中展示的信息外，根据险种的不同需要额外显示一些字段，如安全生产责任险、雇主责任险增加累计赔偿限额、单次事故赔偿限额、每人每次事故赔偿限额的显示；建工一切险（建工一切险及第三者责任险），增加三者责任累计赔偿限额、单次事故赔偿限额、每人每次事故赔偿限额的显示；团体意外险增加意外身故残疾，意外医疗，48小时疾病身故的保额展示。</w:t>
      </w:r>
    </w:p>
    <w:p>
      <w:pPr>
        <w:numPr>
          <w:ilvl w:val="0"/>
          <w:numId w:val="4"/>
        </w:numPr>
        <w:snapToGrid w:val="0"/>
        <w:spacing w:before="312" w:beforeLines="100"/>
        <w:ind w:left="336" w:hanging="336" w:hangingChars="160"/>
        <w:jc w:val="left"/>
        <w:rPr>
          <w:rFonts w:asciiTheme="minorEastAsia" w:hAnsiTheme="minorEastAsia"/>
          <w:color w:val="000000"/>
          <w:szCs w:val="21"/>
        </w:rPr>
      </w:pPr>
      <w:r>
        <w:rPr>
          <w:rFonts w:asciiTheme="minorEastAsia" w:hAnsiTheme="minorEastAsia"/>
          <w:color w:val="000000"/>
          <w:szCs w:val="21"/>
        </w:rPr>
        <w:t>理赔</w:t>
      </w:r>
      <w:r>
        <w:rPr>
          <w:rFonts w:hint="eastAsia" w:asciiTheme="minorEastAsia" w:hAnsiTheme="minorEastAsia"/>
          <w:color w:val="000000"/>
          <w:szCs w:val="21"/>
        </w:rPr>
        <w:t>中心</w:t>
      </w:r>
      <w:r>
        <w:rPr>
          <w:rFonts w:asciiTheme="minorEastAsia" w:hAnsiTheme="minorEastAsia"/>
          <w:color w:val="000000"/>
          <w:szCs w:val="21"/>
        </w:rPr>
        <w:t>-</w:t>
      </w:r>
      <w:r>
        <w:rPr>
          <w:rFonts w:hint="eastAsia" w:asciiTheme="minorEastAsia" w:hAnsiTheme="minorEastAsia"/>
          <w:color w:val="000000"/>
          <w:szCs w:val="21"/>
        </w:rPr>
        <w:t>发起理赔</w:t>
      </w:r>
    </w:p>
    <w:p>
      <w:r>
        <w:drawing>
          <wp:inline distT="0" distB="0" distL="0" distR="0">
            <wp:extent cx="5486400" cy="301053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5"/>
                    <a:stretch>
                      <a:fillRect/>
                    </a:stretch>
                  </pic:blipFill>
                  <pic:spPr>
                    <a:xfrm>
                      <a:off x="0" y="0"/>
                      <a:ext cx="5486400" cy="3010535"/>
                    </a:xfrm>
                    <a:prstGeom prst="rect">
                      <a:avLst/>
                    </a:prstGeom>
                  </pic:spPr>
                </pic:pic>
              </a:graphicData>
            </a:graphic>
          </wp:inline>
        </w:drawing>
      </w:r>
    </w:p>
    <w:p>
      <w:pPr>
        <w:ind w:firstLine="420"/>
      </w:pPr>
      <w:r>
        <w:rPr>
          <w:rFonts w:hint="eastAsia"/>
        </w:rPr>
        <w:t>发起理赔页面包含基本信息、报案信息、出险信息以及附件信息四个模块，其中基本信息与报单信息关联由系统自动带出且不可修改。</w:t>
      </w:r>
    </w:p>
    <w:p>
      <w:pPr>
        <w:ind w:firstLine="420"/>
      </w:pPr>
      <w:r>
        <w:rPr>
          <w:rFonts w:hint="eastAsia"/>
        </w:rPr>
        <w:t>报案信息录入部分，点击“同报案人”按钮即可将联系人与联系人电话字段同步已录入的报案人信息。</w:t>
      </w:r>
    </w:p>
    <w:p>
      <w:pPr>
        <w:ind w:firstLine="420"/>
      </w:pPr>
      <w:r>
        <w:rPr>
          <w:rFonts w:hint="eastAsia"/>
        </w:rPr>
        <w:t>出险信息录入部分，当涉及人伤或涉及死亡字段不为空且不为0时，则需录入劳务队相关信息（名称、合同编号、合同名称）。</w:t>
      </w:r>
    </w:p>
    <w:p>
      <w:pPr>
        <w:ind w:firstLine="420"/>
      </w:pPr>
      <w:r>
        <w:rPr>
          <w:rFonts w:hint="eastAsia"/>
        </w:rPr>
        <w:t>附件信息部分，单击右侧的“上传附件”按钮，用于上传理赔所需的文件。</w:t>
      </w:r>
    </w:p>
    <w:p>
      <w:pPr>
        <w:numPr>
          <w:ilvl w:val="1"/>
          <w:numId w:val="4"/>
        </w:numPr>
        <w:snapToGrid w:val="0"/>
        <w:spacing w:before="312" w:beforeLines="100"/>
        <w:jc w:val="left"/>
        <w:rPr>
          <w:rFonts w:hint="eastAsia" w:asciiTheme="minorEastAsia" w:hAnsiTheme="minorEastAsia"/>
          <w:color w:val="000000"/>
          <w:szCs w:val="21"/>
        </w:rPr>
      </w:pPr>
      <w:r>
        <w:rPr>
          <w:rFonts w:asciiTheme="minorEastAsia" w:hAnsiTheme="minorEastAsia"/>
          <w:color w:val="000000"/>
          <w:szCs w:val="21"/>
        </w:rPr>
        <w:t>理赔</w:t>
      </w:r>
      <w:r>
        <w:rPr>
          <w:rFonts w:hint="eastAsia" w:asciiTheme="minorEastAsia" w:hAnsiTheme="minorEastAsia"/>
          <w:color w:val="000000"/>
          <w:szCs w:val="21"/>
        </w:rPr>
        <w:t>中心</w:t>
      </w:r>
      <w:r>
        <w:rPr>
          <w:rFonts w:asciiTheme="minorEastAsia" w:hAnsiTheme="minorEastAsia"/>
          <w:color w:val="000000"/>
          <w:szCs w:val="21"/>
        </w:rPr>
        <w:t>-</w:t>
      </w:r>
      <w:r>
        <w:rPr>
          <w:rFonts w:hint="eastAsia" w:asciiTheme="minorEastAsia" w:hAnsiTheme="minorEastAsia"/>
          <w:color w:val="000000"/>
          <w:szCs w:val="21"/>
        </w:rPr>
        <w:t>发起理赔-上传附件</w:t>
      </w:r>
    </w:p>
    <w:p>
      <w:r>
        <w:drawing>
          <wp:inline distT="0" distB="0" distL="0" distR="0">
            <wp:extent cx="5486400" cy="2014855"/>
            <wp:effectExtent l="0" t="0" r="0" b="444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36"/>
                    <a:stretch>
                      <a:fillRect/>
                    </a:stretch>
                  </pic:blipFill>
                  <pic:spPr>
                    <a:xfrm>
                      <a:off x="0" y="0"/>
                      <a:ext cx="5486400" cy="2014855"/>
                    </a:xfrm>
                    <a:prstGeom prst="rect">
                      <a:avLst/>
                    </a:prstGeom>
                  </pic:spPr>
                </pic:pic>
              </a:graphicData>
            </a:graphic>
          </wp:inline>
        </w:drawing>
      </w:r>
    </w:p>
    <w:p>
      <w:pPr>
        <w:ind w:firstLine="420"/>
        <w:rPr>
          <w:rFonts w:hint="eastAsia"/>
        </w:rPr>
      </w:pPr>
      <w:r>
        <w:rPr>
          <w:rFonts w:hint="eastAsia"/>
        </w:rPr>
        <w:t>点击页面底部的“返回”按钮，将回到保单中心的列表页面；点击“报案”按钮，则会校验报案信息与出险信息录入的完整性，若校验通过，即报案成功，出险操作成功提示，页面将在1秒后跳转保单列表页面。</w:t>
      </w:r>
    </w:p>
    <w:p>
      <w:pPr>
        <w:numPr>
          <w:ilvl w:val="0"/>
          <w:numId w:val="4"/>
        </w:numPr>
        <w:snapToGrid w:val="0"/>
        <w:spacing w:before="312" w:beforeLines="100"/>
        <w:ind w:left="336" w:hanging="336" w:hangingChars="160"/>
        <w:jc w:val="left"/>
        <w:rPr>
          <w:rFonts w:asciiTheme="minorEastAsia" w:hAnsiTheme="minorEastAsia"/>
          <w:color w:val="000000"/>
          <w:szCs w:val="21"/>
        </w:rPr>
      </w:pPr>
      <w:r>
        <w:rPr>
          <w:rFonts w:asciiTheme="minorEastAsia" w:hAnsiTheme="minorEastAsia"/>
          <w:color w:val="000000"/>
          <w:szCs w:val="21"/>
        </w:rPr>
        <w:t>理赔管理-列表页</w:t>
      </w:r>
    </w:p>
    <w:p>
      <w:pPr>
        <w:snapToGrid w:val="0"/>
        <w:jc w:val="left"/>
        <w:rPr>
          <w:rFonts w:ascii="宋体" w:hAnsi="宋体" w:eastAsia="宋体"/>
          <w:color w:val="000000"/>
          <w:szCs w:val="21"/>
        </w:rPr>
      </w:pPr>
      <w:r>
        <w:rPr>
          <w:rFonts w:ascii="宋体" w:hAnsi="宋体" w:eastAsia="宋体"/>
          <w:color w:val="000000"/>
          <w:szCs w:val="21"/>
        </w:rPr>
        <w:drawing>
          <wp:inline distT="0" distB="0" distL="0" distR="0">
            <wp:extent cx="5486400" cy="27514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7"/>
                    <a:stretch>
                      <a:fillRect/>
                    </a:stretch>
                  </pic:blipFill>
                  <pic:spPr>
                    <a:xfrm>
                      <a:off x="0" y="0"/>
                      <a:ext cx="5486400" cy="2751772"/>
                    </a:xfrm>
                    <a:prstGeom prst="rect">
                      <a:avLst/>
                    </a:prstGeom>
                  </pic:spPr>
                </pic:pic>
              </a:graphicData>
            </a:graphic>
          </wp:inline>
        </w:drawing>
      </w:r>
    </w:p>
    <w:p>
      <w:pPr>
        <w:ind w:firstLine="360"/>
        <w:rPr>
          <w:rFonts w:hint="eastAsia"/>
          <w:lang w:eastAsia="zh-Hans"/>
        </w:rPr>
      </w:pPr>
      <w:r>
        <w:rPr>
          <w:rFonts w:hint="eastAsia"/>
        </w:rPr>
        <w:t>根据投保人、保单号、保险公司、理赔状态以及保险日期这五个维度可以查询并管理保单。</w:t>
      </w:r>
      <w:r>
        <w:rPr>
          <w:rFonts w:hint="eastAsia"/>
          <w:lang w:eastAsia="zh-Hans"/>
        </w:rPr>
        <w:t>其中保险日期默认查询最近半年内发起的保单，保险日期输入的起期和止期用于搜索保险起期在这期间的保单。</w:t>
      </w:r>
    </w:p>
    <w:p>
      <w:pPr>
        <w:ind w:firstLine="360"/>
        <w:rPr>
          <w:rFonts w:hint="eastAsia"/>
          <w:lang w:eastAsia="zh-Hans"/>
        </w:rPr>
      </w:pPr>
      <w:r>
        <w:rPr>
          <w:rFonts w:hint="eastAsia"/>
          <w:lang w:eastAsia="zh-Hans"/>
        </w:rPr>
        <w:t>列表页主要展示理赔单的基本信息，如报案</w:t>
      </w:r>
      <w:r>
        <w:rPr>
          <w:rFonts w:hint="eastAsia"/>
        </w:rPr>
        <w:t>ID</w:t>
      </w:r>
      <w:r>
        <w:rPr>
          <w:rFonts w:hint="eastAsia"/>
          <w:lang w:eastAsia="zh-Hans"/>
        </w:rPr>
        <w:t>、保单号、项目组织、保险公司、投被保人、险种名称、保险起止期、报案日期以及状态。其中理赔状态共有</w:t>
      </w:r>
      <w:r>
        <w:rPr>
          <w:rFonts w:hint="eastAsia"/>
        </w:rPr>
        <w:t>8种，分别为</w:t>
      </w:r>
      <w:r>
        <w:rPr>
          <w:rFonts w:hint="eastAsia"/>
          <w:lang w:eastAsia="zh-Hans"/>
        </w:rPr>
        <w:t>：</w:t>
      </w:r>
    </w:p>
    <w:p>
      <w:pPr>
        <w:pStyle w:val="16"/>
        <w:numPr>
          <w:ilvl w:val="0"/>
          <w:numId w:val="14"/>
        </w:numPr>
        <w:snapToGrid w:val="0"/>
        <w:ind w:firstLineChars="0"/>
        <w:jc w:val="left"/>
        <w:rPr>
          <w:lang w:eastAsia="zh-Hans"/>
        </w:rPr>
      </w:pPr>
      <w:r>
        <w:rPr>
          <w:rFonts w:hint="eastAsia"/>
          <w:lang w:eastAsia="zh-Hans"/>
        </w:rPr>
        <w:t>已报案：集团公司/保险公司可以在保单中心对有效保单发起发起理赔，录入相关理赔信息并上传附件后提示发起理赔成功。此时状态是已报案。</w:t>
      </w:r>
    </w:p>
    <w:p>
      <w:pPr>
        <w:pStyle w:val="16"/>
        <w:numPr>
          <w:ilvl w:val="0"/>
          <w:numId w:val="14"/>
        </w:numPr>
        <w:snapToGrid w:val="0"/>
        <w:ind w:firstLineChars="0"/>
        <w:jc w:val="left"/>
        <w:rPr>
          <w:lang w:eastAsia="zh-Hans"/>
        </w:rPr>
      </w:pPr>
      <w:r>
        <w:rPr>
          <w:rFonts w:hint="eastAsia"/>
          <w:lang w:eastAsia="zh-Hans"/>
        </w:rPr>
        <w:t>已查勘：保险公司可以在理赔列表内查看已报案保单进行查勘。查勘完成后录入查勘信息并同步状态到系统，此时状态是已查勘。</w:t>
      </w:r>
    </w:p>
    <w:p>
      <w:pPr>
        <w:pStyle w:val="16"/>
        <w:numPr>
          <w:ilvl w:val="0"/>
          <w:numId w:val="14"/>
        </w:numPr>
        <w:snapToGrid w:val="0"/>
        <w:ind w:firstLineChars="0"/>
        <w:jc w:val="left"/>
        <w:rPr>
          <w:lang w:eastAsia="zh-Hans"/>
        </w:rPr>
      </w:pPr>
      <w:r>
        <w:rPr>
          <w:rFonts w:hint="eastAsia"/>
          <w:lang w:eastAsia="zh-Hans"/>
        </w:rPr>
        <w:t>已提交资料：保险公司可以在理赔列表内查看已查勘保单，跟客户沟通需要提交的资料，资料上传后状态是已提交资料。</w:t>
      </w:r>
    </w:p>
    <w:p>
      <w:pPr>
        <w:pStyle w:val="16"/>
        <w:numPr>
          <w:ilvl w:val="0"/>
          <w:numId w:val="14"/>
        </w:numPr>
        <w:snapToGrid w:val="0"/>
        <w:ind w:firstLineChars="0"/>
        <w:jc w:val="left"/>
        <w:rPr>
          <w:lang w:eastAsia="zh-Hans"/>
        </w:rPr>
      </w:pPr>
      <w:r>
        <w:rPr>
          <w:rFonts w:hint="eastAsia"/>
          <w:lang w:eastAsia="zh-Hans"/>
        </w:rPr>
        <w:t>已审核：保险公司可以在理赔列表内查看已提交资料保单，录入资料审核信息，审核通过后状态是已审核，不通过则要求客户补充资料。</w:t>
      </w:r>
    </w:p>
    <w:p>
      <w:pPr>
        <w:pStyle w:val="16"/>
        <w:numPr>
          <w:ilvl w:val="0"/>
          <w:numId w:val="14"/>
        </w:numPr>
        <w:snapToGrid w:val="0"/>
        <w:ind w:firstLineChars="0"/>
        <w:jc w:val="left"/>
        <w:rPr>
          <w:lang w:eastAsia="zh-Hans"/>
        </w:rPr>
      </w:pPr>
      <w:r>
        <w:rPr>
          <w:rFonts w:hint="eastAsia"/>
          <w:lang w:eastAsia="zh-Hans"/>
        </w:rPr>
        <w:t>已确认赔款：保险公司可以在理赔列表内查看已审核保单，支持录入赔款信息，录入完成后提示确认赔款成功。此时状态是已确认赔款。</w:t>
      </w:r>
    </w:p>
    <w:p>
      <w:pPr>
        <w:pStyle w:val="16"/>
        <w:numPr>
          <w:ilvl w:val="0"/>
          <w:numId w:val="14"/>
        </w:numPr>
        <w:snapToGrid w:val="0"/>
        <w:ind w:firstLineChars="0"/>
        <w:jc w:val="left"/>
        <w:rPr>
          <w:lang w:eastAsia="zh-Hans"/>
        </w:rPr>
      </w:pPr>
      <w:r>
        <w:rPr>
          <w:rFonts w:hint="eastAsia"/>
          <w:lang w:eastAsia="zh-Hans"/>
        </w:rPr>
        <w:t>已结案：保险公司可以在理赔列表内查看已缺人赔款保单，支持录入结案信息，录入完成后提示结案成功。此时状态是已结案。</w:t>
      </w:r>
    </w:p>
    <w:p>
      <w:pPr>
        <w:pStyle w:val="16"/>
        <w:numPr>
          <w:ilvl w:val="0"/>
          <w:numId w:val="14"/>
        </w:numPr>
        <w:snapToGrid w:val="0"/>
        <w:ind w:firstLineChars="0"/>
        <w:jc w:val="left"/>
        <w:rPr>
          <w:lang w:eastAsia="zh-Hans"/>
        </w:rPr>
      </w:pPr>
      <w:r>
        <w:rPr>
          <w:rFonts w:hint="eastAsia"/>
          <w:lang w:eastAsia="zh-Hans"/>
        </w:rPr>
        <w:t>已支付：保险公司已经为被保险人支付了赔款。</w:t>
      </w:r>
    </w:p>
    <w:p>
      <w:pPr>
        <w:pStyle w:val="16"/>
        <w:numPr>
          <w:ilvl w:val="0"/>
          <w:numId w:val="14"/>
        </w:numPr>
        <w:snapToGrid w:val="0"/>
        <w:ind w:firstLineChars="0"/>
        <w:jc w:val="left"/>
        <w:rPr>
          <w:rFonts w:hint="eastAsia"/>
          <w:lang w:eastAsia="zh-Hans"/>
        </w:rPr>
      </w:pPr>
      <w:r>
        <w:rPr>
          <w:rFonts w:hint="eastAsia"/>
          <w:lang w:eastAsia="zh-Hans"/>
        </w:rPr>
        <w:t>已销案：理赔单因某些原因被注销后即为销案状态。</w:t>
      </w:r>
    </w:p>
    <w:p>
      <w:pPr>
        <w:snapToGrid w:val="0"/>
        <w:jc w:val="left"/>
        <w:rPr>
          <w:rFonts w:hint="eastAsia" w:ascii="宋体" w:hAnsi="宋体" w:eastAsia="宋体"/>
          <w:color w:val="000000"/>
          <w:szCs w:val="21"/>
        </w:rPr>
      </w:pPr>
      <w:r>
        <w:rPr>
          <w:rFonts w:hint="eastAsia" w:ascii="宋体" w:hAnsi="宋体" w:eastAsia="宋体"/>
          <w:color w:val="000000"/>
          <w:szCs w:val="21"/>
        </w:rPr>
        <w:t>注：理赔状态的变更目前主要通过同步保险公司的理赔信息来流传。</w:t>
      </w:r>
    </w:p>
    <w:p>
      <w:pPr>
        <w:numPr>
          <w:ilvl w:val="0"/>
          <w:numId w:val="4"/>
        </w:numPr>
        <w:snapToGrid w:val="0"/>
        <w:spacing w:before="312" w:beforeLines="100"/>
        <w:ind w:left="336" w:hanging="336" w:hangingChars="160"/>
        <w:jc w:val="left"/>
        <w:rPr>
          <w:rFonts w:asciiTheme="minorEastAsia" w:hAnsiTheme="minorEastAsia"/>
          <w:color w:val="000000"/>
          <w:szCs w:val="21"/>
        </w:rPr>
      </w:pPr>
      <w:r>
        <w:rPr>
          <w:rFonts w:asciiTheme="minorEastAsia" w:hAnsiTheme="minorEastAsia"/>
          <w:color w:val="000000"/>
          <w:szCs w:val="21"/>
        </w:rPr>
        <w:t>理赔管理-详情页</w:t>
      </w:r>
    </w:p>
    <w:p>
      <w:pPr>
        <w:snapToGrid w:val="0"/>
        <w:jc w:val="left"/>
        <w:rPr>
          <w:rFonts w:ascii="宋体" w:hAnsi="宋体" w:eastAsia="宋体"/>
          <w:color w:val="000000"/>
          <w:szCs w:val="21"/>
        </w:rPr>
      </w:pPr>
      <w:r>
        <w:drawing>
          <wp:inline distT="0" distB="0" distL="0" distR="0">
            <wp:extent cx="5486400" cy="2740660"/>
            <wp:effectExtent l="0" t="0" r="0"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38"/>
                    <a:stretch>
                      <a:fillRect/>
                    </a:stretch>
                  </pic:blipFill>
                  <pic:spPr>
                    <a:xfrm>
                      <a:off x="0" y="0"/>
                      <a:ext cx="5486400" cy="2740660"/>
                    </a:xfrm>
                    <a:prstGeom prst="rect">
                      <a:avLst/>
                    </a:prstGeom>
                  </pic:spPr>
                </pic:pic>
              </a:graphicData>
            </a:graphic>
          </wp:inline>
        </w:drawing>
      </w:r>
    </w:p>
    <w:p>
      <w:pPr>
        <w:snapToGrid w:val="0"/>
        <w:jc w:val="left"/>
        <w:rPr>
          <w:rFonts w:hint="eastAsia" w:ascii="宋体" w:hAnsi="宋体" w:eastAsia="宋体"/>
          <w:color w:val="000000"/>
          <w:szCs w:val="21"/>
        </w:rPr>
      </w:pPr>
      <w:r>
        <w:drawing>
          <wp:inline distT="0" distB="0" distL="0" distR="0">
            <wp:extent cx="5486400" cy="2222500"/>
            <wp:effectExtent l="0" t="0" r="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39"/>
                    <a:srcRect t="18082" b="1808"/>
                    <a:stretch>
                      <a:fillRect/>
                    </a:stretch>
                  </pic:blipFill>
                  <pic:spPr>
                    <a:xfrm>
                      <a:off x="0" y="0"/>
                      <a:ext cx="5486400" cy="2222500"/>
                    </a:xfrm>
                    <a:prstGeom prst="rect">
                      <a:avLst/>
                    </a:prstGeom>
                    <a:ln>
                      <a:noFill/>
                    </a:ln>
                  </pic:spPr>
                </pic:pic>
              </a:graphicData>
            </a:graphic>
          </wp:inline>
        </w:drawing>
      </w:r>
    </w:p>
    <w:p>
      <w:pPr>
        <w:snapToGrid w:val="0"/>
        <w:ind w:firstLine="420"/>
        <w:jc w:val="left"/>
        <w:rPr>
          <w:rFonts w:ascii="宋体" w:hAnsi="宋体" w:eastAsia="宋体"/>
          <w:color w:val="000000"/>
          <w:szCs w:val="21"/>
        </w:rPr>
      </w:pPr>
      <w:r>
        <w:rPr>
          <w:rFonts w:hint="eastAsia" w:ascii="宋体" w:hAnsi="宋体" w:eastAsia="宋体"/>
          <w:color w:val="000000"/>
          <w:szCs w:val="21"/>
        </w:rPr>
        <w:t>详情页面包含理赔进度、沟通记录、基本信息、报案信息、出险信息、附件信息、理赔信息以及支付信息8个模块：</w:t>
      </w:r>
    </w:p>
    <w:p>
      <w:pPr>
        <w:snapToGrid w:val="0"/>
        <w:ind w:firstLine="420"/>
        <w:jc w:val="left"/>
        <w:rPr>
          <w:rFonts w:ascii="宋体" w:hAnsi="宋体" w:eastAsia="宋体"/>
          <w:color w:val="000000"/>
          <w:szCs w:val="21"/>
        </w:rPr>
      </w:pPr>
      <w:r>
        <w:rPr>
          <w:rFonts w:hint="eastAsia" w:ascii="宋体" w:hAnsi="宋体" w:eastAsia="宋体"/>
          <w:color w:val="000000"/>
          <w:szCs w:val="21"/>
        </w:rPr>
        <w:t>理赔进度，以步骤条的形式展示当前保单理赔进行到了什么程度以及各个节点流转的时间，以方便直观的了解理赔状态。</w:t>
      </w:r>
    </w:p>
    <w:p>
      <w:pPr>
        <w:snapToGrid w:val="0"/>
        <w:ind w:firstLine="420"/>
        <w:jc w:val="left"/>
        <w:rPr>
          <w:rFonts w:ascii="宋体" w:hAnsi="宋体" w:eastAsia="宋体"/>
          <w:color w:val="000000"/>
          <w:szCs w:val="21"/>
        </w:rPr>
      </w:pPr>
      <w:r>
        <w:rPr>
          <w:rFonts w:hint="eastAsia" w:ascii="宋体" w:hAnsi="宋体" w:eastAsia="宋体"/>
          <w:color w:val="000000"/>
          <w:szCs w:val="21"/>
        </w:rPr>
        <w:t>沟通记录，用于企业端与保司端对该理赔进行沟通，企业端可向相关保险公司发起催办，对方发送的信息将在首页的消息列表进行提示。</w:t>
      </w:r>
    </w:p>
    <w:p>
      <w:pPr>
        <w:snapToGrid w:val="0"/>
        <w:ind w:firstLine="420"/>
        <w:jc w:val="left"/>
        <w:rPr>
          <w:rFonts w:ascii="宋体" w:hAnsi="宋体" w:eastAsia="宋体"/>
          <w:color w:val="000000"/>
          <w:szCs w:val="21"/>
        </w:rPr>
      </w:pPr>
      <w:r>
        <w:rPr>
          <w:rFonts w:hint="eastAsia" w:ascii="宋体" w:hAnsi="宋体" w:eastAsia="宋体"/>
          <w:color w:val="000000"/>
          <w:szCs w:val="21"/>
        </w:rPr>
        <w:t>基本信息，用于展示保单的相关信息。</w:t>
      </w:r>
    </w:p>
    <w:p>
      <w:pPr>
        <w:snapToGrid w:val="0"/>
        <w:ind w:firstLine="420"/>
        <w:jc w:val="left"/>
        <w:rPr>
          <w:rFonts w:ascii="宋体" w:hAnsi="宋体" w:eastAsia="宋体"/>
          <w:color w:val="000000"/>
          <w:szCs w:val="21"/>
        </w:rPr>
      </w:pPr>
      <w:r>
        <w:rPr>
          <w:rFonts w:hint="eastAsia" w:ascii="宋体" w:hAnsi="宋体" w:eastAsia="宋体"/>
          <w:color w:val="000000"/>
          <w:szCs w:val="21"/>
        </w:rPr>
        <w:t>报案信息、出险信息、附件信息由企业发起理赔时录入，且出险信息中的“总索赔金额</w:t>
      </w:r>
      <w:r>
        <w:rPr>
          <w:rFonts w:ascii="宋体" w:hAnsi="宋体" w:eastAsia="宋体"/>
          <w:color w:val="000000"/>
          <w:szCs w:val="21"/>
        </w:rPr>
        <w:t>”</w:t>
      </w:r>
      <w:r>
        <w:rPr>
          <w:rFonts w:hint="eastAsia" w:ascii="宋体" w:hAnsi="宋体" w:eastAsia="宋体"/>
          <w:color w:val="000000"/>
          <w:szCs w:val="21"/>
        </w:rPr>
        <w:t>字段在赔款确认前均可录入。</w:t>
      </w:r>
    </w:p>
    <w:p>
      <w:pPr>
        <w:snapToGrid w:val="0"/>
        <w:ind w:firstLine="420"/>
        <w:jc w:val="left"/>
        <w:rPr>
          <w:rFonts w:hint="eastAsia" w:ascii="宋体" w:hAnsi="宋体" w:eastAsia="宋体"/>
          <w:color w:val="000000"/>
          <w:szCs w:val="21"/>
        </w:rPr>
      </w:pPr>
      <w:r>
        <w:rPr>
          <w:rFonts w:hint="eastAsia" w:ascii="宋体" w:hAnsi="宋体" w:eastAsia="宋体"/>
          <w:color w:val="000000"/>
          <w:szCs w:val="21"/>
        </w:rPr>
        <w:t>理赔信息与支付信息则有保险公司在特定理赔节点补全。</w:t>
      </w:r>
    </w:p>
    <w:p>
      <w:pPr>
        <w:numPr>
          <w:ilvl w:val="0"/>
          <w:numId w:val="4"/>
        </w:numPr>
        <w:snapToGrid w:val="0"/>
        <w:spacing w:before="312" w:beforeLines="100"/>
        <w:ind w:left="336" w:hanging="336" w:hangingChars="160"/>
        <w:jc w:val="left"/>
        <w:rPr>
          <w:rFonts w:asciiTheme="minorEastAsia" w:hAnsiTheme="minorEastAsia"/>
          <w:color w:val="000000"/>
          <w:szCs w:val="21"/>
        </w:rPr>
      </w:pPr>
      <w:r>
        <w:rPr>
          <w:rFonts w:asciiTheme="minorEastAsia" w:hAnsiTheme="minorEastAsia"/>
          <w:color w:val="000000"/>
          <w:szCs w:val="21"/>
        </w:rPr>
        <w:t>续保管理</w:t>
      </w:r>
    </w:p>
    <w:p>
      <w:pPr>
        <w:snapToGrid w:val="0"/>
        <w:jc w:val="left"/>
        <w:rPr>
          <w:rFonts w:ascii="宋体" w:hAnsi="宋体" w:eastAsia="宋体"/>
          <w:color w:val="000000"/>
          <w:szCs w:val="21"/>
        </w:rPr>
      </w:pPr>
      <w:r>
        <w:rPr>
          <w:rFonts w:ascii="宋体" w:hAnsi="宋体" w:eastAsia="宋体"/>
          <w:color w:val="000000"/>
          <w:szCs w:val="21"/>
        </w:rPr>
        <w:drawing>
          <wp:inline distT="0" distB="0" distL="0" distR="0">
            <wp:extent cx="5486400" cy="274701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0"/>
                    <a:stretch>
                      <a:fillRect/>
                    </a:stretch>
                  </pic:blipFill>
                  <pic:spPr>
                    <a:xfrm>
                      <a:off x="0" y="0"/>
                      <a:ext cx="5486400" cy="2747486"/>
                    </a:xfrm>
                    <a:prstGeom prst="rect">
                      <a:avLst/>
                    </a:prstGeom>
                  </pic:spPr>
                </pic:pic>
              </a:graphicData>
            </a:graphic>
          </wp:inline>
        </w:drawing>
      </w:r>
    </w:p>
    <w:p>
      <w:pPr>
        <w:ind w:firstLine="420"/>
        <w:rPr>
          <w:rFonts w:hint="eastAsia"/>
          <w:lang w:eastAsia="zh-Hans"/>
        </w:rPr>
      </w:pPr>
      <w:r>
        <w:rPr>
          <w:rFonts w:hint="eastAsia"/>
        </w:rPr>
        <w:t>根据投保人、保单号、距离保单到期时间三个维度查询保单。</w:t>
      </w:r>
      <w:r>
        <w:rPr>
          <w:rFonts w:hint="eastAsia"/>
          <w:lang w:eastAsia="zh-Hans"/>
        </w:rPr>
        <w:t>其中</w:t>
      </w:r>
      <w:r>
        <w:t>距离到期时间</w:t>
      </w:r>
      <w:r>
        <w:rPr>
          <w:rFonts w:hint="eastAsia"/>
          <w:lang w:eastAsia="zh-Hans"/>
        </w:rPr>
        <w:t>有三个范围可选择，分别是小于</w:t>
      </w:r>
      <w:r>
        <w:rPr>
          <w:rFonts w:hint="eastAsia"/>
        </w:rPr>
        <w:t>3</w:t>
      </w:r>
      <w:r>
        <w:rPr>
          <w:rFonts w:hint="eastAsia"/>
          <w:lang w:eastAsia="zh-Hans"/>
        </w:rPr>
        <w:t>天、小于</w:t>
      </w:r>
      <w:r>
        <w:rPr>
          <w:rFonts w:hint="eastAsia"/>
        </w:rPr>
        <w:t>10</w:t>
      </w:r>
      <w:r>
        <w:rPr>
          <w:rFonts w:hint="eastAsia"/>
          <w:lang w:eastAsia="zh-Hans"/>
        </w:rPr>
        <w:t>天、小于</w:t>
      </w:r>
      <w:r>
        <w:rPr>
          <w:rFonts w:hint="eastAsia"/>
        </w:rPr>
        <w:t>30</w:t>
      </w:r>
      <w:r>
        <w:rPr>
          <w:rFonts w:hint="eastAsia"/>
          <w:lang w:eastAsia="zh-Hans"/>
        </w:rPr>
        <w:t>天，默认查询最近</w:t>
      </w:r>
      <w:r>
        <w:rPr>
          <w:rFonts w:hint="eastAsia"/>
        </w:rPr>
        <w:t>30</w:t>
      </w:r>
      <w:r>
        <w:rPr>
          <w:rFonts w:hint="eastAsia"/>
          <w:lang w:eastAsia="zh-Hans"/>
        </w:rPr>
        <w:t>内将到期的保单。</w:t>
      </w:r>
    </w:p>
    <w:p>
      <w:pPr>
        <w:snapToGrid w:val="0"/>
        <w:ind w:firstLine="420"/>
        <w:jc w:val="left"/>
        <w:rPr>
          <w:lang w:eastAsia="zh-Hans"/>
        </w:rPr>
      </w:pPr>
      <w:r>
        <w:rPr>
          <w:rFonts w:hint="eastAsia"/>
          <w:lang w:eastAsia="zh-Hans"/>
        </w:rPr>
        <w:t>列表页主要展示保单的基本信息，如保单号、项目组织、险种名称、保险公司、投被保人、保险起止期以及距离到期天数，点击保单号可跳转至保单中心的保单详情页，查看具体的保单内容。</w:t>
      </w:r>
    </w:p>
    <w:p>
      <w:pPr>
        <w:snapToGrid w:val="0"/>
        <w:jc w:val="left"/>
        <w:rPr>
          <w:rFonts w:hint="eastAsia"/>
          <w:lang w:eastAsia="zh-Hans"/>
        </w:rPr>
      </w:pPr>
      <w:r>
        <w:rPr>
          <w:rFonts w:hint="eastAsia"/>
          <w:lang w:eastAsia="zh-Hans"/>
        </w:rPr>
        <w:t>注：续保管理只对将到期的保单做筛选展示，在首页进行续保提醒，具体的保单续保业务，需联系保险公司进行。</w:t>
      </w:r>
    </w:p>
    <w:p>
      <w:pPr>
        <w:pStyle w:val="4"/>
        <w:numPr>
          <w:ilvl w:val="2"/>
          <w:numId w:val="1"/>
        </w:numPr>
        <w:snapToGrid w:val="0"/>
        <w:ind w:left="1560" w:leftChars="400" w:hanging="720"/>
        <w:rPr>
          <w:rFonts w:ascii="黑体" w:hAnsi="黑体" w:eastAsia="黑体"/>
          <w:sz w:val="21"/>
          <w:szCs w:val="21"/>
        </w:rPr>
      </w:pPr>
      <w:bookmarkStart w:id="32" w:name="_Toc73560979"/>
      <w:r>
        <w:rPr>
          <w:rFonts w:ascii="黑体" w:hAnsi="黑体" w:eastAsia="黑体"/>
          <w:sz w:val="21"/>
          <w:szCs w:val="21"/>
        </w:rPr>
        <w:t>理赔流程图</w:t>
      </w:r>
      <w:bookmarkEnd w:id="32"/>
    </w:p>
    <w:p>
      <w:pPr>
        <w:snapToGrid w:val="0"/>
        <w:jc w:val="left"/>
        <w:rPr>
          <w:rFonts w:ascii="微软雅黑" w:hAnsi="微软雅黑" w:eastAsia="微软雅黑"/>
          <w:color w:val="000000"/>
          <w:szCs w:val="21"/>
        </w:rPr>
      </w:pPr>
      <w:r>
        <w:rPr>
          <w:rFonts w:ascii="微软雅黑" w:hAnsi="微软雅黑" w:eastAsia="微软雅黑"/>
          <w:color w:val="000000"/>
          <w:szCs w:val="21"/>
        </w:rPr>
        <w:drawing>
          <wp:inline distT="0" distB="0" distL="0" distR="0">
            <wp:extent cx="5486400" cy="61563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1"/>
                    <a:stretch>
                      <a:fillRect/>
                    </a:stretch>
                  </pic:blipFill>
                  <pic:spPr>
                    <a:xfrm>
                      <a:off x="0" y="0"/>
                      <a:ext cx="5486400" cy="6156869"/>
                    </a:xfrm>
                    <a:prstGeom prst="rect">
                      <a:avLst/>
                    </a:prstGeom>
                  </pic:spPr>
                </pic:pic>
              </a:graphicData>
            </a:graphic>
          </wp:inline>
        </w:drawing>
      </w:r>
    </w:p>
    <w:p>
      <w:pPr>
        <w:ind w:firstLine="420"/>
        <w:rPr>
          <w:rFonts w:hint="eastAsia"/>
        </w:rPr>
      </w:pPr>
      <w:r>
        <w:rPr>
          <w:rFonts w:hint="eastAsia"/>
        </w:rPr>
        <w:t>保单的理赔首先由企业端的直属单位或项目部员工直接联系保险公司发起报案并收集相关信息，而后在管理系统录入报案信息与出险信息；保单理赔进度发生变化时，由保险公司通过数据同步接口将理赔数据同步，也可在保司端手动录入相关信息；理赔进行过程中双方可调整部分数据如赔付金额等，并通过系统提供的“沟通记录”模块进行交流并保留有效信息，直至理赔进行到支付结案或销案。</w:t>
      </w:r>
    </w:p>
    <w:p>
      <w:pPr>
        <w:pStyle w:val="3"/>
        <w:numPr>
          <w:ilvl w:val="1"/>
          <w:numId w:val="1"/>
        </w:numPr>
        <w:snapToGrid w:val="0"/>
        <w:ind w:left="996" w:leftChars="200" w:hanging="576"/>
        <w:rPr>
          <w:rFonts w:ascii="黑体" w:hAnsi="黑体" w:eastAsia="黑体"/>
          <w:sz w:val="28"/>
          <w:szCs w:val="28"/>
        </w:rPr>
      </w:pPr>
      <w:bookmarkStart w:id="33" w:name="_Toc73560980"/>
      <w:r>
        <w:rPr>
          <w:rFonts w:ascii="黑体" w:hAnsi="黑体" w:eastAsia="黑体"/>
          <w:sz w:val="28"/>
          <w:szCs w:val="28"/>
        </w:rPr>
        <w:t>履约评价设计</w:t>
      </w:r>
      <w:bookmarkEnd w:id="33"/>
    </w:p>
    <w:p>
      <w:pPr>
        <w:pStyle w:val="4"/>
        <w:numPr>
          <w:ilvl w:val="2"/>
          <w:numId w:val="1"/>
        </w:numPr>
        <w:snapToGrid w:val="0"/>
        <w:ind w:left="1560" w:leftChars="400" w:hanging="720"/>
        <w:rPr>
          <w:rFonts w:ascii="黑体" w:hAnsi="黑体" w:eastAsia="黑体"/>
          <w:sz w:val="21"/>
          <w:szCs w:val="21"/>
        </w:rPr>
      </w:pPr>
      <w:bookmarkStart w:id="34" w:name="_Toc73560981"/>
      <w:r>
        <w:rPr>
          <w:rFonts w:ascii="黑体" w:hAnsi="黑体" w:eastAsia="黑体"/>
          <w:sz w:val="21"/>
          <w:szCs w:val="21"/>
        </w:rPr>
        <w:t>功能概述</w:t>
      </w:r>
      <w:bookmarkEnd w:id="34"/>
    </w:p>
    <w:p>
      <w:pPr>
        <w:ind w:firstLine="420"/>
        <w:jc w:val="left"/>
        <w:rPr>
          <w:rFonts w:ascii="宋体" w:hAnsi="宋体" w:eastAsia="宋体"/>
          <w:color w:val="000000"/>
          <w:szCs w:val="21"/>
        </w:rPr>
      </w:pPr>
      <w:r>
        <w:rPr>
          <w:rFonts w:ascii="宋体" w:hAnsi="宋体" w:eastAsia="宋体"/>
          <w:color w:val="000000"/>
          <w:szCs w:val="21"/>
        </w:rPr>
        <w:t>集团针对各公司发起对保险公司的履约评价，支持配置相应的模板和权重。</w:t>
      </w:r>
    </w:p>
    <w:p>
      <w:pPr>
        <w:ind w:firstLine="420" w:firstLineChars="200"/>
        <w:jc w:val="left"/>
        <w:rPr>
          <w:rFonts w:ascii="宋体" w:hAnsi="宋体" w:eastAsia="宋体"/>
          <w:color w:val="000000"/>
          <w:szCs w:val="21"/>
        </w:rPr>
      </w:pPr>
      <w:r>
        <w:rPr>
          <w:rFonts w:ascii="宋体" w:hAnsi="宋体" w:eastAsia="宋体"/>
          <w:color w:val="000000"/>
          <w:szCs w:val="21"/>
        </w:rPr>
        <w:t>点击履约评价展示下面的子菜单，问卷模板，问卷管理、我的评价和评价列表，其中集团保险负责人可以查看所有子菜单，发起和管理问卷并查看所有的评价；直属单位保险业务员和项目部保险业务员可以查看我的评价，接收评价任务并填写。</w:t>
      </w:r>
    </w:p>
    <w:p>
      <w:pPr>
        <w:pStyle w:val="4"/>
        <w:numPr>
          <w:ilvl w:val="2"/>
          <w:numId w:val="1"/>
        </w:numPr>
        <w:snapToGrid w:val="0"/>
        <w:ind w:left="1560" w:leftChars="400" w:hanging="720"/>
        <w:rPr>
          <w:rFonts w:ascii="黑体" w:hAnsi="黑体" w:eastAsia="黑体"/>
          <w:sz w:val="21"/>
          <w:szCs w:val="21"/>
        </w:rPr>
      </w:pPr>
      <w:bookmarkStart w:id="35" w:name="_Toc73560982"/>
      <w:r>
        <w:rPr>
          <w:rFonts w:ascii="黑体" w:hAnsi="黑体" w:eastAsia="黑体"/>
          <w:sz w:val="21"/>
          <w:szCs w:val="21"/>
        </w:rPr>
        <w:t>界面</w:t>
      </w:r>
      <w:bookmarkEnd w:id="35"/>
    </w:p>
    <w:p>
      <w:pPr>
        <w:numPr>
          <w:ilvl w:val="0"/>
          <w:numId w:val="4"/>
        </w:numPr>
        <w:snapToGrid w:val="0"/>
        <w:spacing w:before="312" w:beforeLines="100"/>
        <w:ind w:left="336" w:hanging="336" w:hangingChars="160"/>
        <w:jc w:val="left"/>
        <w:rPr>
          <w:rFonts w:asciiTheme="minorEastAsia" w:hAnsiTheme="minorEastAsia"/>
          <w:color w:val="000000"/>
          <w:szCs w:val="21"/>
        </w:rPr>
      </w:pPr>
      <w:r>
        <w:rPr>
          <w:rFonts w:asciiTheme="minorEastAsia" w:hAnsiTheme="minorEastAsia"/>
          <w:color w:val="000000"/>
          <w:szCs w:val="21"/>
        </w:rPr>
        <w:t>问卷模板-列表页</w:t>
      </w:r>
    </w:p>
    <w:p>
      <w:pPr>
        <w:snapToGrid w:val="0"/>
        <w:jc w:val="left"/>
        <w:rPr>
          <w:rFonts w:hint="eastAsia" w:ascii="宋体" w:hAnsi="宋体" w:eastAsia="宋体"/>
          <w:color w:val="000000"/>
          <w:szCs w:val="21"/>
        </w:rPr>
      </w:pPr>
      <w:r>
        <w:rPr>
          <w:rFonts w:ascii="宋体" w:hAnsi="宋体" w:eastAsia="宋体"/>
          <w:color w:val="000000"/>
          <w:szCs w:val="21"/>
        </w:rPr>
        <w:drawing>
          <wp:inline distT="0" distB="0" distL="0" distR="0">
            <wp:extent cx="5486400" cy="275145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2"/>
                    <a:stretch>
                      <a:fillRect/>
                    </a:stretch>
                  </pic:blipFill>
                  <pic:spPr>
                    <a:xfrm>
                      <a:off x="0" y="0"/>
                      <a:ext cx="5486400" cy="2751772"/>
                    </a:xfrm>
                    <a:prstGeom prst="rect">
                      <a:avLst/>
                    </a:prstGeom>
                  </pic:spPr>
                </pic:pic>
              </a:graphicData>
            </a:graphic>
          </wp:inline>
        </w:drawing>
      </w:r>
    </w:p>
    <w:p>
      <w:pPr>
        <w:snapToGrid w:val="0"/>
        <w:ind w:firstLine="420"/>
        <w:jc w:val="left"/>
        <w:rPr>
          <w:rFonts w:ascii="宋体" w:hAnsi="宋体" w:eastAsia="宋体"/>
          <w:color w:val="000000"/>
          <w:szCs w:val="21"/>
        </w:rPr>
      </w:pPr>
      <w:r>
        <w:rPr>
          <w:rFonts w:hint="eastAsia" w:ascii="宋体" w:hAnsi="宋体" w:eastAsia="宋体"/>
          <w:color w:val="000000"/>
          <w:szCs w:val="21"/>
        </w:rPr>
        <w:t>页面展示之前创建的所有模板，模板状态分为以下两种：</w:t>
      </w:r>
    </w:p>
    <w:p>
      <w:pPr>
        <w:pStyle w:val="16"/>
        <w:numPr>
          <w:ilvl w:val="0"/>
          <w:numId w:val="15"/>
        </w:numPr>
        <w:snapToGrid w:val="0"/>
        <w:ind w:firstLineChars="0"/>
        <w:jc w:val="left"/>
        <w:rPr>
          <w:rFonts w:ascii="宋体" w:hAnsi="宋体" w:eastAsia="宋体"/>
          <w:color w:val="000000"/>
          <w:szCs w:val="21"/>
        </w:rPr>
      </w:pPr>
      <w:r>
        <w:rPr>
          <w:rFonts w:hint="eastAsia" w:ascii="宋体" w:hAnsi="宋体" w:eastAsia="宋体"/>
          <w:color w:val="000000"/>
          <w:szCs w:val="21"/>
        </w:rPr>
        <w:t>未使用，可对模板进行编辑和删除操作；</w:t>
      </w:r>
    </w:p>
    <w:p>
      <w:pPr>
        <w:pStyle w:val="16"/>
        <w:numPr>
          <w:ilvl w:val="0"/>
          <w:numId w:val="15"/>
        </w:numPr>
        <w:snapToGrid w:val="0"/>
        <w:ind w:firstLineChars="0"/>
        <w:jc w:val="left"/>
        <w:rPr>
          <w:rFonts w:hint="eastAsia" w:ascii="宋体" w:hAnsi="宋体" w:eastAsia="宋体"/>
          <w:color w:val="000000"/>
          <w:szCs w:val="21"/>
        </w:rPr>
      </w:pPr>
      <w:r>
        <w:rPr>
          <w:rFonts w:hint="eastAsia" w:ascii="宋体" w:hAnsi="宋体" w:eastAsia="宋体"/>
          <w:color w:val="000000"/>
          <w:szCs w:val="21"/>
        </w:rPr>
        <w:t>已使用，可对模板进行查看和复制操作；</w:t>
      </w:r>
    </w:p>
    <w:p>
      <w:pPr>
        <w:snapToGrid w:val="0"/>
        <w:ind w:firstLine="360"/>
        <w:jc w:val="left"/>
        <w:rPr>
          <w:rFonts w:ascii="宋体" w:hAnsi="宋体" w:eastAsia="宋体"/>
          <w:color w:val="000000"/>
          <w:szCs w:val="21"/>
        </w:rPr>
      </w:pPr>
      <w:r>
        <w:rPr>
          <w:rFonts w:hint="eastAsia" w:ascii="宋体" w:hAnsi="宋体" w:eastAsia="宋体"/>
          <w:color w:val="000000"/>
          <w:szCs w:val="21"/>
        </w:rPr>
        <w:t>点击操作栏的查看按钮可以跳转到问卷详情页面；</w:t>
      </w:r>
    </w:p>
    <w:p>
      <w:pPr>
        <w:snapToGrid w:val="0"/>
        <w:ind w:firstLine="336"/>
        <w:jc w:val="left"/>
        <w:rPr>
          <w:rFonts w:ascii="宋体" w:hAnsi="宋体" w:eastAsia="宋体"/>
          <w:color w:val="000000"/>
          <w:szCs w:val="21"/>
        </w:rPr>
      </w:pPr>
      <w:r>
        <w:rPr>
          <w:rFonts w:hint="eastAsia" w:ascii="宋体" w:hAnsi="宋体" w:eastAsia="宋体"/>
          <w:color w:val="000000"/>
          <w:szCs w:val="21"/>
        </w:rPr>
        <w:t>点击复制按钮会复制当前的模板内容生成新的模板并进入该模板的编辑页面；</w:t>
      </w:r>
    </w:p>
    <w:p>
      <w:pPr>
        <w:snapToGrid w:val="0"/>
        <w:ind w:firstLine="336"/>
        <w:jc w:val="left"/>
        <w:rPr>
          <w:rFonts w:ascii="宋体" w:hAnsi="宋体" w:eastAsia="宋体"/>
          <w:color w:val="000000"/>
          <w:szCs w:val="21"/>
        </w:rPr>
      </w:pPr>
      <w:r>
        <w:rPr>
          <w:rFonts w:hint="eastAsia" w:ascii="宋体" w:hAnsi="宋体" w:eastAsia="宋体"/>
          <w:color w:val="000000"/>
          <w:szCs w:val="21"/>
        </w:rPr>
        <w:t>点击编辑按钮会进入模板编辑页面；</w:t>
      </w:r>
    </w:p>
    <w:p>
      <w:pPr>
        <w:snapToGrid w:val="0"/>
        <w:ind w:firstLine="336"/>
        <w:jc w:val="left"/>
        <w:rPr>
          <w:rFonts w:hint="eastAsia" w:ascii="宋体" w:hAnsi="宋体" w:eastAsia="宋体"/>
          <w:color w:val="000000"/>
          <w:szCs w:val="21"/>
        </w:rPr>
      </w:pPr>
      <w:r>
        <w:rPr>
          <w:rFonts w:hint="eastAsia" w:ascii="宋体" w:hAnsi="宋体" w:eastAsia="宋体"/>
          <w:color w:val="000000"/>
          <w:szCs w:val="21"/>
        </w:rPr>
        <w:t>点击删除按钮会弹出阻断性提示“模板删除后不能恢复，确认删除吗”，用户确认后会删除选中的模板。</w:t>
      </w:r>
    </w:p>
    <w:p>
      <w:pPr>
        <w:numPr>
          <w:ilvl w:val="0"/>
          <w:numId w:val="4"/>
        </w:numPr>
        <w:snapToGrid w:val="0"/>
        <w:spacing w:before="312" w:beforeLines="100"/>
        <w:ind w:left="336" w:hanging="336" w:hangingChars="160"/>
        <w:jc w:val="left"/>
        <w:rPr>
          <w:rFonts w:asciiTheme="minorEastAsia" w:hAnsiTheme="minorEastAsia"/>
          <w:color w:val="000000"/>
          <w:szCs w:val="21"/>
        </w:rPr>
      </w:pPr>
      <w:r>
        <w:rPr>
          <w:rFonts w:asciiTheme="minorEastAsia" w:hAnsiTheme="minorEastAsia"/>
          <w:color w:val="000000"/>
          <w:szCs w:val="21"/>
        </w:rPr>
        <w:t>问卷模板-新建/编辑模板</w:t>
      </w:r>
    </w:p>
    <w:p>
      <w:pPr>
        <w:snapToGrid w:val="0"/>
        <w:jc w:val="left"/>
        <w:rPr>
          <w:rFonts w:ascii="宋体" w:hAnsi="宋体" w:eastAsia="宋体"/>
          <w:color w:val="000000"/>
          <w:szCs w:val="21"/>
        </w:rPr>
      </w:pPr>
      <w:r>
        <w:drawing>
          <wp:inline distT="0" distB="0" distL="0" distR="0">
            <wp:extent cx="5486400" cy="2071370"/>
            <wp:effectExtent l="0" t="0" r="0" b="508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43"/>
                    <a:stretch>
                      <a:fillRect/>
                    </a:stretch>
                  </pic:blipFill>
                  <pic:spPr>
                    <a:xfrm>
                      <a:off x="0" y="0"/>
                      <a:ext cx="5486400" cy="2071370"/>
                    </a:xfrm>
                    <a:prstGeom prst="rect">
                      <a:avLst/>
                    </a:prstGeom>
                  </pic:spPr>
                </pic:pic>
              </a:graphicData>
            </a:graphic>
          </wp:inline>
        </w:drawing>
      </w:r>
    </w:p>
    <w:p>
      <w:pPr>
        <w:snapToGrid w:val="0"/>
        <w:ind w:firstLine="420"/>
        <w:jc w:val="left"/>
        <w:rPr>
          <w:rFonts w:ascii="宋体" w:hAnsi="宋体" w:eastAsia="宋体"/>
          <w:color w:val="000000"/>
          <w:szCs w:val="21"/>
        </w:rPr>
      </w:pPr>
      <w:r>
        <w:rPr>
          <w:rFonts w:hint="eastAsia" w:ascii="宋体" w:hAnsi="宋体" w:eastAsia="宋体"/>
          <w:color w:val="000000"/>
          <w:szCs w:val="21"/>
        </w:rPr>
        <w:t>点击问卷模板页面的新建模板按钮会跳转到生成模板页面。</w:t>
      </w:r>
    </w:p>
    <w:p>
      <w:pPr>
        <w:snapToGrid w:val="0"/>
        <w:ind w:firstLine="420"/>
        <w:jc w:val="left"/>
        <w:rPr>
          <w:rFonts w:ascii="宋体" w:hAnsi="宋体" w:eastAsia="宋体"/>
          <w:color w:val="000000"/>
          <w:szCs w:val="21"/>
        </w:rPr>
      </w:pPr>
      <w:r>
        <w:rPr>
          <w:rFonts w:hint="eastAsia" w:ascii="宋体" w:hAnsi="宋体" w:eastAsia="宋体"/>
          <w:color w:val="000000"/>
          <w:szCs w:val="21"/>
        </w:rPr>
        <w:t>问卷标题和问卷提示默认有内容且可编辑，页面默认有一个题目的输入组件，点击相应的编辑区域可以填写题目内容，题目说明，设置题目分数；</w:t>
      </w:r>
    </w:p>
    <w:p>
      <w:pPr>
        <w:snapToGrid w:val="0"/>
        <w:ind w:firstLine="420"/>
        <w:jc w:val="left"/>
        <w:rPr>
          <w:rFonts w:ascii="宋体" w:hAnsi="宋体" w:eastAsia="宋体"/>
          <w:color w:val="000000"/>
          <w:szCs w:val="21"/>
        </w:rPr>
      </w:pPr>
      <w:r>
        <w:rPr>
          <w:rFonts w:hint="eastAsia" w:ascii="宋体" w:hAnsi="宋体" w:eastAsia="宋体"/>
          <w:color w:val="000000"/>
          <w:szCs w:val="21"/>
        </w:rPr>
        <w:t>编辑区域右侧有三个按钮，分别是删除、上移、下移，相关控制逻辑如下：</w:t>
      </w:r>
    </w:p>
    <w:p>
      <w:pPr>
        <w:pStyle w:val="16"/>
        <w:numPr>
          <w:ilvl w:val="0"/>
          <w:numId w:val="16"/>
        </w:numPr>
        <w:snapToGrid w:val="0"/>
        <w:ind w:firstLineChars="0"/>
        <w:jc w:val="left"/>
        <w:rPr>
          <w:rFonts w:ascii="宋体" w:hAnsi="宋体" w:eastAsia="宋体"/>
          <w:color w:val="000000"/>
          <w:szCs w:val="21"/>
        </w:rPr>
      </w:pPr>
      <w:r>
        <w:rPr>
          <w:rFonts w:hint="eastAsia" w:ascii="宋体" w:hAnsi="宋体" w:eastAsia="宋体"/>
          <w:color w:val="000000"/>
          <w:szCs w:val="21"/>
        </w:rPr>
        <w:t>删除，当题目仅有一个时，删除按钮禁用；当超过一个问题时，删除可用。</w:t>
      </w:r>
    </w:p>
    <w:p>
      <w:pPr>
        <w:pStyle w:val="16"/>
        <w:numPr>
          <w:ilvl w:val="0"/>
          <w:numId w:val="16"/>
        </w:numPr>
        <w:snapToGrid w:val="0"/>
        <w:ind w:firstLineChars="0"/>
        <w:jc w:val="left"/>
        <w:rPr>
          <w:rFonts w:ascii="宋体" w:hAnsi="宋体" w:eastAsia="宋体"/>
          <w:color w:val="000000"/>
          <w:szCs w:val="21"/>
        </w:rPr>
      </w:pPr>
      <w:r>
        <w:rPr>
          <w:rFonts w:hint="eastAsia" w:ascii="宋体" w:hAnsi="宋体" w:eastAsia="宋体"/>
          <w:color w:val="000000"/>
          <w:szCs w:val="21"/>
        </w:rPr>
        <w:t>上移，第一个题目上移按钮禁用，点击上移按钮会把当前题目和前一个题目互换位置，。</w:t>
      </w:r>
    </w:p>
    <w:p>
      <w:pPr>
        <w:pStyle w:val="16"/>
        <w:numPr>
          <w:ilvl w:val="0"/>
          <w:numId w:val="16"/>
        </w:numPr>
        <w:snapToGrid w:val="0"/>
        <w:ind w:firstLineChars="0"/>
        <w:jc w:val="left"/>
        <w:rPr>
          <w:rFonts w:ascii="宋体" w:hAnsi="宋体" w:eastAsia="宋体"/>
          <w:color w:val="000000"/>
          <w:szCs w:val="21"/>
        </w:rPr>
      </w:pPr>
      <w:r>
        <w:rPr>
          <w:rFonts w:hint="eastAsia" w:ascii="宋体" w:hAnsi="宋体" w:eastAsia="宋体"/>
          <w:color w:val="000000"/>
          <w:szCs w:val="21"/>
        </w:rPr>
        <w:t>下移，最后一个题目下移按钮禁用，点击下移按钮会把当前题目和后一个题目互换位置。</w:t>
      </w:r>
    </w:p>
    <w:p>
      <w:pPr>
        <w:snapToGrid w:val="0"/>
        <w:ind w:firstLine="420"/>
        <w:jc w:val="left"/>
        <w:rPr>
          <w:rFonts w:ascii="宋体" w:hAnsi="宋体" w:eastAsia="宋体"/>
          <w:color w:val="000000"/>
          <w:szCs w:val="21"/>
        </w:rPr>
      </w:pPr>
      <w:r>
        <w:rPr>
          <w:rFonts w:hint="eastAsia" w:ascii="宋体" w:hAnsi="宋体" w:eastAsia="宋体"/>
          <w:color w:val="000000"/>
          <w:szCs w:val="21"/>
        </w:rPr>
        <w:t>编辑区域底部有新增按钮，点击会增加新题目的输入组件（包含题目、分数、说明及控制按钮），同时新增按钮会相应下滑显示在新题目组件的下方。</w:t>
      </w:r>
    </w:p>
    <w:p>
      <w:pPr>
        <w:snapToGrid w:val="0"/>
        <w:ind w:firstLine="420"/>
        <w:jc w:val="left"/>
        <w:rPr>
          <w:rFonts w:ascii="宋体" w:hAnsi="宋体" w:eastAsia="宋体"/>
          <w:color w:val="000000"/>
          <w:szCs w:val="21"/>
        </w:rPr>
      </w:pPr>
      <w:r>
        <w:rPr>
          <w:rFonts w:hint="eastAsia" w:ascii="宋体" w:hAnsi="宋体" w:eastAsia="宋体"/>
          <w:color w:val="000000"/>
          <w:szCs w:val="21"/>
        </w:rPr>
        <w:t>依此类推输入所有的题目，点击底部的“返回”按钮，则跳转问卷模板的列表页；点击“保存”按钮，会校验输入框是否全部录入，问卷模板标题是否已存在（标题需唯一），所有题目分数总和是否为100，若全部校验通过，则新增模板成功，出现成功提示“生成模板成功”，并在1秒后返回问卷模板列表页。</w:t>
      </w:r>
    </w:p>
    <w:p>
      <w:pPr>
        <w:numPr>
          <w:ilvl w:val="0"/>
          <w:numId w:val="4"/>
        </w:numPr>
        <w:snapToGrid w:val="0"/>
        <w:spacing w:before="312" w:beforeLines="100"/>
        <w:ind w:left="336" w:hanging="336" w:hangingChars="160"/>
        <w:jc w:val="left"/>
        <w:rPr>
          <w:rFonts w:asciiTheme="minorEastAsia" w:hAnsiTheme="minorEastAsia"/>
          <w:color w:val="000000"/>
          <w:szCs w:val="21"/>
        </w:rPr>
      </w:pPr>
      <w:r>
        <w:rPr>
          <w:rFonts w:asciiTheme="minorEastAsia" w:hAnsiTheme="minorEastAsia"/>
          <w:color w:val="000000"/>
          <w:szCs w:val="21"/>
        </w:rPr>
        <w:t>问卷管理-列表页</w:t>
      </w:r>
    </w:p>
    <w:p>
      <w:pPr>
        <w:ind w:firstLine="336"/>
      </w:pPr>
      <w:r>
        <w:rPr>
          <w:rFonts w:hint="eastAsia"/>
          <w:lang w:eastAsia="zh-Hans"/>
        </w:rPr>
        <w:t>列表页主要展示问卷评价的基本信息，如序号、考核名称、考核期间、发起人、发起时间、截止时间、权重配比、总人数、已完成评价数以及状态。其中</w:t>
      </w:r>
      <w:r>
        <w:rPr>
          <w:rFonts w:hint="eastAsia"/>
        </w:rPr>
        <w:t>总人数是总共参与评价的人数，已完成是已经完成的人数（用户完成了本次考核所有的评价，即评价都是已评价状态）；问卷状态共有三个，分别为：</w:t>
      </w:r>
    </w:p>
    <w:p>
      <w:pPr>
        <w:pStyle w:val="16"/>
        <w:numPr>
          <w:ilvl w:val="0"/>
          <w:numId w:val="17"/>
        </w:numPr>
        <w:ind w:firstLineChars="0"/>
      </w:pPr>
      <w:r>
        <w:rPr>
          <w:rFonts w:hint="eastAsia"/>
        </w:rPr>
        <w:t>已发布，发起评价后即为已发布状态，此时操作栏展示查看和撤销两个按钮，</w:t>
      </w:r>
    </w:p>
    <w:p>
      <w:pPr>
        <w:pStyle w:val="16"/>
        <w:numPr>
          <w:ilvl w:val="0"/>
          <w:numId w:val="17"/>
        </w:numPr>
        <w:ind w:firstLineChars="0"/>
      </w:pPr>
      <w:r>
        <w:rPr>
          <w:rFonts w:hint="eastAsia"/>
        </w:rPr>
        <w:t>已完成，所有人答完问卷或到达截止时间，则为已完成状态。</w:t>
      </w:r>
    </w:p>
    <w:p>
      <w:pPr>
        <w:pStyle w:val="16"/>
        <w:numPr>
          <w:ilvl w:val="0"/>
          <w:numId w:val="17"/>
        </w:numPr>
        <w:ind w:firstLineChars="0"/>
      </w:pPr>
      <w:r>
        <w:rPr>
          <w:rFonts w:hint="eastAsia"/>
        </w:rPr>
        <w:t>已撤销，即被撤销的考核问卷。</w:t>
      </w:r>
    </w:p>
    <w:p>
      <w:pPr>
        <w:ind w:firstLine="360"/>
      </w:pPr>
      <w:r>
        <w:rPr>
          <w:rFonts w:hint="eastAsia"/>
        </w:rPr>
        <w:t>操作栏按钮：点击“查看”按钮，跳转至评价列表页查看本次考核评分情况；点击“撤销”按钮后弹出阻断性提示“撤销后之前的评价将作废，确定要撤销吗？”，确认后该考核即撤销。</w:t>
      </w:r>
    </w:p>
    <w:p>
      <w:pPr>
        <w:snapToGrid w:val="0"/>
        <w:jc w:val="left"/>
        <w:rPr>
          <w:rFonts w:hint="eastAsia" w:ascii="宋体" w:hAnsi="宋体" w:eastAsia="宋体"/>
          <w:color w:val="000000"/>
          <w:szCs w:val="21"/>
        </w:rPr>
      </w:pPr>
      <w:r>
        <w:rPr>
          <w:rFonts w:ascii="宋体" w:hAnsi="宋体" w:eastAsia="宋体"/>
          <w:color w:val="000000"/>
          <w:szCs w:val="21"/>
        </w:rPr>
        <w:drawing>
          <wp:inline distT="0" distB="0" distL="0" distR="0">
            <wp:extent cx="5486400" cy="275145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4"/>
                    <a:stretch>
                      <a:fillRect/>
                    </a:stretch>
                  </pic:blipFill>
                  <pic:spPr>
                    <a:xfrm>
                      <a:off x="0" y="0"/>
                      <a:ext cx="5486400" cy="2751772"/>
                    </a:xfrm>
                    <a:prstGeom prst="rect">
                      <a:avLst/>
                    </a:prstGeom>
                  </pic:spPr>
                </pic:pic>
              </a:graphicData>
            </a:graphic>
          </wp:inline>
        </w:drawing>
      </w:r>
    </w:p>
    <w:p>
      <w:pPr>
        <w:numPr>
          <w:ilvl w:val="1"/>
          <w:numId w:val="4"/>
        </w:numPr>
        <w:snapToGrid w:val="0"/>
        <w:spacing w:before="312" w:beforeLines="100"/>
        <w:jc w:val="left"/>
        <w:rPr>
          <w:rFonts w:asciiTheme="minorEastAsia" w:hAnsiTheme="minorEastAsia"/>
          <w:color w:val="000000"/>
          <w:szCs w:val="21"/>
        </w:rPr>
      </w:pPr>
      <w:r>
        <w:rPr>
          <w:rFonts w:asciiTheme="minorEastAsia" w:hAnsiTheme="minorEastAsia"/>
          <w:color w:val="000000"/>
          <w:szCs w:val="21"/>
        </w:rPr>
        <w:t>发起</w:t>
      </w:r>
      <w:r>
        <w:rPr>
          <w:rFonts w:hint="eastAsia" w:asciiTheme="minorEastAsia" w:hAnsiTheme="minorEastAsia"/>
          <w:color w:val="000000"/>
          <w:szCs w:val="21"/>
        </w:rPr>
        <w:t>问卷弹窗</w:t>
      </w:r>
    </w:p>
    <w:p>
      <w:pPr>
        <w:snapToGrid w:val="0"/>
        <w:jc w:val="left"/>
        <w:rPr>
          <w:rFonts w:ascii="宋体" w:hAnsi="宋体" w:eastAsia="宋体"/>
          <w:color w:val="000000"/>
          <w:szCs w:val="21"/>
        </w:rPr>
      </w:pPr>
      <w:r>
        <w:drawing>
          <wp:inline distT="0" distB="0" distL="0" distR="0">
            <wp:extent cx="5486400" cy="27051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45"/>
                    <a:stretch>
                      <a:fillRect/>
                    </a:stretch>
                  </pic:blipFill>
                  <pic:spPr>
                    <a:xfrm>
                      <a:off x="0" y="0"/>
                      <a:ext cx="5486400" cy="2705100"/>
                    </a:xfrm>
                    <a:prstGeom prst="rect">
                      <a:avLst/>
                    </a:prstGeom>
                  </pic:spPr>
                </pic:pic>
              </a:graphicData>
            </a:graphic>
          </wp:inline>
        </w:drawing>
      </w:r>
    </w:p>
    <w:p>
      <w:pPr>
        <w:snapToGrid w:val="0"/>
        <w:ind w:firstLine="420"/>
        <w:jc w:val="left"/>
        <w:rPr>
          <w:rFonts w:ascii="宋体" w:hAnsi="宋体" w:eastAsia="宋体"/>
          <w:color w:val="000000"/>
          <w:szCs w:val="21"/>
        </w:rPr>
      </w:pPr>
      <w:r>
        <w:rPr>
          <w:rFonts w:asciiTheme="minorEastAsia" w:hAnsiTheme="minorEastAsia"/>
          <w:color w:val="000000"/>
          <w:szCs w:val="21"/>
        </w:rPr>
        <w:t>发起</w:t>
      </w:r>
      <w:r>
        <w:rPr>
          <w:rFonts w:hint="eastAsia" w:asciiTheme="minorEastAsia" w:hAnsiTheme="minorEastAsia"/>
          <w:color w:val="000000"/>
          <w:szCs w:val="21"/>
        </w:rPr>
        <w:t>问卷弹窗需</w:t>
      </w:r>
      <w:r>
        <w:rPr>
          <w:rFonts w:hint="eastAsia" w:ascii="宋体" w:hAnsi="宋体" w:eastAsia="宋体"/>
          <w:color w:val="000000"/>
          <w:szCs w:val="21"/>
        </w:rPr>
        <w:t>填写考核名称、考核期间、截止日期以及模板和权重。点击“确定”按钮，会校验上述内容是否已录入，权重总和是否为100，若校验通过则发起问卷成功；若权重总和校验未通过则提示“权重总分须等于100，请调整权重分配”。</w:t>
      </w:r>
    </w:p>
    <w:p>
      <w:pPr>
        <w:snapToGrid w:val="0"/>
        <w:ind w:firstLine="420"/>
        <w:jc w:val="left"/>
        <w:rPr>
          <w:rFonts w:hint="eastAsia" w:ascii="宋体" w:hAnsi="宋体" w:eastAsia="宋体"/>
          <w:color w:val="000000"/>
          <w:szCs w:val="21"/>
        </w:rPr>
      </w:pPr>
      <w:r>
        <w:rPr>
          <w:rFonts w:hint="eastAsia" w:ascii="宋体" w:hAnsi="宋体" w:eastAsia="宋体"/>
          <w:color w:val="000000"/>
          <w:szCs w:val="21"/>
        </w:rPr>
        <w:t>发起问卷后，集团公司、直属单位、项目部的所有相关用户都会收到评价提醒，评价的最终分数受该层级分配权重影响。</w:t>
      </w:r>
    </w:p>
    <w:p>
      <w:pPr>
        <w:numPr>
          <w:ilvl w:val="0"/>
          <w:numId w:val="4"/>
        </w:numPr>
        <w:snapToGrid w:val="0"/>
        <w:spacing w:before="312" w:beforeLines="100"/>
        <w:ind w:left="336" w:hanging="336" w:hangingChars="160"/>
        <w:jc w:val="left"/>
        <w:rPr>
          <w:rFonts w:asciiTheme="minorEastAsia" w:hAnsiTheme="minorEastAsia"/>
          <w:color w:val="000000"/>
          <w:szCs w:val="21"/>
        </w:rPr>
      </w:pPr>
      <w:r>
        <w:rPr>
          <w:rFonts w:asciiTheme="minorEastAsia" w:hAnsiTheme="minorEastAsia"/>
          <w:color w:val="000000"/>
          <w:szCs w:val="21"/>
        </w:rPr>
        <w:t>我的评价-列表页</w:t>
      </w:r>
    </w:p>
    <w:p>
      <w:pPr>
        <w:snapToGrid w:val="0"/>
        <w:jc w:val="left"/>
        <w:rPr>
          <w:rFonts w:ascii="宋体" w:hAnsi="宋体" w:eastAsia="宋体"/>
          <w:color w:val="000000"/>
          <w:szCs w:val="21"/>
        </w:rPr>
      </w:pPr>
      <w:r>
        <w:rPr>
          <w:rFonts w:ascii="宋体" w:hAnsi="宋体" w:eastAsia="宋体"/>
          <w:color w:val="000000"/>
          <w:szCs w:val="21"/>
        </w:rPr>
        <w:drawing>
          <wp:inline distT="0" distB="0" distL="0" distR="0">
            <wp:extent cx="5448300" cy="271399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6"/>
                    <a:srcRect t="697"/>
                    <a:stretch>
                      <a:fillRect/>
                    </a:stretch>
                  </pic:blipFill>
                  <pic:spPr>
                    <a:xfrm>
                      <a:off x="0" y="0"/>
                      <a:ext cx="5448300" cy="2714621"/>
                    </a:xfrm>
                    <a:prstGeom prst="rect">
                      <a:avLst/>
                    </a:prstGeom>
                  </pic:spPr>
                </pic:pic>
              </a:graphicData>
            </a:graphic>
          </wp:inline>
        </w:drawing>
      </w:r>
    </w:p>
    <w:p>
      <w:pPr>
        <w:ind w:firstLine="420"/>
        <w:rPr>
          <w:rFonts w:hint="eastAsia"/>
        </w:rPr>
      </w:pPr>
      <w:r>
        <w:rPr>
          <w:rFonts w:hint="eastAsia"/>
        </w:rPr>
        <w:t>页面会显示当前部门的评价历史记录，其中已经评价过的记录在操作栏会显示查看按钮，点击会跳转到完成的问卷详情页面；未评价的记录在操作栏会显示评价按钮，点击评价按钮跳转到待填写的问卷详情页面。如果是项目组用户，列表中还会有一列险种名称的展示。</w:t>
      </w:r>
    </w:p>
    <w:p>
      <w:pPr>
        <w:numPr>
          <w:ilvl w:val="0"/>
          <w:numId w:val="4"/>
        </w:numPr>
        <w:snapToGrid w:val="0"/>
        <w:spacing w:before="312" w:beforeLines="100"/>
        <w:ind w:left="336" w:hanging="336" w:hangingChars="160"/>
        <w:jc w:val="left"/>
        <w:rPr>
          <w:rFonts w:asciiTheme="minorEastAsia" w:hAnsiTheme="minorEastAsia"/>
          <w:color w:val="000000"/>
          <w:szCs w:val="21"/>
        </w:rPr>
      </w:pPr>
      <w:r>
        <w:rPr>
          <w:rFonts w:asciiTheme="minorEastAsia" w:hAnsiTheme="minorEastAsia"/>
          <w:color w:val="000000"/>
          <w:szCs w:val="21"/>
        </w:rPr>
        <w:t>我的评价-</w:t>
      </w:r>
      <w:r>
        <w:rPr>
          <w:rFonts w:hint="eastAsia" w:asciiTheme="minorEastAsia" w:hAnsiTheme="minorEastAsia"/>
          <w:color w:val="000000"/>
          <w:szCs w:val="21"/>
        </w:rPr>
        <w:t>问卷</w:t>
      </w:r>
      <w:r>
        <w:rPr>
          <w:rFonts w:asciiTheme="minorEastAsia" w:hAnsiTheme="minorEastAsia"/>
          <w:color w:val="000000"/>
          <w:szCs w:val="21"/>
        </w:rPr>
        <w:t>评价</w:t>
      </w:r>
      <w:r>
        <w:rPr>
          <w:rFonts w:hint="eastAsia" w:asciiTheme="minorEastAsia" w:hAnsiTheme="minorEastAsia"/>
          <w:color w:val="000000"/>
          <w:szCs w:val="21"/>
        </w:rPr>
        <w:t>（详情页）</w:t>
      </w:r>
    </w:p>
    <w:p>
      <w:pPr>
        <w:snapToGrid w:val="0"/>
        <w:jc w:val="left"/>
        <w:rPr>
          <w:rFonts w:ascii="宋体" w:hAnsi="宋体" w:eastAsia="宋体"/>
          <w:color w:val="000000"/>
          <w:szCs w:val="21"/>
        </w:rPr>
      </w:pPr>
      <w:r>
        <w:rPr>
          <w:rFonts w:ascii="宋体" w:hAnsi="宋体" w:eastAsia="宋体"/>
          <w:color w:val="000000"/>
          <w:szCs w:val="21"/>
        </w:rPr>
        <w:drawing>
          <wp:inline distT="0" distB="0" distL="0" distR="0">
            <wp:extent cx="5486400" cy="275145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7"/>
                    <a:stretch>
                      <a:fillRect/>
                    </a:stretch>
                  </pic:blipFill>
                  <pic:spPr>
                    <a:xfrm>
                      <a:off x="0" y="0"/>
                      <a:ext cx="5486400" cy="2751772"/>
                    </a:xfrm>
                    <a:prstGeom prst="rect">
                      <a:avLst/>
                    </a:prstGeom>
                  </pic:spPr>
                </pic:pic>
              </a:graphicData>
            </a:graphic>
          </wp:inline>
        </w:drawing>
      </w:r>
    </w:p>
    <w:p>
      <w:pPr>
        <w:snapToGrid w:val="0"/>
        <w:ind w:firstLine="420"/>
        <w:jc w:val="left"/>
        <w:rPr>
          <w:rFonts w:ascii="宋体" w:hAnsi="宋体" w:eastAsia="宋体"/>
          <w:color w:val="000000"/>
          <w:szCs w:val="21"/>
        </w:rPr>
      </w:pPr>
      <w:r>
        <w:rPr>
          <w:rFonts w:hint="eastAsia" w:ascii="宋体" w:hAnsi="宋体" w:eastAsia="宋体"/>
          <w:color w:val="000000"/>
          <w:szCs w:val="21"/>
        </w:rPr>
        <w:t>详情页头部会显示考核期间，待评价的保险公司名称，如果是项目部还会展示评价险种（一切险、三者险/团意险、安责险）。点击页面底部的“确定”按钮会校验题目分数是否录入，录入总分是否为100分，若校验通过则出现提示“评价提交后不能修改，确认提交吗？”，点击确定后即完成此次评价，并在成功提示语出现1秒后返回列表页。</w:t>
      </w:r>
    </w:p>
    <w:p>
      <w:pPr>
        <w:numPr>
          <w:ilvl w:val="0"/>
          <w:numId w:val="4"/>
        </w:numPr>
        <w:snapToGrid w:val="0"/>
        <w:spacing w:before="312" w:beforeLines="100"/>
        <w:ind w:left="336" w:hanging="336" w:hangingChars="160"/>
        <w:jc w:val="left"/>
        <w:rPr>
          <w:rFonts w:asciiTheme="minorEastAsia" w:hAnsiTheme="minorEastAsia"/>
          <w:color w:val="000000"/>
          <w:szCs w:val="21"/>
        </w:rPr>
      </w:pPr>
      <w:r>
        <w:rPr>
          <w:rFonts w:asciiTheme="minorEastAsia" w:hAnsiTheme="minorEastAsia"/>
          <w:color w:val="000000"/>
          <w:szCs w:val="21"/>
        </w:rPr>
        <w:t>评价列表</w:t>
      </w:r>
    </w:p>
    <w:p>
      <w:pPr>
        <w:snapToGrid w:val="0"/>
        <w:jc w:val="left"/>
        <w:rPr>
          <w:rFonts w:ascii="宋体" w:hAnsi="宋体" w:eastAsia="宋体"/>
          <w:color w:val="000000"/>
          <w:szCs w:val="21"/>
        </w:rPr>
      </w:pPr>
      <w:r>
        <w:rPr>
          <w:rFonts w:ascii="宋体" w:hAnsi="宋体" w:eastAsia="宋体"/>
          <w:color w:val="000000"/>
          <w:szCs w:val="21"/>
        </w:rPr>
        <w:drawing>
          <wp:inline distT="0" distB="0" distL="0" distR="0">
            <wp:extent cx="5486400" cy="274701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8"/>
                    <a:stretch>
                      <a:fillRect/>
                    </a:stretch>
                  </pic:blipFill>
                  <pic:spPr>
                    <a:xfrm>
                      <a:off x="0" y="0"/>
                      <a:ext cx="5486400" cy="2747486"/>
                    </a:xfrm>
                    <a:prstGeom prst="rect">
                      <a:avLst/>
                    </a:prstGeom>
                  </pic:spPr>
                </pic:pic>
              </a:graphicData>
            </a:graphic>
          </wp:inline>
        </w:drawing>
      </w:r>
    </w:p>
    <w:p>
      <w:pPr>
        <w:ind w:firstLine="420"/>
        <w:rPr>
          <w:rFonts w:hint="eastAsia"/>
        </w:rPr>
      </w:pPr>
      <w:r>
        <w:rPr>
          <w:rFonts w:hint="eastAsia"/>
        </w:rPr>
        <w:t>页面展示某次考核评价的统计结果，默认为最近发起的一次考核，展示内容包括保险公司评分的排名以及各个机构下用户的评价情况。</w:t>
      </w:r>
    </w:p>
    <w:p>
      <w:pPr>
        <w:ind w:firstLine="420"/>
      </w:pPr>
      <w:r>
        <w:rPr>
          <w:rFonts w:hint="eastAsia"/>
        </w:rPr>
        <w:t>点击考核名称的下拉选择框可以选择之前发起的考核名称，选中以后页面的数据会随之刷新。部门选择框旁边展示的是该层级的评价数据，包括所有参与评价的人数和已经评级的人数，其中已经评价是指该次考核用户的所有平均都是已评价状态。</w:t>
      </w:r>
    </w:p>
    <w:p>
      <w:pPr>
        <w:ind w:firstLine="420"/>
      </w:pPr>
      <w:r>
        <w:rPr>
          <w:rFonts w:hint="eastAsia"/>
        </w:rPr>
        <w:t>下面的列表是各个不同层级部门的评价记录，如果是项目部还要增加险种信息的展示，列表按照已完成-待评价的顺序展示。点击查看按钮可以查看问卷详情。</w:t>
      </w:r>
    </w:p>
    <w:p>
      <w:pPr>
        <w:rPr>
          <w:rFonts w:hint="eastAsia"/>
        </w:rPr>
      </w:pPr>
      <w:r>
        <w:rPr>
          <w:rFonts w:hint="eastAsia"/>
        </w:rPr>
        <w:t>注：评价分数每天统计一次。</w:t>
      </w:r>
    </w:p>
    <w:p>
      <w:pPr>
        <w:pStyle w:val="4"/>
        <w:numPr>
          <w:ilvl w:val="2"/>
          <w:numId w:val="1"/>
        </w:numPr>
        <w:snapToGrid w:val="0"/>
        <w:ind w:left="1560" w:leftChars="400" w:hanging="720"/>
        <w:rPr>
          <w:rFonts w:ascii="黑体" w:hAnsi="黑体" w:eastAsia="黑体"/>
          <w:sz w:val="21"/>
          <w:szCs w:val="21"/>
        </w:rPr>
      </w:pPr>
      <w:bookmarkStart w:id="36" w:name="_Toc73560983"/>
      <w:r>
        <w:rPr>
          <w:rFonts w:ascii="黑体" w:hAnsi="黑体" w:eastAsia="黑体"/>
          <w:sz w:val="21"/>
          <w:szCs w:val="21"/>
        </w:rPr>
        <w:t>流程图</w:t>
      </w:r>
      <w:bookmarkEnd w:id="36"/>
    </w:p>
    <w:p>
      <w:pPr>
        <w:numPr>
          <w:ilvl w:val="0"/>
          <w:numId w:val="4"/>
        </w:numPr>
        <w:snapToGrid w:val="0"/>
        <w:spacing w:before="312" w:beforeLines="100"/>
        <w:ind w:left="336" w:hanging="336" w:hangingChars="160"/>
        <w:jc w:val="left"/>
        <w:rPr>
          <w:rFonts w:asciiTheme="minorEastAsia" w:hAnsiTheme="minorEastAsia"/>
          <w:color w:val="000000"/>
          <w:szCs w:val="21"/>
        </w:rPr>
      </w:pPr>
      <w:r>
        <w:rPr>
          <w:rFonts w:asciiTheme="minorEastAsia" w:hAnsiTheme="minorEastAsia"/>
          <w:color w:val="000000"/>
          <w:szCs w:val="21"/>
        </w:rPr>
        <w:t>履约评价主流程</w:t>
      </w:r>
    </w:p>
    <w:p>
      <w:pPr>
        <w:ind w:firstLine="420"/>
      </w:pPr>
      <w:r>
        <w:rPr>
          <w:rFonts w:hint="eastAsia"/>
        </w:rPr>
        <w:t>首先由集团公司账号配置问卷模板，其次录入考核期间、截至日期并给各个层级分配模板和权重后发起评价，并给所有用户发送评价提醒。</w:t>
      </w:r>
    </w:p>
    <w:p>
      <w:pPr>
        <w:ind w:firstLine="420"/>
      </w:pPr>
      <w:r>
        <w:rPr>
          <w:rFonts w:hint="eastAsia"/>
        </w:rPr>
        <w:t>收到提醒的用户可在“我的评价”里查看待评价的问卷，点击“评价”按钮即可指定保险公司开始填写问卷。问卷填写完毕且校验通过后，将返回列表页，可选择评价其他保险的问卷继续进行，当所有问卷都评价完成，此次考核即结束。</w:t>
      </w:r>
    </w:p>
    <w:p>
      <w:pPr>
        <w:ind w:firstLine="420"/>
        <w:rPr>
          <w:rFonts w:hint="eastAsia"/>
        </w:rPr>
      </w:pPr>
      <w:r>
        <w:rPr>
          <w:rFonts w:hint="eastAsia"/>
        </w:rPr>
        <w:t>考核结果每日统计一次，仅集团公司账号可在“评价列表”进行查看。</w:t>
      </w:r>
    </w:p>
    <w:p>
      <w:pPr>
        <w:snapToGrid w:val="0"/>
        <w:jc w:val="left"/>
        <w:rPr>
          <w:rFonts w:ascii="宋体" w:hAnsi="宋体" w:eastAsia="宋体"/>
          <w:color w:val="000000"/>
          <w:szCs w:val="21"/>
        </w:rPr>
      </w:pPr>
      <w:r>
        <w:rPr>
          <w:rFonts w:ascii="宋体" w:hAnsi="宋体" w:eastAsia="宋体"/>
          <w:color w:val="000000"/>
          <w:szCs w:val="21"/>
        </w:rPr>
        <w:drawing>
          <wp:inline distT="0" distB="0" distL="0" distR="0">
            <wp:extent cx="2657475" cy="50482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9"/>
                    <a:stretch>
                      <a:fillRect/>
                    </a:stretch>
                  </pic:blipFill>
                  <pic:spPr>
                    <a:xfrm>
                      <a:off x="0" y="0"/>
                      <a:ext cx="2657475" cy="5048250"/>
                    </a:xfrm>
                    <a:prstGeom prst="rect">
                      <a:avLst/>
                    </a:prstGeom>
                  </pic:spPr>
                </pic:pic>
              </a:graphicData>
            </a:graphic>
          </wp:inline>
        </w:drawing>
      </w:r>
    </w:p>
    <w:p>
      <w:pPr>
        <w:numPr>
          <w:ilvl w:val="0"/>
          <w:numId w:val="4"/>
        </w:numPr>
        <w:snapToGrid w:val="0"/>
        <w:spacing w:before="312" w:beforeLines="100"/>
        <w:ind w:left="336" w:hanging="336" w:hangingChars="160"/>
        <w:jc w:val="left"/>
        <w:rPr>
          <w:rFonts w:asciiTheme="minorEastAsia" w:hAnsiTheme="minorEastAsia"/>
          <w:color w:val="000000"/>
          <w:szCs w:val="21"/>
        </w:rPr>
      </w:pPr>
      <w:r>
        <w:rPr>
          <w:rFonts w:asciiTheme="minorEastAsia" w:hAnsiTheme="minorEastAsia"/>
          <w:color w:val="000000"/>
          <w:szCs w:val="21"/>
        </w:rPr>
        <w:t>修改模板</w:t>
      </w:r>
    </w:p>
    <w:p>
      <w:pPr>
        <w:ind w:firstLine="420"/>
        <w:rPr>
          <w:rFonts w:hint="eastAsia"/>
        </w:rPr>
      </w:pPr>
      <w:r>
        <w:rPr>
          <w:rFonts w:hint="eastAsia"/>
        </w:rPr>
        <w:t>通过模板id查询相关信息，从层级问卷表查询数据判断该模板是否被使用。若未使用，则可在该模板上直接进行修改；若已使用，则当前模板不做其他操作，增加一条新的数据。</w:t>
      </w:r>
    </w:p>
    <w:p>
      <w:pPr>
        <w:snapToGrid w:val="0"/>
        <w:jc w:val="left"/>
        <w:rPr>
          <w:rFonts w:ascii="宋体" w:hAnsi="宋体" w:eastAsia="宋体"/>
          <w:color w:val="000000"/>
          <w:szCs w:val="21"/>
        </w:rPr>
      </w:pPr>
      <w:r>
        <w:rPr>
          <w:rFonts w:ascii="宋体" w:hAnsi="宋体" w:eastAsia="宋体"/>
          <w:color w:val="000000"/>
          <w:szCs w:val="21"/>
        </w:rPr>
        <w:drawing>
          <wp:inline distT="0" distB="0" distL="0" distR="0">
            <wp:extent cx="5486400" cy="28714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50"/>
                    <a:stretch>
                      <a:fillRect/>
                    </a:stretch>
                  </pic:blipFill>
                  <pic:spPr>
                    <a:xfrm>
                      <a:off x="0" y="0"/>
                      <a:ext cx="5486400" cy="2871841"/>
                    </a:xfrm>
                    <a:prstGeom prst="rect">
                      <a:avLst/>
                    </a:prstGeom>
                  </pic:spPr>
                </pic:pic>
              </a:graphicData>
            </a:graphic>
          </wp:inline>
        </w:drawing>
      </w:r>
    </w:p>
    <w:p>
      <w:pPr>
        <w:numPr>
          <w:ilvl w:val="0"/>
          <w:numId w:val="4"/>
        </w:numPr>
        <w:snapToGrid w:val="0"/>
        <w:spacing w:before="312" w:beforeLines="100"/>
        <w:ind w:left="336" w:hanging="336" w:hangingChars="160"/>
        <w:jc w:val="left"/>
        <w:rPr>
          <w:rFonts w:asciiTheme="minorEastAsia" w:hAnsiTheme="minorEastAsia"/>
          <w:color w:val="000000"/>
          <w:szCs w:val="21"/>
        </w:rPr>
      </w:pPr>
      <w:r>
        <w:rPr>
          <w:rFonts w:asciiTheme="minorEastAsia" w:hAnsiTheme="minorEastAsia"/>
          <w:color w:val="000000"/>
          <w:szCs w:val="21"/>
        </w:rPr>
        <w:t>删除模板</w:t>
      </w:r>
    </w:p>
    <w:p>
      <w:pPr>
        <w:ind w:firstLine="420"/>
        <w:rPr>
          <w:rFonts w:hint="eastAsia"/>
        </w:rPr>
      </w:pPr>
      <w:r>
        <w:rPr>
          <w:rFonts w:hint="eastAsia"/>
        </w:rPr>
        <w:t>通过模板id查询相关信息，判断模板是否被使用。若已使用则隐藏“删除”按钮，无法进行删除操作；若未被使用，则将模板与其关联的题目一并删除。</w:t>
      </w:r>
    </w:p>
    <w:p>
      <w:pPr>
        <w:snapToGrid w:val="0"/>
        <w:jc w:val="left"/>
        <w:rPr>
          <w:rFonts w:ascii="宋体" w:hAnsi="宋体" w:eastAsia="宋体"/>
          <w:color w:val="000000"/>
          <w:szCs w:val="21"/>
        </w:rPr>
      </w:pPr>
      <w:r>
        <w:rPr>
          <w:rFonts w:ascii="宋体" w:hAnsi="宋体" w:eastAsia="宋体"/>
          <w:color w:val="000000"/>
          <w:szCs w:val="21"/>
        </w:rPr>
        <w:drawing>
          <wp:inline distT="0" distB="0" distL="0" distR="0">
            <wp:extent cx="5476875" cy="37909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51"/>
                    <a:stretch>
                      <a:fillRect/>
                    </a:stretch>
                  </pic:blipFill>
                  <pic:spPr>
                    <a:xfrm>
                      <a:off x="0" y="0"/>
                      <a:ext cx="5476875" cy="3790950"/>
                    </a:xfrm>
                    <a:prstGeom prst="rect">
                      <a:avLst/>
                    </a:prstGeom>
                  </pic:spPr>
                </pic:pic>
              </a:graphicData>
            </a:graphic>
          </wp:inline>
        </w:drawing>
      </w:r>
    </w:p>
    <w:p>
      <w:pPr>
        <w:numPr>
          <w:ilvl w:val="0"/>
          <w:numId w:val="4"/>
        </w:numPr>
        <w:snapToGrid w:val="0"/>
        <w:spacing w:before="312" w:beforeLines="100"/>
        <w:ind w:left="336" w:hanging="336" w:hangingChars="160"/>
        <w:jc w:val="left"/>
        <w:rPr>
          <w:rFonts w:asciiTheme="minorEastAsia" w:hAnsiTheme="minorEastAsia"/>
          <w:color w:val="000000"/>
          <w:szCs w:val="21"/>
        </w:rPr>
      </w:pPr>
      <w:r>
        <w:rPr>
          <w:rFonts w:asciiTheme="minorEastAsia" w:hAnsiTheme="minorEastAsia"/>
          <w:color w:val="000000"/>
          <w:szCs w:val="21"/>
        </w:rPr>
        <w:t>发起评价</w:t>
      </w:r>
    </w:p>
    <w:p>
      <w:pPr>
        <w:ind w:firstLine="420"/>
      </w:pPr>
      <w:r>
        <w:rPr>
          <w:rFonts w:hint="eastAsia"/>
        </w:rPr>
        <w:t>发起评价前由集团公司账号进行配置，并在问卷库中添加问卷记录，向所有收到问卷的账号发送消息提醒与待办。</w:t>
      </w:r>
    </w:p>
    <w:p>
      <w:pPr>
        <w:snapToGrid w:val="0"/>
        <w:jc w:val="left"/>
        <w:rPr>
          <w:rFonts w:ascii="宋体" w:hAnsi="宋体" w:eastAsia="宋体"/>
          <w:color w:val="000000"/>
          <w:szCs w:val="21"/>
        </w:rPr>
      </w:pPr>
      <w:r>
        <w:rPr>
          <w:rFonts w:ascii="宋体" w:hAnsi="宋体" w:eastAsia="宋体"/>
          <w:color w:val="000000"/>
          <w:szCs w:val="21"/>
        </w:rPr>
        <w:drawing>
          <wp:inline distT="0" distB="0" distL="0" distR="0">
            <wp:extent cx="4419600" cy="496252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52"/>
                    <a:stretch>
                      <a:fillRect/>
                    </a:stretch>
                  </pic:blipFill>
                  <pic:spPr>
                    <a:xfrm>
                      <a:off x="0" y="0"/>
                      <a:ext cx="4419600" cy="4962525"/>
                    </a:xfrm>
                    <a:prstGeom prst="rect">
                      <a:avLst/>
                    </a:prstGeom>
                  </pic:spPr>
                </pic:pic>
              </a:graphicData>
            </a:graphic>
          </wp:inline>
        </w:drawing>
      </w:r>
    </w:p>
    <w:p>
      <w:pPr>
        <w:numPr>
          <w:ilvl w:val="0"/>
          <w:numId w:val="4"/>
        </w:numPr>
        <w:snapToGrid w:val="0"/>
        <w:spacing w:before="312" w:beforeLines="100"/>
        <w:ind w:left="336" w:hanging="336" w:hangingChars="160"/>
        <w:jc w:val="left"/>
        <w:rPr>
          <w:rFonts w:hint="eastAsia" w:asciiTheme="minorEastAsia" w:hAnsiTheme="minorEastAsia"/>
          <w:color w:val="000000"/>
          <w:szCs w:val="21"/>
        </w:rPr>
      </w:pPr>
      <w:r>
        <w:rPr>
          <w:rFonts w:asciiTheme="minorEastAsia" w:hAnsiTheme="minorEastAsia"/>
          <w:color w:val="000000"/>
          <w:szCs w:val="21"/>
        </w:rPr>
        <w:t>确认问卷</w:t>
      </w:r>
    </w:p>
    <w:p>
      <w:pPr>
        <w:snapToGrid w:val="0"/>
        <w:jc w:val="left"/>
        <w:rPr>
          <w:rFonts w:ascii="宋体" w:hAnsi="宋体" w:eastAsia="宋体"/>
          <w:color w:val="000000"/>
          <w:szCs w:val="21"/>
        </w:rPr>
      </w:pPr>
      <w:r>
        <w:rPr>
          <w:rFonts w:ascii="宋体" w:hAnsi="宋体" w:eastAsia="宋体"/>
          <w:color w:val="000000"/>
          <w:szCs w:val="21"/>
        </w:rPr>
        <w:drawing>
          <wp:inline distT="0" distB="0" distL="0" distR="0">
            <wp:extent cx="4266565" cy="564769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53"/>
                    <a:srcRect l="1089" t="1167" r="1308"/>
                    <a:stretch>
                      <a:fillRect/>
                    </a:stretch>
                  </pic:blipFill>
                  <pic:spPr>
                    <a:xfrm>
                      <a:off x="0" y="0"/>
                      <a:ext cx="4267178" cy="5648305"/>
                    </a:xfrm>
                    <a:prstGeom prst="rect">
                      <a:avLst/>
                    </a:prstGeom>
                  </pic:spPr>
                </pic:pic>
              </a:graphicData>
            </a:graphic>
          </wp:inline>
        </w:drawing>
      </w:r>
    </w:p>
    <w:p>
      <w:pPr>
        <w:numPr>
          <w:ilvl w:val="0"/>
          <w:numId w:val="4"/>
        </w:numPr>
        <w:snapToGrid w:val="0"/>
        <w:spacing w:before="312" w:beforeLines="100"/>
        <w:ind w:left="336" w:hanging="336" w:hangingChars="160"/>
        <w:jc w:val="left"/>
        <w:rPr>
          <w:rFonts w:asciiTheme="minorEastAsia" w:hAnsiTheme="minorEastAsia"/>
          <w:color w:val="000000"/>
          <w:szCs w:val="21"/>
        </w:rPr>
      </w:pPr>
      <w:r>
        <w:rPr>
          <w:rFonts w:asciiTheme="minorEastAsia" w:hAnsiTheme="minorEastAsia"/>
          <w:color w:val="000000"/>
          <w:szCs w:val="21"/>
        </w:rPr>
        <w:t>填写问卷</w:t>
      </w:r>
    </w:p>
    <w:p>
      <w:pPr>
        <w:ind w:firstLine="420"/>
        <w:rPr>
          <w:rFonts w:hint="eastAsia"/>
        </w:rPr>
      </w:pPr>
      <w:r>
        <w:rPr>
          <w:rFonts w:hint="eastAsia"/>
        </w:rPr>
        <w:t>问卷由各个层级的用户填写，填写完成后在答题表中新增评价结果信息如用户id、评价时间、单题分数、总分等，同时更新答卷信息与问卷记录，最后更新待办信息（已评价问卷将从待办中移除）。</w:t>
      </w:r>
    </w:p>
    <w:p>
      <w:pPr>
        <w:snapToGrid w:val="0"/>
        <w:jc w:val="left"/>
        <w:rPr>
          <w:rFonts w:ascii="宋体" w:hAnsi="宋体" w:eastAsia="宋体"/>
          <w:color w:val="000000"/>
          <w:szCs w:val="21"/>
        </w:rPr>
      </w:pPr>
      <w:r>
        <w:rPr>
          <w:rFonts w:ascii="宋体" w:hAnsi="宋体" w:eastAsia="宋体"/>
          <w:color w:val="000000"/>
          <w:szCs w:val="21"/>
        </w:rPr>
        <w:drawing>
          <wp:inline distT="0" distB="0" distL="0" distR="0">
            <wp:extent cx="1571625" cy="461962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54"/>
                    <a:stretch>
                      <a:fillRect/>
                    </a:stretch>
                  </pic:blipFill>
                  <pic:spPr>
                    <a:xfrm>
                      <a:off x="0" y="0"/>
                      <a:ext cx="1571625" cy="4619625"/>
                    </a:xfrm>
                    <a:prstGeom prst="rect">
                      <a:avLst/>
                    </a:prstGeom>
                  </pic:spPr>
                </pic:pic>
              </a:graphicData>
            </a:graphic>
          </wp:inline>
        </w:drawing>
      </w:r>
    </w:p>
    <w:p>
      <w:pPr>
        <w:numPr>
          <w:ilvl w:val="0"/>
          <w:numId w:val="4"/>
        </w:numPr>
        <w:snapToGrid w:val="0"/>
        <w:spacing w:before="312" w:beforeLines="100"/>
        <w:ind w:left="336" w:hanging="336" w:hangingChars="160"/>
        <w:jc w:val="left"/>
        <w:rPr>
          <w:rFonts w:asciiTheme="minorEastAsia" w:hAnsiTheme="minorEastAsia"/>
          <w:color w:val="000000"/>
          <w:szCs w:val="21"/>
        </w:rPr>
      </w:pPr>
      <w:r>
        <w:rPr>
          <w:rFonts w:asciiTheme="minorEastAsia" w:hAnsiTheme="minorEastAsia"/>
          <w:color w:val="000000"/>
          <w:szCs w:val="21"/>
        </w:rPr>
        <w:t>保司综合得分计算</w:t>
      </w:r>
    </w:p>
    <w:p>
      <w:pPr>
        <w:ind w:firstLine="336"/>
      </w:pPr>
      <w:r>
        <w:rPr>
          <w:rFonts w:hint="eastAsia"/>
        </w:rPr>
        <w:t>通过问卷id查出所有保险公司，再根据保险公司机构与问卷id查询所有答卷与模板的对应的权重信息；根据不同机构与权重计算总的加权平均值，最后更新数据库即结束。</w:t>
      </w:r>
    </w:p>
    <w:p>
      <w:pPr>
        <w:ind w:firstLine="420"/>
      </w:pPr>
      <w:r>
        <w:rPr>
          <w:rFonts w:hint="eastAsia"/>
        </w:rPr>
        <w:t>计算方式为（分数1*权重1 + 分数2*权重2 + … + 分数N*权重N）/（权重1 +权重2 + … + 权重N）</w:t>
      </w:r>
    </w:p>
    <w:p>
      <w:pPr>
        <w:rPr>
          <w:rFonts w:hint="eastAsia"/>
        </w:rPr>
      </w:pPr>
      <w:r>
        <w:rPr>
          <w:rFonts w:hint="eastAsia"/>
        </w:rPr>
        <w:t>注：分数是每个问卷的评分数，权重是在发起评价时手动输入的权重比例。</w:t>
      </w:r>
    </w:p>
    <w:p>
      <w:pPr>
        <w:snapToGrid w:val="0"/>
        <w:jc w:val="left"/>
        <w:rPr>
          <w:rFonts w:ascii="宋体" w:hAnsi="宋体" w:eastAsia="宋体"/>
          <w:color w:val="000000"/>
          <w:szCs w:val="21"/>
        </w:rPr>
      </w:pPr>
      <w:r>
        <w:rPr>
          <w:rFonts w:ascii="宋体" w:hAnsi="宋体" w:eastAsia="宋体"/>
          <w:color w:val="000000"/>
          <w:szCs w:val="21"/>
        </w:rPr>
        <w:drawing>
          <wp:inline distT="0" distB="0" distL="0" distR="0">
            <wp:extent cx="3019425" cy="578167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55"/>
                    <a:stretch>
                      <a:fillRect/>
                    </a:stretch>
                  </pic:blipFill>
                  <pic:spPr>
                    <a:xfrm>
                      <a:off x="0" y="0"/>
                      <a:ext cx="3019425" cy="5781675"/>
                    </a:xfrm>
                    <a:prstGeom prst="rect">
                      <a:avLst/>
                    </a:prstGeom>
                  </pic:spPr>
                </pic:pic>
              </a:graphicData>
            </a:graphic>
          </wp:inline>
        </w:drawing>
      </w:r>
    </w:p>
    <w:p>
      <w:pPr>
        <w:pStyle w:val="3"/>
        <w:numPr>
          <w:ilvl w:val="1"/>
          <w:numId w:val="1"/>
        </w:numPr>
        <w:snapToGrid w:val="0"/>
        <w:ind w:left="996" w:leftChars="200" w:hanging="576"/>
        <w:rPr>
          <w:rFonts w:ascii="黑体" w:hAnsi="黑体" w:eastAsia="黑体"/>
          <w:sz w:val="28"/>
          <w:szCs w:val="28"/>
        </w:rPr>
      </w:pPr>
      <w:bookmarkStart w:id="37" w:name="_Toc73560984"/>
      <w:r>
        <w:rPr>
          <w:rFonts w:ascii="黑体" w:hAnsi="黑体" w:eastAsia="黑体"/>
          <w:sz w:val="28"/>
          <w:szCs w:val="28"/>
        </w:rPr>
        <w:t>报表统计设计</w:t>
      </w:r>
      <w:bookmarkEnd w:id="37"/>
    </w:p>
    <w:p>
      <w:pPr>
        <w:pStyle w:val="4"/>
        <w:numPr>
          <w:ilvl w:val="2"/>
          <w:numId w:val="1"/>
        </w:numPr>
        <w:snapToGrid w:val="0"/>
        <w:ind w:left="1560" w:leftChars="400" w:hanging="720"/>
        <w:rPr>
          <w:rFonts w:ascii="黑体" w:hAnsi="黑体" w:eastAsia="黑体"/>
          <w:sz w:val="21"/>
          <w:szCs w:val="21"/>
        </w:rPr>
      </w:pPr>
      <w:bookmarkStart w:id="38" w:name="_Toc73560985"/>
      <w:r>
        <w:rPr>
          <w:rFonts w:ascii="黑体" w:hAnsi="黑体" w:eastAsia="黑体"/>
          <w:sz w:val="21"/>
          <w:szCs w:val="21"/>
        </w:rPr>
        <w:t>功能概述</w:t>
      </w:r>
      <w:bookmarkEnd w:id="38"/>
    </w:p>
    <w:p>
      <w:pPr>
        <w:ind w:firstLine="420" w:firstLineChars="200"/>
        <w:jc w:val="left"/>
        <w:rPr>
          <w:rFonts w:ascii="宋体" w:hAnsi="宋体" w:eastAsia="宋体"/>
          <w:color w:val="000000"/>
          <w:szCs w:val="21"/>
        </w:rPr>
      </w:pPr>
    </w:p>
    <w:p>
      <w:pPr>
        <w:ind w:firstLine="420" w:firstLineChars="200"/>
        <w:jc w:val="left"/>
        <w:rPr>
          <w:rFonts w:ascii="宋体" w:hAnsi="宋体" w:eastAsia="宋体"/>
          <w:color w:val="000000"/>
          <w:szCs w:val="21"/>
        </w:rPr>
      </w:pPr>
      <w:r>
        <w:rPr>
          <w:rFonts w:ascii="宋体" w:hAnsi="宋体" w:eastAsia="宋体"/>
          <w:color w:val="000000"/>
          <w:szCs w:val="21"/>
        </w:rPr>
        <w:t>系统提供报表统计功能，方便集团及下属成员单位对保费和伤亡、防灾防损基金统计数据进行分析，为各级机构提供精准的风险评估，为下一年度的投保计划提供数据支撑。</w:t>
      </w:r>
    </w:p>
    <w:p>
      <w:pPr>
        <w:ind w:firstLine="420" w:firstLineChars="200"/>
        <w:jc w:val="left"/>
        <w:rPr>
          <w:rFonts w:ascii="宋体" w:hAnsi="宋体" w:eastAsia="宋体"/>
          <w:color w:val="000000"/>
          <w:szCs w:val="21"/>
        </w:rPr>
      </w:pPr>
      <w:r>
        <w:rPr>
          <w:rFonts w:hint="eastAsia" w:ascii="宋体" w:hAnsi="宋体" w:eastAsia="宋体"/>
          <w:color w:val="000000"/>
          <w:szCs w:val="21"/>
        </w:rPr>
        <w:t>报表统计有4个子菜单，分别为保费统计、理赔统计、伤亡统计和防灾防损基金统计，点击子菜单会进入相应的统计页面。</w:t>
      </w:r>
    </w:p>
    <w:p>
      <w:pPr>
        <w:spacing w:before="120"/>
        <w:ind w:firstLine="420"/>
      </w:pPr>
      <w:r>
        <w:rPr>
          <w:rFonts w:hint="eastAsia" w:ascii="宋体" w:hAnsi="宋体" w:eastAsia="宋体"/>
          <w:color w:val="000000"/>
          <w:szCs w:val="21"/>
        </w:rPr>
        <w:t>各个统计页面上面可以选择保险日期范围，格式为 xxxx-xx-xx，如 2020-12-01，时间范围最大为一年。根据保险公司（中国平安、北部湾、人保）和直属单位、项目部进行筛选，点击查询按钮，即可</w:t>
      </w:r>
      <w:r>
        <w:rPr>
          <w:rFonts w:hint="eastAsia"/>
        </w:rPr>
        <w:t>根据保险日期来筛选查询全量数据；点击“导出”按钮，即可生成Excel文件，下载当前页面的所有数据。</w:t>
      </w:r>
    </w:p>
    <w:p>
      <w:pPr>
        <w:pStyle w:val="4"/>
        <w:numPr>
          <w:ilvl w:val="2"/>
          <w:numId w:val="1"/>
        </w:numPr>
        <w:snapToGrid w:val="0"/>
        <w:ind w:left="1560" w:leftChars="400" w:hanging="720"/>
        <w:rPr>
          <w:rFonts w:ascii="黑体" w:hAnsi="黑体" w:eastAsia="黑体"/>
          <w:sz w:val="21"/>
          <w:szCs w:val="21"/>
        </w:rPr>
      </w:pPr>
      <w:bookmarkStart w:id="39" w:name="_Toc73560986"/>
      <w:r>
        <w:rPr>
          <w:rFonts w:ascii="黑体" w:hAnsi="黑体" w:eastAsia="黑体"/>
          <w:sz w:val="21"/>
          <w:szCs w:val="21"/>
        </w:rPr>
        <w:t>界面</w:t>
      </w:r>
      <w:bookmarkEnd w:id="39"/>
    </w:p>
    <w:p>
      <w:pPr>
        <w:numPr>
          <w:ilvl w:val="0"/>
          <w:numId w:val="4"/>
        </w:numPr>
        <w:snapToGrid w:val="0"/>
        <w:spacing w:before="312" w:beforeLines="100"/>
        <w:ind w:left="336" w:hanging="336" w:hangingChars="160"/>
        <w:jc w:val="left"/>
        <w:rPr>
          <w:rFonts w:asciiTheme="minorEastAsia" w:hAnsiTheme="minorEastAsia"/>
          <w:color w:val="000000"/>
          <w:szCs w:val="21"/>
        </w:rPr>
      </w:pPr>
      <w:r>
        <w:rPr>
          <w:rFonts w:asciiTheme="minorEastAsia" w:hAnsiTheme="minorEastAsia"/>
          <w:color w:val="000000"/>
          <w:szCs w:val="21"/>
        </w:rPr>
        <w:t>保费统计</w:t>
      </w:r>
    </w:p>
    <w:p>
      <w:pPr>
        <w:snapToGrid w:val="0"/>
        <w:jc w:val="left"/>
        <w:rPr>
          <w:rFonts w:ascii="微软雅黑" w:hAnsi="微软雅黑" w:eastAsia="微软雅黑"/>
          <w:color w:val="000000"/>
          <w:szCs w:val="21"/>
        </w:rPr>
      </w:pPr>
      <w:r>
        <w:rPr>
          <w:rFonts w:ascii="微软雅黑" w:hAnsi="微软雅黑" w:eastAsia="微软雅黑"/>
          <w:color w:val="000000"/>
          <w:szCs w:val="21"/>
        </w:rPr>
        <w:drawing>
          <wp:inline distT="0" distB="0" distL="0" distR="0">
            <wp:extent cx="5486400" cy="274701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56"/>
                    <a:stretch>
                      <a:fillRect/>
                    </a:stretch>
                  </pic:blipFill>
                  <pic:spPr>
                    <a:xfrm>
                      <a:off x="0" y="0"/>
                      <a:ext cx="5486400" cy="2747486"/>
                    </a:xfrm>
                    <a:prstGeom prst="rect">
                      <a:avLst/>
                    </a:prstGeom>
                  </pic:spPr>
                </pic:pic>
              </a:graphicData>
            </a:graphic>
          </wp:inline>
        </w:drawing>
      </w:r>
    </w:p>
    <w:p>
      <w:pPr>
        <w:snapToGrid w:val="0"/>
        <w:jc w:val="left"/>
        <w:rPr>
          <w:rFonts w:ascii="微软雅黑" w:hAnsi="微软雅黑" w:eastAsia="微软雅黑"/>
          <w:color w:val="000000"/>
          <w:szCs w:val="21"/>
        </w:rPr>
      </w:pPr>
      <w:r>
        <w:rPr>
          <w:rFonts w:ascii="微软雅黑" w:hAnsi="微软雅黑" w:eastAsia="微软雅黑"/>
          <w:color w:val="000000"/>
          <w:szCs w:val="21"/>
        </w:rPr>
        <w:drawing>
          <wp:inline distT="0" distB="0" distL="0" distR="0">
            <wp:extent cx="5486400" cy="275145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57"/>
                    <a:stretch>
                      <a:fillRect/>
                    </a:stretch>
                  </pic:blipFill>
                  <pic:spPr>
                    <a:xfrm>
                      <a:off x="0" y="0"/>
                      <a:ext cx="5486400" cy="2751772"/>
                    </a:xfrm>
                    <a:prstGeom prst="rect">
                      <a:avLst/>
                    </a:prstGeom>
                  </pic:spPr>
                </pic:pic>
              </a:graphicData>
            </a:graphic>
          </wp:inline>
        </w:drawing>
      </w:r>
    </w:p>
    <w:p>
      <w:pPr>
        <w:spacing w:before="120"/>
        <w:ind w:firstLine="420"/>
        <w:rPr>
          <w:rFonts w:hint="eastAsia"/>
        </w:rPr>
      </w:pPr>
      <w:r>
        <w:rPr>
          <w:rFonts w:hint="eastAsia"/>
        </w:rPr>
        <w:t>保费统计以“项目+保险公司”为维度，可查询单个直属单位和项目组的保费信息。直属公司与项目部由系统判断带出或手动选择，且直属单位为空时，项目组部选择器禁用。</w:t>
      </w:r>
    </w:p>
    <w:p>
      <w:pPr>
        <w:rPr>
          <w:rFonts w:hint="eastAsia"/>
        </w:rPr>
      </w:pPr>
      <w:r>
        <w:rPr>
          <w:rFonts w:hint="eastAsia"/>
        </w:rPr>
        <w:t>注：首次进入页面展示数据为空，点击查询按钮后显示该登录账号下的所有数据。</w:t>
      </w:r>
    </w:p>
    <w:p>
      <w:pPr>
        <w:numPr>
          <w:ilvl w:val="0"/>
          <w:numId w:val="4"/>
        </w:numPr>
        <w:snapToGrid w:val="0"/>
        <w:spacing w:before="312" w:beforeLines="100"/>
        <w:ind w:left="336" w:hanging="336" w:hangingChars="160"/>
        <w:jc w:val="left"/>
        <w:rPr>
          <w:rFonts w:asciiTheme="minorEastAsia" w:hAnsiTheme="minorEastAsia"/>
          <w:color w:val="000000"/>
          <w:szCs w:val="21"/>
        </w:rPr>
      </w:pPr>
      <w:r>
        <w:rPr>
          <w:rFonts w:asciiTheme="minorEastAsia" w:hAnsiTheme="minorEastAsia"/>
          <w:color w:val="000000"/>
          <w:szCs w:val="21"/>
        </w:rPr>
        <w:t>理赔统计</w:t>
      </w:r>
    </w:p>
    <w:p>
      <w:pPr>
        <w:snapToGrid w:val="0"/>
        <w:jc w:val="left"/>
        <w:rPr>
          <w:rFonts w:ascii="微软雅黑" w:hAnsi="微软雅黑" w:eastAsia="微软雅黑"/>
          <w:color w:val="000000"/>
          <w:szCs w:val="21"/>
        </w:rPr>
      </w:pPr>
      <w:r>
        <w:rPr>
          <w:rFonts w:ascii="微软雅黑" w:hAnsi="微软雅黑" w:eastAsia="微软雅黑"/>
          <w:color w:val="000000"/>
          <w:szCs w:val="21"/>
        </w:rPr>
        <w:drawing>
          <wp:inline distT="0" distB="0" distL="0" distR="0">
            <wp:extent cx="5486400" cy="275145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58"/>
                    <a:stretch>
                      <a:fillRect/>
                    </a:stretch>
                  </pic:blipFill>
                  <pic:spPr>
                    <a:xfrm>
                      <a:off x="0" y="0"/>
                      <a:ext cx="5486400" cy="2751772"/>
                    </a:xfrm>
                    <a:prstGeom prst="rect">
                      <a:avLst/>
                    </a:prstGeom>
                  </pic:spPr>
                </pic:pic>
              </a:graphicData>
            </a:graphic>
          </wp:inline>
        </w:drawing>
      </w:r>
    </w:p>
    <w:p>
      <w:pPr>
        <w:ind w:firstLine="420"/>
        <w:rPr>
          <w:rFonts w:hint="eastAsia"/>
        </w:rPr>
      </w:pPr>
      <w:r>
        <w:rPr>
          <w:rFonts w:hint="eastAsia"/>
        </w:rPr>
        <w:t>理赔统计主要展示保单理赔状态的更新时间以及该理赔结点持续了多少天，以便于更直观的查看保险理赔在哪一个流程进度缓慢，是否需要催促办理。</w:t>
      </w:r>
    </w:p>
    <w:p>
      <w:pPr>
        <w:numPr>
          <w:ilvl w:val="0"/>
          <w:numId w:val="4"/>
        </w:numPr>
        <w:snapToGrid w:val="0"/>
        <w:spacing w:before="312" w:beforeLines="100"/>
        <w:ind w:left="336" w:hanging="336" w:hangingChars="160"/>
        <w:jc w:val="left"/>
        <w:rPr>
          <w:rFonts w:asciiTheme="minorEastAsia" w:hAnsiTheme="minorEastAsia"/>
          <w:color w:val="000000"/>
          <w:szCs w:val="21"/>
        </w:rPr>
      </w:pPr>
      <w:r>
        <w:rPr>
          <w:rFonts w:asciiTheme="minorEastAsia" w:hAnsiTheme="minorEastAsia"/>
          <w:color w:val="000000"/>
          <w:szCs w:val="21"/>
        </w:rPr>
        <w:t>伤亡统计</w:t>
      </w:r>
    </w:p>
    <w:p>
      <w:pPr>
        <w:snapToGrid w:val="0"/>
        <w:jc w:val="left"/>
        <w:rPr>
          <w:rFonts w:ascii="微软雅黑" w:hAnsi="微软雅黑" w:eastAsia="微软雅黑"/>
          <w:color w:val="000000"/>
          <w:szCs w:val="21"/>
        </w:rPr>
      </w:pPr>
      <w:r>
        <w:rPr>
          <w:rFonts w:ascii="微软雅黑" w:hAnsi="微软雅黑" w:eastAsia="微软雅黑"/>
          <w:color w:val="000000"/>
          <w:szCs w:val="21"/>
        </w:rPr>
        <w:drawing>
          <wp:inline distT="0" distB="0" distL="0" distR="0">
            <wp:extent cx="5448300" cy="273367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59"/>
                    <a:srcRect t="347"/>
                    <a:stretch>
                      <a:fillRect/>
                    </a:stretch>
                  </pic:blipFill>
                  <pic:spPr>
                    <a:xfrm>
                      <a:off x="0" y="0"/>
                      <a:ext cx="5448300" cy="2733681"/>
                    </a:xfrm>
                    <a:prstGeom prst="rect">
                      <a:avLst/>
                    </a:prstGeom>
                  </pic:spPr>
                </pic:pic>
              </a:graphicData>
            </a:graphic>
          </wp:inline>
        </w:drawing>
      </w:r>
    </w:p>
    <w:p>
      <w:pPr>
        <w:ind w:firstLine="420"/>
        <w:rPr>
          <w:rFonts w:hint="eastAsia"/>
        </w:rPr>
      </w:pPr>
      <w:r>
        <w:rPr>
          <w:rFonts w:hint="eastAsia"/>
        </w:rPr>
        <w:t>伤亡统计页面主要展示了伤亡信息统计。根据页面的保险公司、直属单位、项目部和保险日期筛选条件来进行查询信息。其中所属劳务公司就是劳务队，伤亡人数=受伤人数+死亡人数。数据来源于公司报案的时候录入的伤亡信息，以及伤亡人员对应的劳务队信息。</w:t>
      </w:r>
    </w:p>
    <w:p>
      <w:pPr>
        <w:numPr>
          <w:ilvl w:val="0"/>
          <w:numId w:val="4"/>
        </w:numPr>
        <w:snapToGrid w:val="0"/>
        <w:spacing w:before="312" w:beforeLines="100"/>
        <w:ind w:left="336" w:hanging="336" w:hangingChars="160"/>
        <w:jc w:val="left"/>
        <w:rPr>
          <w:rFonts w:asciiTheme="minorEastAsia" w:hAnsiTheme="minorEastAsia"/>
          <w:color w:val="000000"/>
          <w:szCs w:val="21"/>
        </w:rPr>
      </w:pPr>
      <w:r>
        <w:rPr>
          <w:rFonts w:asciiTheme="minorEastAsia" w:hAnsiTheme="minorEastAsia"/>
          <w:color w:val="000000"/>
          <w:szCs w:val="21"/>
        </w:rPr>
        <w:t>防灾防损基金统计</w:t>
      </w:r>
    </w:p>
    <w:p>
      <w:pPr>
        <w:rPr>
          <w:rFonts w:hint="eastAsia"/>
        </w:rPr>
      </w:pPr>
      <w:r>
        <w:rPr>
          <w:rFonts w:ascii="宋体" w:hAnsi="宋体" w:eastAsia="宋体"/>
          <w:color w:val="000000"/>
          <w:szCs w:val="21"/>
        </w:rPr>
        <w:drawing>
          <wp:inline distT="0" distB="0" distL="0" distR="0">
            <wp:extent cx="5486400" cy="275145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60"/>
                    <a:stretch>
                      <a:fillRect/>
                    </a:stretch>
                  </pic:blipFill>
                  <pic:spPr>
                    <a:xfrm>
                      <a:off x="0" y="0"/>
                      <a:ext cx="5486400" cy="2751455"/>
                    </a:xfrm>
                    <a:prstGeom prst="rect">
                      <a:avLst/>
                    </a:prstGeom>
                  </pic:spPr>
                </pic:pic>
              </a:graphicData>
            </a:graphic>
          </wp:inline>
        </w:drawing>
      </w:r>
    </w:p>
    <w:p>
      <w:pPr>
        <w:ind w:firstLine="420"/>
      </w:pPr>
      <w:r>
        <w:rPr>
          <w:rFonts w:hint="eastAsia"/>
        </w:rPr>
        <w:t>防灾防损基金统计页面同样根据保险公司、直属单位、项目部和保险日期点击查询按钮进行查询，统计展示保单的各项保费与基金金额。</w:t>
      </w:r>
    </w:p>
    <w:p>
      <w:pPr>
        <w:ind w:firstLine="420"/>
        <w:rPr>
          <w:rFonts w:hint="eastAsia" w:ascii="宋体" w:hAnsi="宋体" w:eastAsia="宋体"/>
          <w:color w:val="000000"/>
          <w:szCs w:val="21"/>
        </w:rPr>
      </w:pPr>
      <w:r>
        <w:rPr>
          <w:rFonts w:hint="eastAsia"/>
        </w:rPr>
        <w:t>注：可计提防灾防损基金由保险公司提供，已使用的基金数据是系统保司端录入，这里做累计显示。</w:t>
      </w:r>
    </w:p>
    <w:p>
      <w:pPr>
        <w:pStyle w:val="2"/>
        <w:numPr>
          <w:ilvl w:val="0"/>
          <w:numId w:val="1"/>
        </w:numPr>
        <w:snapToGrid w:val="0"/>
        <w:ind w:hanging="431"/>
        <w:rPr>
          <w:rFonts w:ascii="仿宋" w:hAnsi="仿宋" w:eastAsia="仿宋"/>
        </w:rPr>
      </w:pPr>
      <w:bookmarkStart w:id="40" w:name="_Toc73560987"/>
      <w:r>
        <w:rPr>
          <w:rFonts w:ascii="仿宋" w:hAnsi="仿宋" w:eastAsia="仿宋"/>
        </w:rPr>
        <w:t>数据库表结构设计</w:t>
      </w:r>
      <w:bookmarkEnd w:id="40"/>
    </w:p>
    <w:p>
      <w:r>
        <w:rPr>
          <w:rFonts w:hint="eastAsia"/>
        </w:rPr>
        <w:t>该部分仅粗略展示部分</w:t>
      </w:r>
      <w:r>
        <w:t>库表结构</w:t>
      </w:r>
      <w:r>
        <w:rPr>
          <w:rFonts w:hint="eastAsia"/>
        </w:rPr>
        <w:t>图，更多详细信息请见数据库设计说明书</w:t>
      </w:r>
      <w:r>
        <w:t>。</w:t>
      </w:r>
    </w:p>
    <w:p>
      <w:pPr>
        <w:pStyle w:val="3"/>
        <w:numPr>
          <w:ilvl w:val="1"/>
          <w:numId w:val="1"/>
        </w:numPr>
        <w:snapToGrid w:val="0"/>
        <w:ind w:left="996" w:leftChars="200" w:hanging="576"/>
        <w:rPr>
          <w:rFonts w:ascii="黑体" w:hAnsi="黑体" w:eastAsia="黑体"/>
          <w:sz w:val="28"/>
          <w:szCs w:val="28"/>
        </w:rPr>
      </w:pPr>
      <w:bookmarkStart w:id="41" w:name="_Toc73560988"/>
      <w:r>
        <w:rPr>
          <w:rFonts w:ascii="黑体" w:hAnsi="黑体" w:eastAsia="黑体"/>
          <w:sz w:val="28"/>
          <w:szCs w:val="28"/>
        </w:rPr>
        <w:t>消息中心模块</w:t>
      </w:r>
      <w:bookmarkEnd w:id="41"/>
    </w:p>
    <w:p>
      <w:pPr>
        <w:snapToGrid w:val="0"/>
        <w:ind w:left="840" w:leftChars="200" w:hanging="420" w:hangingChars="200"/>
        <w:jc w:val="left"/>
        <w:rPr>
          <w:rFonts w:ascii="黑体" w:hAnsi="黑体" w:eastAsia="黑体"/>
          <w:color w:val="000000"/>
          <w:sz w:val="32"/>
          <w:szCs w:val="32"/>
        </w:rPr>
      </w:pPr>
      <w:r>
        <w:rPr>
          <w:rFonts w:ascii="微软雅黑" w:hAnsi="微软雅黑" w:eastAsia="微软雅黑"/>
          <w:color w:val="000000"/>
          <w:szCs w:val="21"/>
        </w:rPr>
        <w:drawing>
          <wp:inline distT="0" distB="0" distL="0" distR="0">
            <wp:extent cx="5486400" cy="207073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61"/>
                    <a:srcRect l="350" t="1370" r="1398" b="1826"/>
                    <a:stretch>
                      <a:fillRect/>
                    </a:stretch>
                  </pic:blipFill>
                  <pic:spPr>
                    <a:xfrm>
                      <a:off x="0" y="0"/>
                      <a:ext cx="5486400" cy="2070779"/>
                    </a:xfrm>
                    <a:prstGeom prst="rect">
                      <a:avLst/>
                    </a:prstGeom>
                  </pic:spPr>
                </pic:pic>
              </a:graphicData>
            </a:graphic>
          </wp:inline>
        </w:drawing>
      </w:r>
    </w:p>
    <w:p>
      <w:pPr>
        <w:pStyle w:val="3"/>
        <w:numPr>
          <w:ilvl w:val="1"/>
          <w:numId w:val="1"/>
        </w:numPr>
        <w:snapToGrid w:val="0"/>
        <w:ind w:left="996" w:leftChars="200" w:hanging="576"/>
        <w:rPr>
          <w:rFonts w:ascii="黑体" w:hAnsi="黑体" w:eastAsia="黑体"/>
          <w:sz w:val="28"/>
          <w:szCs w:val="28"/>
        </w:rPr>
      </w:pPr>
      <w:bookmarkStart w:id="42" w:name="_Toc73560989"/>
      <w:r>
        <w:rPr>
          <w:rFonts w:ascii="黑体" w:hAnsi="黑体" w:eastAsia="黑体"/>
          <w:sz w:val="28"/>
          <w:szCs w:val="28"/>
        </w:rPr>
        <w:t>履约评价模块</w:t>
      </w:r>
      <w:bookmarkEnd w:id="42"/>
    </w:p>
    <w:p>
      <w:pPr>
        <w:snapToGrid w:val="0"/>
        <w:ind w:firstLine="420" w:firstLineChars="200"/>
        <w:jc w:val="left"/>
        <w:rPr>
          <w:rFonts w:ascii="微软雅黑" w:hAnsi="微软雅黑" w:eastAsia="微软雅黑"/>
          <w:color w:val="000000"/>
          <w:szCs w:val="21"/>
        </w:rPr>
      </w:pPr>
      <w:r>
        <w:rPr>
          <w:rFonts w:ascii="微软雅黑" w:hAnsi="微软雅黑" w:eastAsia="微软雅黑"/>
          <w:color w:val="000000"/>
          <w:szCs w:val="21"/>
        </w:rPr>
        <w:drawing>
          <wp:inline distT="0" distB="0" distL="0" distR="0">
            <wp:extent cx="5486400" cy="336677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62"/>
                    <a:srcRect r="874" b="1416"/>
                    <a:stretch>
                      <a:fillRect/>
                    </a:stretch>
                  </pic:blipFill>
                  <pic:spPr>
                    <a:xfrm>
                      <a:off x="0" y="0"/>
                      <a:ext cx="5486400" cy="3367337"/>
                    </a:xfrm>
                    <a:prstGeom prst="rect">
                      <a:avLst/>
                    </a:prstGeom>
                  </pic:spPr>
                </pic:pic>
              </a:graphicData>
            </a:graphic>
          </wp:inline>
        </w:drawing>
      </w:r>
    </w:p>
    <w:sectPr>
      <w:footerReference r:id="rId7" w:type="default"/>
      <w:pgSz w:w="12240" w:h="15840"/>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仿宋">
    <w:panose1 w:val="02010609060101010101"/>
    <w:charset w:val="86"/>
    <w:family w:val="modern"/>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tabs>
        <w:tab w:val="left" w:pos="3810"/>
        <w:tab w:val="clear" w:pos="4153"/>
        <w:tab w:val="clear" w:pos="8306"/>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60111587"/>
      <w:docPartObj>
        <w:docPartGallery w:val="autotext"/>
      </w:docPartObj>
    </w:sdtPr>
    <w:sdtContent>
      <w:p>
        <w:pPr>
          <w:pStyle w:val="6"/>
          <w:jc w:val="center"/>
        </w:pPr>
        <w:r>
          <w:fldChar w:fldCharType="begin"/>
        </w:r>
        <w:r>
          <w:instrText xml:space="preserve">PAGE   \* MERGEFORMAT</w:instrText>
        </w:r>
        <w:r>
          <w:fldChar w:fldCharType="separate"/>
        </w:r>
        <w:r>
          <w:rPr>
            <w:lang w:val="zh-CN"/>
          </w:rPr>
          <w:t>2</w:t>
        </w:r>
        <w:r>
          <w:fldChar w:fldCharType="end"/>
        </w:r>
      </w:p>
    </w:sdtContent>
  </w:sdt>
  <w:p>
    <w:pPr>
      <w:pStyle w:val="6"/>
      <w:tabs>
        <w:tab w:val="left" w:pos="3810"/>
        <w:tab w:val="clear" w:pos="4153"/>
        <w:tab w:val="clear" w:pos="8306"/>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91839736"/>
      <w:docPartObj>
        <w:docPartGallery w:val="autotext"/>
      </w:docPartObj>
    </w:sdtPr>
    <w:sdtContent>
      <w:p>
        <w:pPr>
          <w:pStyle w:val="6"/>
          <w:jc w:val="center"/>
          <w:rPr>
            <w:rFonts w:hint="eastAsia"/>
          </w:rPr>
        </w:pPr>
        <w:r>
          <w:fldChar w:fldCharType="begin"/>
        </w:r>
        <w:r>
          <w:instrText xml:space="preserve">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5FF074E"/>
    <w:multiLevelType w:val="multilevel"/>
    <w:tmpl w:val="15FF074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229E3614"/>
    <w:multiLevelType w:val="multilevel"/>
    <w:tmpl w:val="229E361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287D76DE"/>
    <w:multiLevelType w:val="multilevel"/>
    <w:tmpl w:val="287D76D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2B1C7F0E"/>
    <w:multiLevelType w:val="multilevel"/>
    <w:tmpl w:val="2B1C7F0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2CED3DD3"/>
    <w:multiLevelType w:val="multilevel"/>
    <w:tmpl w:val="2CED3DD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31D626FB"/>
    <w:multiLevelType w:val="multilevel"/>
    <w:tmpl w:val="31D626F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40C91B17"/>
    <w:multiLevelType w:val="multilevel"/>
    <w:tmpl w:val="40C91B1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44622BF2"/>
    <w:multiLevelType w:val="multilevel"/>
    <w:tmpl w:val="44622BF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4A99191B"/>
    <w:multiLevelType w:val="multilevel"/>
    <w:tmpl w:val="4A99191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53983DDA"/>
    <w:multiLevelType w:val="multilevel"/>
    <w:tmpl w:val="53983DDA"/>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5710542F"/>
    <w:multiLevelType w:val="multilevel"/>
    <w:tmpl w:val="5710542F"/>
    <w:lvl w:ilvl="0" w:tentative="0">
      <w:start w:val="1"/>
      <w:numFmt w:val="decimal"/>
      <w:lvlText w:val="%1"/>
      <w:lvlJc w:val="left"/>
      <w:pPr>
        <w:ind w:left="420" w:hanging="420"/>
      </w:pPr>
      <w:rPr>
        <w:rFonts w:hint="default" w:ascii="仿宋" w:hAnsi="仿宋" w:eastAsia="仿宋"/>
        <w:bCs/>
        <w:sz w:val="36"/>
        <w:szCs w:val="36"/>
      </w:rPr>
    </w:lvl>
    <w:lvl w:ilvl="1" w:tentative="0">
      <w:start w:val="1"/>
      <w:numFmt w:val="decimal"/>
      <w:lvlText w:val="%1.%2"/>
      <w:lvlJc w:val="left"/>
      <w:pPr>
        <w:ind w:left="840" w:hanging="420"/>
      </w:pPr>
      <w:rPr>
        <w:rFonts w:hint="default" w:ascii="仿宋" w:hAnsi="仿宋" w:eastAsia="仿宋"/>
        <w:bCs/>
        <w:sz w:val="32"/>
        <w:szCs w:val="32"/>
      </w:rPr>
    </w:lvl>
    <w:lvl w:ilvl="2" w:tentative="0">
      <w:start w:val="1"/>
      <w:numFmt w:val="decimal"/>
      <w:lvlText w:val="%1.%2.%3"/>
      <w:lvlJc w:val="left"/>
      <w:pPr>
        <w:ind w:left="1260" w:hanging="420"/>
      </w:pPr>
      <w:rPr>
        <w:rFonts w:hint="default" w:ascii="仿宋" w:hAnsi="仿宋" w:eastAsia="仿宋"/>
        <w:bCs/>
        <w:sz w:val="28"/>
        <w:szCs w:val="28"/>
      </w:rPr>
    </w:lvl>
    <w:lvl w:ilvl="3" w:tentative="0">
      <w:start w:val="1"/>
      <w:numFmt w:val="decimal"/>
      <w:lvlText w:val="%1.%2.%3.%4"/>
      <w:lvlJc w:val="left"/>
      <w:pPr>
        <w:ind w:left="1680" w:hanging="420"/>
      </w:pPr>
      <w:rPr>
        <w:rFonts w:hint="default" w:ascii="仿宋" w:hAnsi="仿宋" w:eastAsia="仿宋"/>
        <w:bCs/>
        <w:sz w:val="24"/>
        <w:szCs w:val="24"/>
      </w:rPr>
    </w:lvl>
    <w:lvl w:ilvl="4" w:tentative="0">
      <w:start w:val="1"/>
      <w:numFmt w:val="decimal"/>
      <w:lvlText w:val="%1.%2.%3.%4.%5"/>
      <w:lvlJc w:val="left"/>
      <w:pPr>
        <w:ind w:left="2100" w:hanging="420"/>
      </w:pPr>
      <w:rPr>
        <w:rFonts w:hint="default" w:ascii="仿宋" w:hAnsi="仿宋" w:eastAsia="仿宋"/>
        <w:b/>
        <w:bCs/>
        <w:sz w:val="22"/>
        <w:szCs w:val="22"/>
      </w:rPr>
    </w:lvl>
    <w:lvl w:ilvl="5" w:tentative="0">
      <w:start w:val="1"/>
      <w:numFmt w:val="decimal"/>
      <w:lvlText w:val="%1.%2.%3.%4.%5.%6"/>
      <w:lvlJc w:val="left"/>
      <w:pPr>
        <w:ind w:left="2520" w:hanging="420"/>
      </w:pPr>
      <w:rPr>
        <w:rFonts w:hint="default" w:ascii="仿宋" w:hAnsi="仿宋" w:eastAsia="仿宋"/>
        <w:bCs/>
      </w:rPr>
    </w:lvl>
    <w:lvl w:ilvl="6" w:tentative="0">
      <w:start w:val="1"/>
      <w:numFmt w:val="decimal"/>
      <w:lvlText w:val="%1.%2.%3.%4.%5.%6.%7"/>
      <w:lvlJc w:val="left"/>
      <w:pPr>
        <w:ind w:left="2940" w:hanging="420"/>
      </w:pPr>
      <w:rPr>
        <w:rFonts w:hint="default" w:ascii="仿宋" w:hAnsi="仿宋" w:eastAsia="仿宋"/>
        <w:bCs/>
      </w:rPr>
    </w:lvl>
    <w:lvl w:ilvl="7" w:tentative="0">
      <w:start w:val="1"/>
      <w:numFmt w:val="decimal"/>
      <w:lvlText w:val="%1.%2.%3.%4.%5.%6.%7.%8"/>
      <w:lvlJc w:val="left"/>
      <w:pPr>
        <w:ind w:left="3360" w:hanging="420"/>
      </w:pPr>
      <w:rPr>
        <w:rFonts w:hint="default" w:ascii="仿宋" w:hAnsi="仿宋" w:eastAsia="仿宋"/>
        <w:bCs/>
      </w:rPr>
    </w:lvl>
    <w:lvl w:ilvl="8" w:tentative="0">
      <w:start w:val="1"/>
      <w:numFmt w:val="decimal"/>
      <w:lvlText w:val="%1.%2.%3.%4.%5.%6.%7.%8.%9"/>
      <w:lvlJc w:val="left"/>
      <w:pPr>
        <w:ind w:left="3780" w:hanging="420"/>
      </w:pPr>
      <w:rPr>
        <w:rFonts w:hint="default" w:ascii="仿宋" w:hAnsi="仿宋" w:eastAsia="仿宋"/>
        <w:bCs/>
      </w:rPr>
    </w:lvl>
  </w:abstractNum>
  <w:abstractNum w:abstractNumId="11">
    <w:nsid w:val="57E710A2"/>
    <w:multiLevelType w:val="multilevel"/>
    <w:tmpl w:val="57E710A2"/>
    <w:lvl w:ilvl="0" w:tentative="0">
      <w:start w:val="1"/>
      <w:numFmt w:val="bullet"/>
      <w:lvlText w:val=""/>
      <w:lvlJc w:val="left"/>
      <w:pPr>
        <w:ind w:left="420" w:hanging="420"/>
      </w:pPr>
      <w:rPr>
        <w:rFonts w:hint="default" w:ascii="Wingdings" w:hAnsi="Wingdings" w:eastAsia="Wingdings"/>
        <w:bCs/>
      </w:rPr>
    </w:lvl>
    <w:lvl w:ilvl="1" w:tentative="0">
      <w:start w:val="1"/>
      <w:numFmt w:val="bullet"/>
      <w:lvlText w:val=""/>
      <w:lvlJc w:val="left"/>
      <w:pPr>
        <w:ind w:left="840" w:hanging="420"/>
      </w:pPr>
      <w:rPr>
        <w:rFonts w:hint="default" w:ascii="Wingdings" w:hAnsi="Wingdings" w:eastAsia="Wingdings"/>
        <w:bCs/>
      </w:rPr>
    </w:lvl>
    <w:lvl w:ilvl="2" w:tentative="0">
      <w:start w:val="1"/>
      <w:numFmt w:val="bullet"/>
      <w:lvlText w:val=""/>
      <w:lvlJc w:val="left"/>
      <w:pPr>
        <w:ind w:left="1260" w:hanging="420"/>
      </w:pPr>
      <w:rPr>
        <w:rFonts w:hint="default" w:ascii="Wingdings" w:hAnsi="Wingdings" w:eastAsia="Wingdings"/>
        <w:bCs/>
      </w:rPr>
    </w:lvl>
    <w:lvl w:ilvl="3" w:tentative="0">
      <w:start w:val="1"/>
      <w:numFmt w:val="bullet"/>
      <w:lvlText w:val=""/>
      <w:lvlJc w:val="left"/>
      <w:pPr>
        <w:ind w:left="1680" w:hanging="420"/>
      </w:pPr>
      <w:rPr>
        <w:rFonts w:hint="default" w:ascii="Wingdings" w:hAnsi="Wingdings" w:eastAsia="Wingdings"/>
        <w:bCs/>
      </w:rPr>
    </w:lvl>
    <w:lvl w:ilvl="4" w:tentative="0">
      <w:start w:val="1"/>
      <w:numFmt w:val="bullet"/>
      <w:lvlText w:val=""/>
      <w:lvlJc w:val="left"/>
      <w:pPr>
        <w:ind w:left="2100" w:hanging="420"/>
      </w:pPr>
      <w:rPr>
        <w:rFonts w:hint="default" w:ascii="Wingdings" w:hAnsi="Wingdings" w:eastAsia="Wingdings"/>
        <w:bCs/>
      </w:rPr>
    </w:lvl>
    <w:lvl w:ilvl="5" w:tentative="0">
      <w:start w:val="1"/>
      <w:numFmt w:val="bullet"/>
      <w:lvlText w:val=""/>
      <w:lvlJc w:val="left"/>
      <w:pPr>
        <w:ind w:left="2520" w:hanging="420"/>
      </w:pPr>
      <w:rPr>
        <w:rFonts w:hint="default" w:ascii="Wingdings" w:hAnsi="Wingdings" w:eastAsia="Wingdings"/>
        <w:bCs/>
      </w:rPr>
    </w:lvl>
    <w:lvl w:ilvl="6" w:tentative="0">
      <w:start w:val="1"/>
      <w:numFmt w:val="bullet"/>
      <w:lvlText w:val=""/>
      <w:lvlJc w:val="left"/>
      <w:pPr>
        <w:ind w:left="2940" w:hanging="420"/>
      </w:pPr>
      <w:rPr>
        <w:rFonts w:hint="default" w:ascii="Wingdings" w:hAnsi="Wingdings" w:eastAsia="Wingdings"/>
        <w:bCs/>
      </w:rPr>
    </w:lvl>
    <w:lvl w:ilvl="7" w:tentative="0">
      <w:start w:val="1"/>
      <w:numFmt w:val="bullet"/>
      <w:lvlText w:val=""/>
      <w:lvlJc w:val="left"/>
      <w:pPr>
        <w:ind w:left="3360" w:hanging="420"/>
      </w:pPr>
      <w:rPr>
        <w:rFonts w:hint="default" w:ascii="Wingdings" w:hAnsi="Wingdings" w:eastAsia="Wingdings"/>
        <w:bCs/>
      </w:rPr>
    </w:lvl>
    <w:lvl w:ilvl="8" w:tentative="0">
      <w:start w:val="0"/>
      <w:numFmt w:val="decimal"/>
      <w:lvlText w:val=""/>
      <w:lvlJc w:val="left"/>
    </w:lvl>
  </w:abstractNum>
  <w:abstractNum w:abstractNumId="12">
    <w:nsid w:val="5F9355DA"/>
    <w:multiLevelType w:val="multilevel"/>
    <w:tmpl w:val="5F9355D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715E7E61"/>
    <w:multiLevelType w:val="multilevel"/>
    <w:tmpl w:val="715E7E6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74CF0C0B"/>
    <w:multiLevelType w:val="multilevel"/>
    <w:tmpl w:val="74CF0C0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7DE51E66"/>
    <w:multiLevelType w:val="multilevel"/>
    <w:tmpl w:val="7DE51E6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7EC7776C"/>
    <w:multiLevelType w:val="multilevel"/>
    <w:tmpl w:val="7EC7776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0"/>
  </w:num>
  <w:num w:numId="2">
    <w:abstractNumId w:val="9"/>
  </w:num>
  <w:num w:numId="3">
    <w:abstractNumId w:val="2"/>
  </w:num>
  <w:num w:numId="4">
    <w:abstractNumId w:val="11"/>
  </w:num>
  <w:num w:numId="5">
    <w:abstractNumId w:val="12"/>
  </w:num>
  <w:num w:numId="6">
    <w:abstractNumId w:val="3"/>
  </w:num>
  <w:num w:numId="7">
    <w:abstractNumId w:val="13"/>
  </w:num>
  <w:num w:numId="8">
    <w:abstractNumId w:val="1"/>
  </w:num>
  <w:num w:numId="9">
    <w:abstractNumId w:val="0"/>
  </w:num>
  <w:num w:numId="10">
    <w:abstractNumId w:val="4"/>
  </w:num>
  <w:num w:numId="11">
    <w:abstractNumId w:val="8"/>
  </w:num>
  <w:num w:numId="12">
    <w:abstractNumId w:val="16"/>
  </w:num>
  <w:num w:numId="13">
    <w:abstractNumId w:val="14"/>
  </w:num>
  <w:num w:numId="14">
    <w:abstractNumId w:val="6"/>
  </w:num>
  <w:num w:numId="15">
    <w:abstractNumId w:val="15"/>
  </w:num>
  <w:num w:numId="16">
    <w:abstractNumId w:val="5"/>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isplayBackgroundShape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mZiNzQyOGUyZWMxZDRmNzI0MjVhM2JhZmZmMDFkMjEifQ=="/>
  </w:docVars>
  <w:rsids>
    <w:rsidRoot w:val="00BA0C1A"/>
    <w:rsid w:val="00034018"/>
    <w:rsid w:val="000A7E89"/>
    <w:rsid w:val="000C51B7"/>
    <w:rsid w:val="000C7C3E"/>
    <w:rsid w:val="000D6711"/>
    <w:rsid w:val="000F270F"/>
    <w:rsid w:val="00191A2A"/>
    <w:rsid w:val="00191CE8"/>
    <w:rsid w:val="001922E9"/>
    <w:rsid w:val="00216EB9"/>
    <w:rsid w:val="00217290"/>
    <w:rsid w:val="00272215"/>
    <w:rsid w:val="002A2F11"/>
    <w:rsid w:val="002B190E"/>
    <w:rsid w:val="002F46DD"/>
    <w:rsid w:val="002F507C"/>
    <w:rsid w:val="002F6695"/>
    <w:rsid w:val="00302AFF"/>
    <w:rsid w:val="00312DFF"/>
    <w:rsid w:val="00316116"/>
    <w:rsid w:val="003560CC"/>
    <w:rsid w:val="00397160"/>
    <w:rsid w:val="003A790B"/>
    <w:rsid w:val="003A7976"/>
    <w:rsid w:val="003B762A"/>
    <w:rsid w:val="003C4F83"/>
    <w:rsid w:val="003C62E2"/>
    <w:rsid w:val="003E65CF"/>
    <w:rsid w:val="003F1B03"/>
    <w:rsid w:val="00432295"/>
    <w:rsid w:val="004727E2"/>
    <w:rsid w:val="00495F6E"/>
    <w:rsid w:val="004A6DB7"/>
    <w:rsid w:val="004A7488"/>
    <w:rsid w:val="004C6C69"/>
    <w:rsid w:val="004E2E6F"/>
    <w:rsid w:val="004F4177"/>
    <w:rsid w:val="0052742B"/>
    <w:rsid w:val="0058226D"/>
    <w:rsid w:val="00590603"/>
    <w:rsid w:val="0059531B"/>
    <w:rsid w:val="0059755A"/>
    <w:rsid w:val="005B192C"/>
    <w:rsid w:val="005E6490"/>
    <w:rsid w:val="00607C4F"/>
    <w:rsid w:val="00616505"/>
    <w:rsid w:val="0062213C"/>
    <w:rsid w:val="006312D3"/>
    <w:rsid w:val="00633F40"/>
    <w:rsid w:val="006549AD"/>
    <w:rsid w:val="00654E38"/>
    <w:rsid w:val="00684D9C"/>
    <w:rsid w:val="0071254F"/>
    <w:rsid w:val="00756835"/>
    <w:rsid w:val="00791CCE"/>
    <w:rsid w:val="007F6ED9"/>
    <w:rsid w:val="00871F76"/>
    <w:rsid w:val="009065BD"/>
    <w:rsid w:val="00923FA3"/>
    <w:rsid w:val="00951FD9"/>
    <w:rsid w:val="009A6C20"/>
    <w:rsid w:val="009B3207"/>
    <w:rsid w:val="009C79B7"/>
    <w:rsid w:val="00A35E89"/>
    <w:rsid w:val="00A60633"/>
    <w:rsid w:val="00A83537"/>
    <w:rsid w:val="00A94BB1"/>
    <w:rsid w:val="00AF300D"/>
    <w:rsid w:val="00B30F59"/>
    <w:rsid w:val="00B36330"/>
    <w:rsid w:val="00B42A77"/>
    <w:rsid w:val="00B67513"/>
    <w:rsid w:val="00B71F8B"/>
    <w:rsid w:val="00B77C04"/>
    <w:rsid w:val="00BA0C1A"/>
    <w:rsid w:val="00BA2D15"/>
    <w:rsid w:val="00BA6CAD"/>
    <w:rsid w:val="00BE06D3"/>
    <w:rsid w:val="00C02B34"/>
    <w:rsid w:val="00C061CB"/>
    <w:rsid w:val="00C604EC"/>
    <w:rsid w:val="00C84228"/>
    <w:rsid w:val="00C97492"/>
    <w:rsid w:val="00CC4EC2"/>
    <w:rsid w:val="00D17544"/>
    <w:rsid w:val="00D96696"/>
    <w:rsid w:val="00DA617E"/>
    <w:rsid w:val="00DF5C51"/>
    <w:rsid w:val="00E10834"/>
    <w:rsid w:val="00E14F2C"/>
    <w:rsid w:val="00E26251"/>
    <w:rsid w:val="00E34F5A"/>
    <w:rsid w:val="00E60C03"/>
    <w:rsid w:val="00E674DA"/>
    <w:rsid w:val="00E83B3E"/>
    <w:rsid w:val="00EA1EE8"/>
    <w:rsid w:val="00EB04CE"/>
    <w:rsid w:val="00F43714"/>
    <w:rsid w:val="00F53662"/>
    <w:rsid w:val="00F56084"/>
    <w:rsid w:val="00F81BB3"/>
    <w:rsid w:val="00F93886"/>
    <w:rsid w:val="083D07F0"/>
    <w:rsid w:val="105E3B74"/>
    <w:rsid w:val="1C2C4424"/>
    <w:rsid w:val="1CD54CE6"/>
    <w:rsid w:val="1DEC38DC"/>
    <w:rsid w:val="30456175"/>
    <w:rsid w:val="3557584C"/>
    <w:rsid w:val="36772279"/>
    <w:rsid w:val="434067C1"/>
    <w:rsid w:val="43EA6AE9"/>
    <w:rsid w:val="568D20C3"/>
    <w:rsid w:val="5CB52F99"/>
    <w:rsid w:val="5D470A9D"/>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240" w:after="240" w:line="408" w:lineRule="auto"/>
      <w:jc w:val="left"/>
      <w:outlineLvl w:val="0"/>
    </w:pPr>
    <w:rPr>
      <w:b/>
      <w:bCs/>
      <w:color w:val="000000"/>
      <w:kern w:val="44"/>
      <w:sz w:val="44"/>
      <w:szCs w:val="44"/>
    </w:rPr>
  </w:style>
  <w:style w:type="paragraph" w:styleId="3">
    <w:name w:val="heading 2"/>
    <w:basedOn w:val="1"/>
    <w:next w:val="1"/>
    <w:unhideWhenUsed/>
    <w:qFormat/>
    <w:uiPriority w:val="9"/>
    <w:pPr>
      <w:keepNext/>
      <w:keepLines/>
      <w:spacing w:before="240" w:after="240" w:line="408" w:lineRule="auto"/>
      <w:jc w:val="left"/>
      <w:outlineLvl w:val="1"/>
    </w:pPr>
    <w:rPr>
      <w:rFonts w:asciiTheme="majorHAnsi" w:hAnsiTheme="majorHAnsi" w:eastAsiaTheme="majorEastAsia" w:cstheme="majorBidi"/>
      <w:b/>
      <w:bCs/>
      <w:color w:val="000000"/>
      <w:sz w:val="32"/>
      <w:szCs w:val="32"/>
    </w:rPr>
  </w:style>
  <w:style w:type="paragraph" w:styleId="4">
    <w:name w:val="heading 3"/>
    <w:basedOn w:val="1"/>
    <w:next w:val="1"/>
    <w:link w:val="20"/>
    <w:unhideWhenUsed/>
    <w:qFormat/>
    <w:uiPriority w:val="9"/>
    <w:pPr>
      <w:keepNext/>
      <w:keepLines/>
      <w:spacing w:before="200" w:after="200"/>
      <w:jc w:val="left"/>
      <w:outlineLvl w:val="2"/>
    </w:pPr>
    <w:rPr>
      <w:b/>
      <w:bCs/>
      <w:color w:val="000000"/>
      <w:sz w:val="32"/>
      <w:szCs w:val="32"/>
    </w:rPr>
  </w:style>
  <w:style w:type="character" w:default="1" w:styleId="12">
    <w:name w:val="Default Paragraph Font"/>
    <w:semiHidden/>
    <w:unhideWhenUsed/>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5">
    <w:name w:val="toc 3"/>
    <w:basedOn w:val="1"/>
    <w:next w:val="1"/>
    <w:unhideWhenUsed/>
    <w:qFormat/>
    <w:uiPriority w:val="39"/>
    <w:pPr>
      <w:ind w:left="840" w:leftChars="400"/>
    </w:pPr>
  </w:style>
  <w:style w:type="paragraph" w:styleId="6">
    <w:name w:val="footer"/>
    <w:basedOn w:val="1"/>
    <w:link w:val="15"/>
    <w:unhideWhenUsed/>
    <w:qFormat/>
    <w:uiPriority w:val="99"/>
    <w:pPr>
      <w:tabs>
        <w:tab w:val="center" w:pos="4153"/>
        <w:tab w:val="right" w:pos="8306"/>
      </w:tabs>
      <w:snapToGrid w:val="0"/>
      <w:jc w:val="left"/>
    </w:pPr>
    <w:rPr>
      <w:sz w:val="18"/>
      <w:szCs w:val="18"/>
    </w:rPr>
  </w:style>
  <w:style w:type="paragraph" w:styleId="7">
    <w:name w:val="header"/>
    <w:basedOn w:val="1"/>
    <w:link w:val="14"/>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qFormat/>
    <w:uiPriority w:val="39"/>
  </w:style>
  <w:style w:type="paragraph" w:styleId="9">
    <w:name w:val="toc 2"/>
    <w:basedOn w:val="1"/>
    <w:next w:val="1"/>
    <w:unhideWhenUsed/>
    <w:qFormat/>
    <w:uiPriority w:val="39"/>
    <w:pPr>
      <w:ind w:left="420" w:leftChars="200"/>
    </w:pPr>
  </w:style>
  <w:style w:type="table" w:styleId="11">
    <w:name w:val="Table Grid"/>
    <w:basedOn w:val="10"/>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basedOn w:val="12"/>
    <w:unhideWhenUsed/>
    <w:qFormat/>
    <w:uiPriority w:val="99"/>
    <w:rPr>
      <w:color w:val="0000FF" w:themeColor="hyperlink"/>
      <w:u w:val="single"/>
      <w14:textFill>
        <w14:solidFill>
          <w14:schemeClr w14:val="hlink"/>
        </w14:solidFill>
      </w14:textFill>
    </w:rPr>
  </w:style>
  <w:style w:type="character" w:customStyle="1" w:styleId="14">
    <w:name w:val="页眉 字符"/>
    <w:basedOn w:val="12"/>
    <w:link w:val="7"/>
    <w:semiHidden/>
    <w:qFormat/>
    <w:uiPriority w:val="99"/>
    <w:rPr>
      <w:sz w:val="18"/>
      <w:szCs w:val="18"/>
    </w:rPr>
  </w:style>
  <w:style w:type="character" w:customStyle="1" w:styleId="15">
    <w:name w:val="页脚 字符"/>
    <w:basedOn w:val="12"/>
    <w:link w:val="6"/>
    <w:qFormat/>
    <w:uiPriority w:val="99"/>
    <w:rPr>
      <w:sz w:val="18"/>
      <w:szCs w:val="18"/>
    </w:rPr>
  </w:style>
  <w:style w:type="paragraph" w:styleId="16">
    <w:name w:val="List Paragraph"/>
    <w:basedOn w:val="1"/>
    <w:qFormat/>
    <w:uiPriority w:val="34"/>
    <w:pPr>
      <w:ind w:firstLine="420" w:firstLineChars="200"/>
    </w:pPr>
  </w:style>
  <w:style w:type="paragraph" w:customStyle="1" w:styleId="17">
    <w:name w:val="表格"/>
    <w:basedOn w:val="1"/>
    <w:link w:val="18"/>
    <w:qFormat/>
    <w:uiPriority w:val="0"/>
    <w:pPr>
      <w:spacing w:before="120" w:after="120"/>
      <w:jc w:val="center"/>
    </w:pPr>
    <w:rPr>
      <w:rFonts w:ascii="仿宋" w:hAnsi="仿宋" w:eastAsia="仿宋"/>
      <w:color w:val="000000"/>
      <w:szCs w:val="21"/>
    </w:rPr>
  </w:style>
  <w:style w:type="character" w:customStyle="1" w:styleId="18">
    <w:name w:val="表格 字符"/>
    <w:basedOn w:val="12"/>
    <w:link w:val="17"/>
    <w:qFormat/>
    <w:uiPriority w:val="0"/>
    <w:rPr>
      <w:rFonts w:ascii="仿宋" w:hAnsi="仿宋" w:eastAsia="仿宋"/>
      <w:color w:val="000000"/>
      <w:kern w:val="2"/>
      <w:sz w:val="21"/>
      <w:szCs w:val="21"/>
    </w:rPr>
  </w:style>
  <w:style w:type="paragraph" w:customStyle="1" w:styleId="19">
    <w:name w:val="TOC Heading"/>
    <w:basedOn w:val="2"/>
    <w:next w:val="1"/>
    <w:unhideWhenUsed/>
    <w:qFormat/>
    <w:uiPriority w:val="39"/>
    <w:pPr>
      <w:widowControl/>
      <w:spacing w:after="0" w:line="259" w:lineRule="auto"/>
      <w:outlineLvl w:val="9"/>
    </w:pPr>
    <w:rPr>
      <w:rFonts w:asciiTheme="majorHAnsi" w:hAnsiTheme="majorHAnsi" w:eastAsiaTheme="majorEastAsia" w:cstheme="majorBidi"/>
      <w:b w:val="0"/>
      <w:bCs w:val="0"/>
      <w:color w:val="376092" w:themeColor="accent1" w:themeShade="BF"/>
      <w:kern w:val="0"/>
      <w:sz w:val="32"/>
      <w:szCs w:val="32"/>
    </w:rPr>
  </w:style>
  <w:style w:type="character" w:customStyle="1" w:styleId="20">
    <w:name w:val="标题 3 字符"/>
    <w:basedOn w:val="12"/>
    <w:link w:val="4"/>
    <w:qFormat/>
    <w:uiPriority w:val="9"/>
    <w:rPr>
      <w:b/>
      <w:bCs/>
      <w:color w:val="000000"/>
      <w:kern w:val="2"/>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5" Type="http://schemas.openxmlformats.org/officeDocument/2006/relationships/fontTable" Target="fontTable.xml"/><Relationship Id="rId64" Type="http://schemas.openxmlformats.org/officeDocument/2006/relationships/customXml" Target="../customXml/item1.xml"/><Relationship Id="rId63" Type="http://schemas.openxmlformats.org/officeDocument/2006/relationships/numbering" Target="numbering.xml"/><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footer" Target="footer2.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footer" Target="footer1.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SelectedStyle="\APASixthEditionOfficeOnline.xsl" StyleName="APA"/>
</file>

<file path=customXml/itemProps1.xml><?xml version="1.0" encoding="utf-8"?>
<ds:datastoreItem xmlns:ds="http://schemas.openxmlformats.org/officeDocument/2006/customXml" ds:itemID="{519BC990-40FD-42B6-B8DA-69B41A76D25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46</Pages>
  <Words>12158</Words>
  <Characters>12449</Characters>
  <Lines>111</Lines>
  <Paragraphs>31</Paragraphs>
  <TotalTime>1709</TotalTime>
  <ScaleCrop>false</ScaleCrop>
  <LinksUpToDate>false</LinksUpToDate>
  <CharactersWithSpaces>12723</CharactersWithSpaces>
  <Application>WPS Office_11.1.0.11830_F1E327BC-269C-435d-A152-05C5408002CA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2017-01-10T09:10:00Z</dcterms:created>
  <dc:creator>Tencent</dc:creator>
  <cp:lastModifiedBy>盖松</cp:lastModifiedBy>
  <dcterms:modified xsi:type="dcterms:W3CDTF">2022-07-12T08:26:38Z</dcterms:modified>
  <cp:revision>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1369B55DC3E647EABB41594303DBEDDB</vt:lpwstr>
  </property>
</Properties>
</file>