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lineRule="auto"/>
        <w:jc w:val="left"/>
      </w:pPr>
      <w:r>
        <w:rPr>
          <w:rFonts w:ascii="Times New Roman" w:cs="Times New Roman" w:eastAsia="Times New Roman" w:hAnsi="Times New Roman"/>
          <w:b/>
          <w:bCs/>
          <w:sz w:val="32"/>
          <w:szCs w:val="32"/>
        </w:rPr>
        <w:t xml:space="preserve">From fluid shear to sclerostin: a mechanotransduction-resolved multiscale model of bone adaptation, and what it falsifies</w:t>
      </w:r>
    </w:p>
    <w:p>
      <w:pPr>
        <w:spacing w:after="120" w:line="480" w:lineRule="auto"/>
      </w:pPr>
      <w:r>
        <w:rPr>
          <w:rFonts w:ascii="Times New Roman" w:cs="Times New Roman" w:eastAsia="Times New Roman" w:hAnsi="Times New Roman"/>
          <w:b/>
          <w:bCs/>
          <w:sz w:val="24"/>
          <w:szCs w:val="24"/>
        </w:rPr>
        <w:t xml:space="preserve">Short title:</w:t>
      </w:r>
      <w:r>
        <w:rPr>
          <w:rFonts w:ascii="Times New Roman" w:cs="Times New Roman" w:eastAsia="Times New Roman" w:hAnsi="Times New Roman"/>
          <w:sz w:val="24"/>
          <w:szCs w:val="24"/>
        </w:rPr>
        <w:t xml:space="preserve"> A mechanotransduction-resolved multiscale model of bone adaptation</w:t>
      </w:r>
    </w:p>
    <w:p>
      <w:pPr>
        <w:spacing w:after="120" w:line="480" w:lineRule="auto"/>
      </w:pPr>
      <w:r>
        <w:rPr>
          <w:rFonts w:ascii="Times New Roman" w:cs="Times New Roman" w:eastAsia="Times New Roman" w:hAnsi="Times New Roman"/>
          <w:b/>
          <w:bCs/>
          <w:sz w:val="24"/>
          <w:szCs w:val="24"/>
        </w:rPr>
        <w:t xml:space="preserve">Hsiang-Lin Lee</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Tzu-Ling Wang</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i/>
          <w:iCs/>
          <w:sz w:val="24"/>
          <w:szCs w:val="24"/>
        </w:rPr>
        <w:t xml:space="preserve">, </w:t>
      </w:r>
      <w:r>
        <w:rPr>
          <w:rFonts w:ascii="Times New Roman" w:cs="Times New Roman" w:eastAsia="Times New Roman" w:hAnsi="Times New Roman"/>
          <w:i/>
          <w:iCs/>
          <w:sz w:val="24"/>
          <w:szCs w:val="24"/>
        </w:rPr>
        <w:t xml:space="preserve">Ming-Yu Hsieh</w:t>
      </w:r>
      <w:r>
        <w:rPr>
          <w:rFonts w:ascii="Times New Roman" w:cs="Times New Roman" w:eastAsia="Times New Roman" w:hAnsi="Times New Roman"/>
          <w:i/>
          <w:iCs/>
          <w:sz w:val="24"/>
          <w:szCs w:val="24"/>
        </w:rPr>
        <w:t xml:space="preserve">&lt;sup&gt;4,5,6&lt;/sup&gt;</w:t>
      </w:r>
    </w:p>
    <w:p>
      <w:pPr>
        <w:spacing w:after="120" w:line="480" w:lineRule="auto"/>
      </w:pP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Institute of Medicine, Chung Shan Medical University, Taichung, Taiwan</w:t>
      </w:r>
    </w:p>
    <w:p>
      <w:pPr>
        <w:spacing w:after="120" w:line="480" w:lineRule="auto"/>
      </w:pP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Department of Surgery, Chung Shan Medical University Hospital, Taichung, Taiwan</w:t>
      </w:r>
    </w:p>
    <w:p>
      <w:pPr>
        <w:spacing w:after="120" w:line="480" w:lineRule="auto"/>
      </w:pP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School of Nursing, Chung Shan Medical University, Taichung, Taiwan</w:t>
      </w:r>
    </w:p>
    <w:p>
      <w:pPr>
        <w:spacing w:after="120" w:line="480" w:lineRule="auto"/>
      </w:pP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School of Medicine, Chung Shan Medical University, Taichung, Taiwan</w:t>
      </w:r>
    </w:p>
    <w:p>
      <w:pPr>
        <w:spacing w:after="120" w:line="480" w:lineRule="auto"/>
      </w:pP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Division of Pediatric Surgery, Chung Shan Medical University Hospital, Taichung, Taiwan</w:t>
      </w:r>
    </w:p>
    <w:p>
      <w:pPr>
        <w:spacing w:after="120" w:line="480" w:lineRule="auto"/>
      </w:pP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Center of Evidence-Based Medicine, Chung Shan Medical University Hospital, Taichung, Taiwan</w:t>
      </w:r>
    </w:p>
    <w:p>
      <w:pPr>
        <w:spacing w:after="120" w:line="480" w:lineRule="auto"/>
      </w:pPr>
      <w:r>
        <w:rPr>
          <w:rFonts w:ascii="Times New Roman" w:cs="Times New Roman" w:eastAsia="Times New Roman" w:hAnsi="Times New Roman"/>
          <w:sz w:val="24"/>
          <w:szCs w:val="24"/>
        </w:rPr>
        <w:t xml:space="preserve">* Corresponding authors</w:t>
      </w:r>
    </w:p>
    <w:p>
      <w:pPr>
        <w:spacing w:after="120" w:line="480" w:lineRule="auto"/>
      </w:pPr>
      <w:r>
        <w:rPr>
          <w:rFonts w:ascii="Times New Roman" w:cs="Times New Roman" w:eastAsia="Times New Roman" w:hAnsi="Times New Roman"/>
          <w:sz w:val="24"/>
          <w:szCs w:val="24"/>
        </w:rPr>
        <w:t xml:space="preserve">E-mail: cshy1392@csh.org.tw (MYH); purplering@icloud.com (TLW)</w:t>
      </w:r>
    </w:p>
    <w:p>
      <w:pPr>
        <w:spacing w:after="120" w:line="480" w:lineRule="auto"/>
      </w:pPr>
      <w:r>
        <w:rPr>
          <w:rFonts w:ascii="Times New Roman" w:cs="Times New Roman" w:eastAsia="Times New Roman" w:hAnsi="Times New Roman"/>
          <w:sz w:val="24"/>
          <w:szCs w:val="24"/>
        </w:rPr>
        <w:t xml:space="preserve">ORCID — Hsiang-Lin Lee: 0000-0003-1422-1042 · Tzu-Ling Wang: 0000-0003-3520-0531 · Ming-Yu Hsieh: 0000-0002-5797-3474</w:t>
      </w:r>
    </w:p>
    <w:p>
      <w:pPr>
        <w:pStyle w:val="Heading1"/>
        <w:spacing w:after="160" w:before="360" w:line="360" w:lineRule="auto"/>
      </w:pPr>
      <w:r>
        <w:rPr>
          <w:rFonts w:ascii="Times New Roman" w:cs="Times New Roman" w:eastAsia="Times New Roman" w:hAnsi="Times New Roman"/>
          <w:b/>
          <w:bCs/>
          <w:sz w:val="28"/>
          <w:szCs w:val="28"/>
        </w:rPr>
        <w:t xml:space="preserve">Abstract</w:t>
      </w:r>
    </w:p>
    <w:p>
      <w:pPr>
        <w:spacing w:after="120" w:line="480" w:lineRule="auto"/>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Mechanical loading and calcium availability are the two levers most often invoked in skeletal health, but no model has been able to weigh them against each other, because mechanotransduction models terminate at the osteocyte and bone-remodelling models contain no mechanics.</w:t>
      </w:r>
    </w:p>
    <w:p>
      <w:pPr>
        <w:spacing w:after="120" w:line="480" w:lineRule="auto"/>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We built an eight-module multiscale model that carries a load continuously from organ-level bending, through poroelastic lacunocanalicular shear, through three-state mechanosensitive channel gating, through Piezo1–Ca²⁺–YAP/TAZ–sclerostin–Wnt signalling, through the RANK/RANKL/OPG cell populations, to three-surface cortical geometry, mineralisation and areal bone mineral density, with systemic calcium–PTH–vitamin D coupled bidirectionally. Loading enters strictly as force; strain is a regulated output, preserving the mechanostat feedback loop. Five free parameters were fitted to five targets; eight further observations were held out and never entered the objective.</w:t>
      </w:r>
    </w:p>
    <w:p>
      <w:pPr>
        <w:spacing w:after="120" w:line="480" w:lineRule="auto"/>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The model reproduces adult turnover (7.33 %/yr), disuse loss (1.22 %/month), the non-progressive plateau of calcium supplementation, and romosozumab's spine response (+12.5 % at 12 months) and post-withdrawal loss (−8.7 %). Frost's mechanostat set point emerges at 787 με, inside the lazy zone bracketed by the remodelling (100–300 με) and modelling (1500–3000 με) thresholds he inferred from observation, without being fitted. Loading raises bone mineral content 15.1-fold more than calcium, but only at a specified intensity (≈2900 με) and in bone mass rather than areal density, which dilutes the response by 61 %. Unilateral loading reproduces all six pQCT indices of the tennis-player humerus, while systemic interventions produce side-to-side differences of 0.0000 %.</w:t>
      </w:r>
    </w:p>
    <w:p>
      <w:pPr>
        <w:spacing w:after="120" w:line="480" w:lineRule="auto"/>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Our starting hypothesis that osteoporosis is an alternative stable state is falsified: the model is monostable, and a full withdrawal-and-recovery probe returns to 100.3 % of baseline with no hysteresis. Skeletal irreversibility must therefore arise from structural loss outside continuum porosity dynamics. One of the three clauses of our loading-versus-calcium prediction reverses sign under a different densitometric measure, which we report as a methodological result in its own right.</w:t>
      </w:r>
    </w:p>
    <w:p>
      <w:pPr>
        <w:pStyle w:val="Heading1"/>
        <w:spacing w:after="160" w:before="360" w:line="360" w:lineRule="auto"/>
      </w:pPr>
      <w:r>
        <w:rPr>
          <w:rFonts w:ascii="Times New Roman" w:cs="Times New Roman" w:eastAsia="Times New Roman" w:hAnsi="Times New Roman"/>
          <w:b/>
          <w:bCs/>
          <w:sz w:val="28"/>
          <w:szCs w:val="28"/>
        </w:rPr>
        <w:t xml:space="preserve">Introduction</w:t>
      </w:r>
    </w:p>
    <w:p>
      <w:pPr>
        <w:spacing w:after="120" w:line="480" w:lineRule="auto"/>
      </w:pPr>
      <w:r>
        <w:rPr>
          <w:rFonts w:ascii="Times New Roman" w:cs="Times New Roman" w:eastAsia="Times New Roman" w:hAnsi="Times New Roman"/>
          <w:sz w:val="24"/>
          <w:szCs w:val="24"/>
        </w:rPr>
        <w:t xml:space="preserve">Bone is a structure that carries its own sensors. Frost's mechanostat [1] proposed that bone tissue holds strain near a set point by adding material when strain is high and removing it when strain is low, and the framework has organised four decades of skeletal physiology. What it has never had is a mechanism: the set point is inferred from observation, not derived, and the theory is silent on the molecular chain that would produce it.</w:t>
      </w:r>
    </w:p>
    <w:p>
      <w:pPr>
        <w:spacing w:after="120" w:line="480" w:lineRule="auto"/>
      </w:pPr>
      <w:r>
        <w:rPr>
          <w:rFonts w:ascii="Times New Roman" w:cs="Times New Roman" w:eastAsia="Times New Roman" w:hAnsi="Times New Roman"/>
          <w:sz w:val="24"/>
          <w:szCs w:val="24"/>
        </w:rPr>
        <w:t xml:space="preserve">That chain is now largely known. Load deforms the bone matrix, driving interstitial fluid through the lacunocanalicular network; the resulting shear stress on osteocyte processes gates mechanosensitive ion channels including Piezo1 [22]; the calcium transient that follows shifts YAP/TAZ to the nucleus; sclerostin, the osteocyte-secreted Wnt antagonist encoded by </w:t>
      </w:r>
      <w:r>
        <w:rPr>
          <w:rFonts w:ascii="Times New Roman" w:cs="Times New Roman" w:eastAsia="Times New Roman" w:hAnsi="Times New Roman"/>
          <w:i/>
          <w:iCs/>
          <w:sz w:val="24"/>
          <w:szCs w:val="24"/>
        </w:rPr>
        <w:t xml:space="preserve">SOST</w:t>
      </w:r>
      <w:r>
        <w:rPr>
          <w:rFonts w:ascii="Times New Roman" w:cs="Times New Roman" w:eastAsia="Times New Roman" w:hAnsi="Times New Roman"/>
          <w:sz w:val="24"/>
          <w:szCs w:val="24"/>
        </w:rPr>
        <w:t xml:space="preserve">, falls; Wnt/β-catenin signalling rises; and osteoblast and osteoclast populations respond. Each link is supported, and several are drug targets — romosozumab, an anti-sclerostin antibody, is licensed on exactly this axis [14].</w:t>
      </w:r>
    </w:p>
    <w:p>
      <w:pPr>
        <w:spacing w:after="120" w:line="480" w:lineRule="auto"/>
      </w:pPr>
      <w:r>
        <w:rPr>
          <w:rFonts w:ascii="Times New Roman" w:cs="Times New Roman" w:eastAsia="Times New Roman" w:hAnsi="Times New Roman"/>
          <w:sz w:val="24"/>
          <w:szCs w:val="24"/>
        </w:rPr>
        <w:t xml:space="preserve">Computational work has advanced from both ends and met in the middle nowhere. On the sensing side, Fu and colleagues [2] built a whole bone–lacunocanalicular–osteocyte model that reproduces the effects of loading magnitude, frequency, cycle number and recovery time, but stops at the osteocyte response. On the tissue side, the Lemaire [3] and Pivonka [4] families of models describe RANK/RANKL/OPG population dynamics and drug interventions in quantitative detail, but drive them with a phenomenological stimulus rather than mechanics; where mechanics appears at all it is as strain energy density imposed from outside [5]. The consequence is that no existing model can (i) distinguish two loading protocols with identical energy but different waveform and report a bone mineral density trajectory, (ii) compare mechanical loading against an anti-sclerostin antibody in the same currency, or (iii) let calcium intake and mechanical loading compete for the same bone.</w:t>
      </w:r>
    </w:p>
    <w:p>
      <w:pPr>
        <w:spacing w:after="120" w:line="480" w:lineRule="auto"/>
      </w:pPr>
      <w:r>
        <w:rPr>
          <w:rFonts w:ascii="Times New Roman" w:cs="Times New Roman" w:eastAsia="Times New Roman" w:hAnsi="Times New Roman"/>
          <w:sz w:val="24"/>
          <w:szCs w:val="24"/>
        </w:rPr>
        <w:t xml:space="preserve">The third gap is the clinically loudest. Calcium supplementation produces a small, non-progressive increment in bone density — Tai and colleagues' meta-analysis [6] found +0.7 to +1.8 %, reached within one year and not continuing thereafter — while exercise interventions and, most starkly, the natural experiment of unilateral racquet sports [7] produce far larger and site-confined changes. The natural reading is that calcium is </w:t>
      </w:r>
      <w:r>
        <w:rPr>
          <w:rFonts w:ascii="Times New Roman" w:cs="Times New Roman" w:eastAsia="Times New Roman" w:hAnsi="Times New Roman"/>
          <w:i/>
          <w:iCs/>
          <w:sz w:val="24"/>
          <w:szCs w:val="24"/>
        </w:rPr>
        <w:t xml:space="preserve">permissive</w:t>
      </w:r>
      <w:r>
        <w:rPr>
          <w:rFonts w:ascii="Times New Roman" w:cs="Times New Roman" w:eastAsia="Times New Roman" w:hAnsi="Times New Roman"/>
          <w:sz w:val="24"/>
          <w:szCs w:val="24"/>
        </w:rPr>
        <w:t xml:space="preserve"> and loading is </w:t>
      </w:r>
      <w:r>
        <w:rPr>
          <w:rFonts w:ascii="Times New Roman" w:cs="Times New Roman" w:eastAsia="Times New Roman" w:hAnsi="Times New Roman"/>
          <w:i/>
          <w:iCs/>
          <w:sz w:val="24"/>
          <w:szCs w:val="24"/>
        </w:rPr>
        <w:t xml:space="preserve">instructive</w:t>
      </w:r>
      <w:r>
        <w:rPr>
          <w:rFonts w:ascii="Times New Roman" w:cs="Times New Roman" w:eastAsia="Times New Roman" w:hAnsi="Times New Roman"/>
          <w:sz w:val="24"/>
          <w:szCs w:val="24"/>
        </w:rPr>
        <w:t xml:space="preserve">: calcium determines whether bone can be built, loading determines whether it will be. That reading has never been tested inside a single mechanistic model, because no model has contained both.</w:t>
      </w:r>
    </w:p>
    <w:p>
      <w:pPr>
        <w:spacing w:after="120" w:line="480" w:lineRule="auto"/>
      </w:pPr>
      <w:r>
        <w:rPr>
          <w:rFonts w:ascii="Times New Roman" w:cs="Times New Roman" w:eastAsia="Times New Roman" w:hAnsi="Times New Roman"/>
          <w:sz w:val="24"/>
          <w:szCs w:val="24"/>
        </w:rPr>
        <w:t xml:space="preserve">We report such a model, and three falsifiable predictions. All three were written into the project plan before any parameter was fitted, and the dated plan and its decision log are in the archived repository, so the ordering can be checked; we make no claim of formal pre-registration in a public registry.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in the calcium-replete range, the marginal effect of calcium on bone density is small, while appropriate loading is large, and the two interact non-additively.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a two-compartment model sharing one systemic calcium pool reproduces the tennis-player asymmetry, and no systemic intervention can.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with mechanosensitivity, sclerostin secretion or oestrogen as bifurcation parameters, the system exhibits a saddle-node bifurcation and bistability, so that osteoporosis is an alternative stable state — which would explain why bone is lost quickly and regained slowly.</w:t>
      </w:r>
    </w:p>
    <w:p>
      <w:pPr>
        <w:spacing w:after="120" w:line="480" w:lineRule="auto"/>
      </w:pPr>
      <w:r>
        <w:rPr>
          <w:rFonts w:ascii="Times New Roman" w:cs="Times New Roman" w:eastAsia="Times New Roman" w:hAnsi="Times New Roman"/>
          <w:sz w:val="24"/>
          <w:szCs w:val="24"/>
        </w:rPr>
        <w:t xml:space="preserve">Two of these survive. The third does not, and we report its falsification in the main text because it is the strongest available evidence that the model predicts rather than fits.</w:t>
      </w:r>
    </w:p>
    <w:p>
      <w:pPr>
        <w:pStyle w:val="Heading1"/>
        <w:spacing w:after="160" w:before="360" w:line="360" w:lineRule="auto"/>
      </w:pPr>
      <w:r>
        <w:rPr>
          <w:rFonts w:ascii="Times New Roman" w:cs="Times New Roman" w:eastAsia="Times New Roman" w:hAnsi="Times New Roman"/>
          <w:b/>
          <w:bCs/>
          <w:sz w:val="28"/>
          <w:szCs w:val="28"/>
        </w:rPr>
        <w:t xml:space="preserve">Materials and methods</w:t>
      </w:r>
    </w:p>
    <w:p>
      <w:pPr>
        <w:pStyle w:val="Heading2"/>
        <w:spacing w:after="120" w:before="240" w:line="360" w:lineRule="auto"/>
      </w:pPr>
      <w:r>
        <w:rPr>
          <w:rFonts w:ascii="Times New Roman" w:cs="Times New Roman" w:eastAsia="Times New Roman" w:hAnsi="Times New Roman"/>
          <w:b/>
          <w:bCs/>
          <w:i/>
          <w:iCs/>
          <w:sz w:val="24"/>
          <w:szCs w:val="24"/>
        </w:rPr>
        <w:t xml:space="preserve">Model structure</w:t>
      </w:r>
    </w:p>
    <w:p>
      <w:pPr>
        <w:spacing w:after="120" w:line="480" w:lineRule="auto"/>
      </w:pPr>
      <w:r>
        <w:rPr>
          <w:rFonts w:ascii="Times New Roman" w:cs="Times New Roman" w:eastAsia="Times New Roman" w:hAnsi="Times New Roman"/>
          <w:sz w:val="24"/>
          <w:szCs w:val="24"/>
        </w:rPr>
        <w:t xml:space="preserve">Eight modules; full equations in </w:t>
      </w:r>
      <w:r>
        <w:rPr>
          <w:rFonts w:ascii="Times New Roman" w:cs="Times New Roman" w:eastAsia="Times New Roman" w:hAnsi="Times New Roman"/>
          <w:b/>
          <w:bCs/>
          <w:sz w:val="24"/>
          <w:szCs w:val="24"/>
        </w:rPr>
        <w:t xml:space="preserve">S1 Text</w:t>
      </w:r>
      <w:r>
        <w:rPr>
          <w:rFonts w:ascii="Times New Roman" w:cs="Times New Roman" w:eastAsia="Times New Roman" w:hAnsi="Times New Roman"/>
          <w:sz w:val="24"/>
          <w:szCs w:val="24"/>
        </w:rPr>
        <w:t xml:space="preserve">. State vectors: 17 (single compartment), 30 (two compartments; 13 local states per site plus four shared systemic states). Integration with </w:t>
      </w:r>
      <w:r>
        <w:rPr>
          <w:rFonts w:ascii="Courier New" w:cs="Courier New" w:eastAsia="Courier New" w:hAnsi="Courier New"/>
          <w:sz w:val="24"/>
          <w:szCs w:val="24"/>
        </w:rPr>
        <w:t xml:space="preserve">ode15s</w:t>
      </w:r>
      <w:r>
        <w:rPr>
          <w:rFonts w:ascii="Times New Roman" w:cs="Times New Roman" w:eastAsia="Times New Roman" w:hAnsi="Times New Roman"/>
          <w:sz w:val="24"/>
          <w:szCs w:val="24"/>
        </w:rPr>
        <w:t xml:space="preserve">, relative tolerance 1 × 10⁻⁶, absolute tolerance 1 × 10⁻⁹, non-negativity enforced on all states.</w:t>
      </w:r>
    </w:p>
    <w:p>
      <w:pPr>
        <w:spacing w:after="120" w:line="480" w:lineRule="auto"/>
      </w:pPr>
      <w:r>
        <w:rPr>
          <w:rFonts w:ascii="Times New Roman" w:cs="Times New Roman" w:eastAsia="Times New Roman" w:hAnsi="Times New Roman"/>
          <w:sz w:val="24"/>
          <w:szCs w:val="24"/>
        </w:rPr>
        <w:t xml:space="preserve">The per-site biology is implemented once and called by both the single- and two-compartment right-hand sides, so the two cannot diverge. Mechanosensitive channel gating exists in exactly one place; the interface between fast (sub-second) and slow (daily) timescales is a single scalar, the daily integral of channel open probability. An earlier version represented the same phenomena four times over and left that scalar with no downstream consumer, so mechanical signalling never actually crossed the timescale boundary.</w:t>
      </w:r>
    </w:p>
    <w:p>
      <w:pPr>
        <w:pStyle w:val="Heading2"/>
        <w:spacing w:after="120" w:before="240" w:line="360" w:lineRule="auto"/>
      </w:pPr>
      <w:r>
        <w:rPr>
          <w:rFonts w:ascii="Times New Roman" w:cs="Times New Roman" w:eastAsia="Times New Roman" w:hAnsi="Times New Roman"/>
          <w:b/>
          <w:bCs/>
          <w:i/>
          <w:iCs/>
          <w:sz w:val="24"/>
          <w:szCs w:val="24"/>
        </w:rPr>
        <w:t xml:space="preserve">Loading specification</w:t>
      </w:r>
    </w:p>
    <w:p>
      <w:pPr>
        <w:spacing w:after="120" w:line="480" w:lineRule="auto"/>
      </w:pPr>
      <w:r>
        <w:rPr>
          <w:rFonts w:ascii="Times New Roman" w:cs="Times New Roman" w:eastAsia="Times New Roman" w:hAnsi="Times New Roman"/>
          <w:sz w:val="24"/>
          <w:szCs w:val="24"/>
        </w:rPr>
        <w:t xml:space="preserve">Scenarios specify peak bending moment and peak axial force per loading bout, with cycle count, frequency, inter-cycle rest, post-bout rest and days of week. </w:t>
      </w:r>
      <w:r>
        <w:rPr>
          <w:rFonts w:ascii="Times New Roman" w:cs="Times New Roman" w:eastAsia="Times New Roman" w:hAnsi="Times New Roman"/>
          <w:b/>
          <w:bCs/>
          <w:sz w:val="24"/>
          <w:szCs w:val="24"/>
        </w:rPr>
        <w:t xml:space="preserve">Strain is never an input.</w:t>
      </w:r>
      <w:r>
        <w:rPr>
          <w:rFonts w:ascii="Times New Roman" w:cs="Times New Roman" w:eastAsia="Times New Roman" w:hAnsi="Times New Roman"/>
          <w:sz w:val="24"/>
          <w:szCs w:val="24"/>
        </w:rPr>
        <w:t xml:space="preserve"> This is enforced by an automated check that rejects any scenario carrying a strain-like field.</w:t>
      </w:r>
    </w:p>
    <w:p>
      <w:pPr>
        <w:pStyle w:val="Heading2"/>
        <w:spacing w:after="120" w:before="240" w:line="360" w:lineRule="auto"/>
      </w:pPr>
      <w:r>
        <w:rPr>
          <w:rFonts w:ascii="Times New Roman" w:cs="Times New Roman" w:eastAsia="Times New Roman" w:hAnsi="Times New Roman"/>
          <w:b/>
          <w:bCs/>
          <w:i/>
          <w:iCs/>
          <w:sz w:val="24"/>
          <w:szCs w:val="24"/>
        </w:rPr>
        <w:t xml:space="preserve">Calibration and validation</w:t>
      </w:r>
    </w:p>
    <w:p>
      <w:pPr>
        <w:spacing w:after="120" w:line="480" w:lineRule="auto"/>
      </w:pPr>
      <w:r>
        <w:rPr>
          <w:rFonts w:ascii="Times New Roman" w:cs="Times New Roman" w:eastAsia="Times New Roman" w:hAnsi="Times New Roman"/>
          <w:sz w:val="24"/>
          <w:szCs w:val="24"/>
        </w:rPr>
        <w:t xml:space="preserve">Five free parameters fitted with </w:t>
      </w:r>
      <w:r>
        <w:rPr>
          <w:rFonts w:ascii="Courier New" w:cs="Courier New" w:eastAsia="Courier New" w:hAnsi="Courier New"/>
          <w:sz w:val="24"/>
          <w:szCs w:val="24"/>
        </w:rPr>
        <w:t xml:space="preserve">surrogateopt</w:t>
      </w:r>
      <w:r>
        <w:rPr>
          <w:rFonts w:ascii="Times New Roman" w:cs="Times New Roman" w:eastAsia="Times New Roman" w:hAnsi="Times New Roman"/>
          <w:sz w:val="24"/>
          <w:szCs w:val="24"/>
        </w:rPr>
        <w:t xml:space="preserve"> (fixed seed) against five targets; </w:t>
      </w:r>
      <w:r>
        <w:rPr>
          <w:rFonts w:ascii="Courier New" w:cs="Courier New" w:eastAsia="Courier New" w:hAnsi="Courier New"/>
          <w:sz w:val="24"/>
          <w:szCs w:val="24"/>
        </w:rPr>
        <w:t xml:space="preserve">k_form</w:t>
      </w:r>
      <w:r>
        <w:rPr>
          <w:rFonts w:ascii="Times New Roman" w:cs="Times New Roman" w:eastAsia="Times New Roman" w:hAnsi="Times New Roman"/>
          <w:sz w:val="24"/>
          <w:szCs w:val="24"/>
        </w:rPr>
        <w:t xml:space="preserve"> and </w:t>
      </w:r>
      <w:r>
        <w:rPr>
          <w:rFonts w:ascii="Courier New" w:cs="Courier New" w:eastAsia="Courier New" w:hAnsi="Courier New"/>
          <w:sz w:val="24"/>
          <w:szCs w:val="24"/>
        </w:rPr>
        <w:t xml:space="preserve">k_ot</w:t>
      </w:r>
      <w:r>
        <w:rPr>
          <w:rFonts w:ascii="Times New Roman" w:cs="Times New Roman" w:eastAsia="Times New Roman" w:hAnsi="Times New Roman"/>
          <w:sz w:val="24"/>
          <w:szCs w:val="24"/>
        </w:rPr>
        <w:t xml:space="preserve"> derived at each evaluation, from bone-mass balance and from bone turnover respectively. Eight observations held out: the six pQCT indices of the loaded humerus, the post-withdrawal areal density change, and the emergent set point. Targets and tolerances are listed in </w:t>
      </w:r>
      <w:r>
        <w:rPr>
          <w:rFonts w:ascii="Times New Roman" w:cs="Times New Roman" w:eastAsia="Times New Roman" w:hAnsi="Times New Roman"/>
          <w:b/>
          <w:bCs/>
          <w:sz w:val="24"/>
          <w:szCs w:val="24"/>
        </w:rPr>
        <w:t xml:space="preserve">S2 Table</w:t>
      </w:r>
      <w:r>
        <w:rPr>
          <w:rFonts w:ascii="Times New Roman" w:cs="Times New Roman" w:eastAsia="Times New Roman" w:hAnsi="Times New Roman"/>
          <w:sz w:val="24"/>
          <w:szCs w:val="24"/>
        </w:rPr>
        <w:t xml:space="preserve">; all parameters, with source and confidence grading, in </w:t>
      </w:r>
      <w:r>
        <w:rPr>
          <w:rFonts w:ascii="Times New Roman" w:cs="Times New Roman" w:eastAsia="Times New Roman" w:hAnsi="Times New Roman"/>
          <w:b/>
          <w:bCs/>
          <w:sz w:val="24"/>
          <w:szCs w:val="24"/>
        </w:rPr>
        <w:t xml:space="preserve">S1 Table</w:t>
      </w:r>
      <w:r>
        <w:rPr>
          <w:rFonts w:ascii="Times New Roman" w:cs="Times New Roman" w:eastAsia="Times New Roman" w:hAnsi="Times New Roman"/>
          <w:sz w:val="24"/>
          <w:szCs w:val="24"/>
        </w:rPr>
        <w:t xml:space="preserve">. Hard-coded numerical constants in source are treated as defects and are caught by an automated check.</w:t>
      </w:r>
    </w:p>
    <w:p>
      <w:pPr>
        <w:pStyle w:val="Heading2"/>
        <w:spacing w:after="120" w:before="240" w:line="360" w:lineRule="auto"/>
      </w:pPr>
      <w:r>
        <w:rPr>
          <w:rFonts w:ascii="Times New Roman" w:cs="Times New Roman" w:eastAsia="Times New Roman" w:hAnsi="Times New Roman"/>
          <w:b/>
          <w:bCs/>
          <w:i/>
          <w:iCs/>
          <w:sz w:val="24"/>
          <w:szCs w:val="24"/>
        </w:rPr>
        <w:t xml:space="preserve">Validity domain</w:t>
      </w:r>
    </w:p>
    <w:p>
      <w:pPr>
        <w:spacing w:after="120" w:line="480" w:lineRule="auto"/>
      </w:pPr>
      <w:r>
        <w:rPr>
          <w:rFonts w:ascii="Times New Roman" w:cs="Times New Roman" w:eastAsia="Times New Roman" w:hAnsi="Times New Roman"/>
          <w:sz w:val="24"/>
          <w:szCs w:val="24"/>
        </w:rPr>
        <w:t xml:space="preserve">Every simulation reports whether peak strain remained below the yield strain of cortical bone (7000 με), beyond which the linear elasticity assumed throughout the mechanics stack fails. Results from runs that leave this domain are not interpreted. This check is what identified the long-duration disuse scope limit and the extrapolated deep branch of the bifurcation diagram.</w:t>
      </w:r>
    </w:p>
    <w:p>
      <w:pPr>
        <w:pStyle w:val="Heading2"/>
        <w:spacing w:after="120" w:before="240" w:line="360" w:lineRule="auto"/>
      </w:pPr>
      <w:r>
        <w:rPr>
          <w:rFonts w:ascii="Times New Roman" w:cs="Times New Roman" w:eastAsia="Times New Roman" w:hAnsi="Times New Roman"/>
          <w:b/>
          <w:bCs/>
          <w:i/>
          <w:iCs/>
          <w:sz w:val="24"/>
          <w:szCs w:val="24"/>
        </w:rPr>
        <w:t xml:space="preserve">Bifurcation analysis</w:t>
      </w:r>
    </w:p>
    <w:p>
      <w:pPr>
        <w:spacing w:after="120" w:line="480" w:lineRule="auto"/>
      </w:pPr>
      <w:r>
        <w:rPr>
          <w:rFonts w:ascii="Times New Roman" w:cs="Times New Roman" w:eastAsia="Times New Roman" w:hAnsi="Times New Roman"/>
          <w:sz w:val="24"/>
          <w:szCs w:val="24"/>
        </w:rPr>
        <w:t xml:space="preserve">Monostability was assessed two ways: by counting zeros of the bone-volume-fraction nullcline with envelope geometry frozen, and independently by a withdrawal-and-recovery trajectory in the full model with geometry free. Fixed-point stability from Jacobian eigenvalues.</w:t>
      </w:r>
    </w:p>
    <w:p>
      <w:pPr>
        <w:pStyle w:val="Heading2"/>
        <w:spacing w:after="120" w:before="240" w:line="360" w:lineRule="auto"/>
      </w:pPr>
      <w:r>
        <w:rPr>
          <w:rFonts w:ascii="Times New Roman" w:cs="Times New Roman" w:eastAsia="Times New Roman" w:hAnsi="Times New Roman"/>
          <w:b/>
          <w:bCs/>
          <w:i/>
          <w:iCs/>
          <w:sz w:val="24"/>
          <w:szCs w:val="24"/>
        </w:rPr>
        <w:t xml:space="preserve">Software and reproducibility</w:t>
      </w:r>
    </w:p>
    <w:p>
      <w:pPr>
        <w:spacing w:after="120" w:line="480" w:lineRule="auto"/>
      </w:pPr>
      <w:r>
        <w:rPr>
          <w:rFonts w:ascii="Times New Roman" w:cs="Times New Roman" w:eastAsia="Times New Roman" w:hAnsi="Times New Roman"/>
          <w:sz w:val="24"/>
          <w:szCs w:val="24"/>
        </w:rPr>
        <w:t xml:space="preserve">MATLAB R2026a. The model, the parameter and target tables, all seven experiment scripts and a 91-assertion automated test suite are available at https://github.com/myhsieh1002/bone-mechanostat and archived on Zenodo (concept DOI 10.5281/zenodo.21592303; this version 10.5281/zenodo.21784609). Every figure in this paper is regenerated by a single named script.</w:t>
      </w:r>
    </w:p>
    <w:p>
      <w:pPr>
        <w:pStyle w:val="Heading1"/>
        <w:spacing w:after="160" w:before="360" w:line="360" w:lineRule="auto"/>
      </w:pPr>
      <w:r>
        <w:rPr>
          <w:rFonts w:ascii="Times New Roman" w:cs="Times New Roman" w:eastAsia="Times New Roman" w:hAnsi="Times New Roman"/>
          <w:b/>
          <w:bCs/>
          <w:sz w:val="28"/>
          <w:szCs w:val="28"/>
        </w:rPr>
        <w:t xml:space="preserve">Results</w:t>
      </w:r>
    </w:p>
    <w:p>
      <w:pPr>
        <w:pStyle w:val="Heading2"/>
        <w:spacing w:after="120" w:before="240" w:line="360" w:lineRule="auto"/>
      </w:pPr>
      <w:r>
        <w:rPr>
          <w:rFonts w:ascii="Times New Roman" w:cs="Times New Roman" w:eastAsia="Times New Roman" w:hAnsi="Times New Roman"/>
          <w:b/>
          <w:bCs/>
          <w:i/>
          <w:iCs/>
          <w:sz w:val="24"/>
          <w:szCs w:val="24"/>
        </w:rPr>
        <w:t xml:space="preserve">An unbroken chain from force to bone mineral density</w:t>
      </w:r>
    </w:p>
    <w:p>
      <w:pPr>
        <w:spacing w:after="120" w:line="480" w:lineRule="auto"/>
      </w:pPr>
      <w:r>
        <w:rPr>
          <w:rFonts w:ascii="Times New Roman" w:cs="Times New Roman" w:eastAsia="Times New Roman" w:hAnsi="Times New Roman"/>
          <w:sz w:val="24"/>
          <w:szCs w:val="24"/>
        </w:rPr>
        <w:t xml:space="preserve">The model comprises eight modules (M1–M8; </w:t>
      </w:r>
      <w:r>
        <w:rPr>
          <w:rFonts w:ascii="Times New Roman" w:cs="Times New Roman" w:eastAsia="Times New Roman" w:hAnsi="Times New Roman"/>
          <w:b/>
          <w:bCs/>
          <w:sz w:val="24"/>
          <w:szCs w:val="24"/>
        </w:rPr>
        <w:t xml:space="preserve">S1 Text</w:t>
      </w:r>
      <w:r>
        <w:rPr>
          <w:rFonts w:ascii="Times New Roman" w:cs="Times New Roman" w:eastAsia="Times New Roman" w:hAnsi="Times New Roman"/>
          <w:sz w:val="24"/>
          <w:szCs w:val="24"/>
        </w:rPr>
        <w:t xml:space="preserve">). M1 computes cross-sectional strain from a prescribed peak bending moment and axial force. M2 solves Biot poroelasticity for lacunocanalicular fluid shear [9]. M3 integrates three-state (open/closed/inactivated) mechanosensitive channel gating [2] over a day's loading to produce a single daily scalar dose. M4 and M5 carry Piezo1–Ca²⁺–YAP/TAZ–sclerostin–Wnt signalling. M6 is a RANK/RANKL/OPG osteoblast–osteoclast population model [3,4]. M7 evolves periosteal, endocortical and intracortical surfaces plus mean tissue mineral density. M8 is systemic calcium–PTH–1,25(OH)₂D [8], coupled bidirectionally. The single-compartment state vector has 17 elements; the two-compartment version has 30.</w:t>
      </w:r>
    </w:p>
    <w:p>
      <w:pPr>
        <w:spacing w:after="120" w:line="480" w:lineRule="auto"/>
      </w:pPr>
      <w:r>
        <w:rPr>
          <w:rFonts w:ascii="Times New Roman" w:cs="Times New Roman" w:eastAsia="Times New Roman" w:hAnsi="Times New Roman"/>
          <w:sz w:val="24"/>
          <w:szCs w:val="24"/>
        </w:rPr>
        <w:t xml:space="preserve">One interface decision determines whether the model is a mechanostat at all. </w:t>
      </w:r>
      <w:r>
        <w:rPr>
          <w:rFonts w:ascii="Times New Roman" w:cs="Times New Roman" w:eastAsia="Times New Roman" w:hAnsi="Times New Roman"/>
          <w:b/>
          <w:bCs/>
          <w:sz w:val="24"/>
          <w:szCs w:val="24"/>
        </w:rPr>
        <w:t xml:space="preserve">Loading enters only as force</w:t>
      </w:r>
      <w:r>
        <w:rPr>
          <w:rFonts w:ascii="Times New Roman" w:cs="Times New Roman" w:eastAsia="Times New Roman" w:hAnsi="Times New Roman"/>
          <w:sz w:val="24"/>
          <w:szCs w:val="24"/>
        </w:rPr>
        <w:t xml:space="preserve"> — peak bending moment and axial force — and strain is computed as an output of current geometry and material state. Prescribing strain, as an earlier version of this model did, silently severs the negative feedback: bone volume fraction becomes a pure integrator, the calcium plateau cannot appear, and there is no set point for bifurcation analysis to find. We verified the closed loop numerically: d ln ε_p / d ln f_bm = −3.1300 in cortex and −2.0000 in the vertebral compartment, each matching its own −κ_E to machine precision (4 × 10⁻¹⁶), so added bone does reduce strain. The two exponents differ because compact and trabecular bone are different materials; we return to this in </w:t>
      </w:r>
      <w:r>
        <w:rPr>
          <w:rFonts w:ascii="Times New Roman" w:cs="Times New Roman" w:eastAsia="Times New Roman" w:hAnsi="Times New Roman"/>
          <w:b/>
          <w:bCs/>
          <w:sz w:val="24"/>
          <w:szCs w:val="24"/>
        </w:rPr>
        <w:t xml:space="preserve">S1 Text</w:t>
      </w:r>
      <w:r>
        <w:rPr>
          <w:rFonts w:ascii="Times New Roman" w:cs="Times New Roman" w:eastAsia="Times New Roman" w:hAnsi="Times New Roman"/>
          <w:sz w:val="24"/>
          <w:szCs w:val="24"/>
        </w:rPr>
        <w:t xml:space="preserve">.</w:t>
      </w:r>
    </w:p>
    <w:p>
      <w:pPr>
        <w:spacing w:after="120" w:line="480" w:lineRule="auto"/>
      </w:pPr>
      <w:r>
        <w:rPr>
          <w:rFonts w:ascii="Times New Roman" w:cs="Times New Roman" w:eastAsia="Times New Roman" w:hAnsi="Times New Roman"/>
          <w:sz w:val="24"/>
          <w:szCs w:val="24"/>
        </w:rPr>
        <w:t xml:space="preserve">Two independent cross-validations support the mechanics. A Crank–Nicolson finite-difference solution of the poroelastic problem agrees with the closed-form Biot solution to a maximum relative error of 0.0029 %, and an affine per-cycle channel operator agrees with stepwise integration to 2.2 × 10⁻¹⁵.</w:t>
      </w:r>
    </w:p>
    <w:p>
      <w:pPr>
        <w:pStyle w:val="Heading2"/>
        <w:spacing w:after="120" w:before="240" w:line="360" w:lineRule="auto"/>
      </w:pPr>
      <w:r>
        <w:rPr>
          <w:rFonts w:ascii="Times New Roman" w:cs="Times New Roman" w:eastAsia="Times New Roman" w:hAnsi="Times New Roman"/>
          <w:b/>
          <w:bCs/>
          <w:i/>
          <w:iCs/>
          <w:sz w:val="24"/>
          <w:szCs w:val="24"/>
        </w:rPr>
        <w:t xml:space="preserve">Calibration, and what was withheld</w:t>
      </w:r>
    </w:p>
    <w:p>
      <w:pPr>
        <w:spacing w:after="120" w:line="480" w:lineRule="auto"/>
      </w:pPr>
      <w:r>
        <w:rPr>
          <w:rFonts w:ascii="Times New Roman" w:cs="Times New Roman" w:eastAsia="Times New Roman" w:hAnsi="Times New Roman"/>
          <w:sz w:val="24"/>
          <w:szCs w:val="24"/>
        </w:rPr>
        <w:t xml:space="preserve">Five parameters were fitted (</w:t>
      </w:r>
      <w:r>
        <w:rPr>
          <w:rFonts w:ascii="Courier New" w:cs="Courier New" w:eastAsia="Courier New" w:hAnsi="Courier New"/>
          <w:sz w:val="24"/>
          <w:szCs w:val="24"/>
        </w:rPr>
        <w:t xml:space="preserve">k_res</w:t>
      </w:r>
      <w:r>
        <w:rPr>
          <w:rFonts w:ascii="Times New Roman" w:cs="Times New Roman" w:eastAsia="Times New Roman" w:hAnsi="Times New Roman"/>
          <w:sz w:val="24"/>
          <w:szCs w:val="24"/>
        </w:rPr>
        <w:t xml:space="preserve">, </w:t>
      </w:r>
      <w:r>
        <w:rPr>
          <w:rFonts w:ascii="Courier New" w:cs="Courier New" w:eastAsia="Courier New" w:hAnsi="Courier New"/>
          <w:sz w:val="24"/>
          <w:szCs w:val="24"/>
        </w:rPr>
        <w:t xml:space="preserve">K_S</w:t>
      </w:r>
      <w:r>
        <w:rPr>
          <w:rFonts w:ascii="Times New Roman" w:cs="Times New Roman" w:eastAsia="Times New Roman" w:hAnsi="Times New Roman"/>
          <w:sz w:val="24"/>
          <w:szCs w:val="24"/>
        </w:rPr>
        <w:t xml:space="preserve">, </w:t>
      </w:r>
      <w:r>
        <w:rPr>
          <w:rFonts w:ascii="Courier New" w:cs="Courier New" w:eastAsia="Courier New" w:hAnsi="Courier New"/>
          <w:sz w:val="24"/>
          <w:szCs w:val="24"/>
        </w:rPr>
        <w:t xml:space="preserve">K_P_sost</w:t>
      </w:r>
      <w:r>
        <w:rPr>
          <w:rFonts w:ascii="Times New Roman" w:cs="Times New Roman" w:eastAsia="Times New Roman" w:hAnsi="Times New Roman"/>
          <w:sz w:val="24"/>
          <w:szCs w:val="24"/>
        </w:rPr>
        <w:t xml:space="preserve">, </w:t>
      </w:r>
      <w:r>
        <w:rPr>
          <w:rFonts w:ascii="Courier New" w:cs="Courier New" w:eastAsia="Courier New" w:hAnsi="Courier New"/>
          <w:sz w:val="24"/>
          <w:szCs w:val="24"/>
        </w:rPr>
        <w:t xml:space="preserve">lambda_P</w:t>
      </w:r>
      <w:r>
        <w:rPr>
          <w:rFonts w:ascii="Times New Roman" w:cs="Times New Roman" w:eastAsia="Times New Roman" w:hAnsi="Times New Roman"/>
          <w:sz w:val="24"/>
          <w:szCs w:val="24"/>
        </w:rPr>
        <w:t xml:space="preserve">, </w:t>
      </w:r>
      <w:r>
        <w:rPr>
          <w:rFonts w:ascii="Courier New" w:cs="Courier New" w:eastAsia="Courier New" w:hAnsi="Courier New"/>
          <w:sz w:val="24"/>
          <w:szCs w:val="24"/>
        </w:rPr>
        <w:t xml:space="preserve">delta_ab</w:t>
      </w:r>
      <w:r>
        <w:rPr>
          <w:rFonts w:ascii="Times New Roman" w:cs="Times New Roman" w:eastAsia="Times New Roman" w:hAnsi="Times New Roman"/>
          <w:sz w:val="24"/>
          <w:szCs w:val="24"/>
        </w:rPr>
        <w:t xml:space="preserve">) against five targets: adult turnover, disuse loss, calcium effect size, calcium plateau slope, and the romosozumab spine response. Two constants are </w:t>
      </w:r>
      <w:r>
        <w:rPr>
          <w:rFonts w:ascii="Times New Roman" w:cs="Times New Roman" w:eastAsia="Times New Roman" w:hAnsi="Times New Roman"/>
          <w:b/>
          <w:bCs/>
          <w:sz w:val="24"/>
          <w:szCs w:val="24"/>
        </w:rPr>
        <w:t xml:space="preserve">derived rather than fitted</w:t>
      </w:r>
      <w:r>
        <w:rPr>
          <w:rFonts w:ascii="Times New Roman" w:cs="Times New Roman" w:eastAsia="Times New Roman" w:hAnsi="Times New Roman"/>
          <w:sz w:val="24"/>
          <w:szCs w:val="24"/>
        </w:rPr>
        <w:t xml:space="preserve">, because the baseline state already determines them: the formation rate constant </w:t>
      </w:r>
      <w:r>
        <w:rPr>
          <w:rFonts w:ascii="Courier New" w:cs="Courier New" w:eastAsia="Courier New" w:hAnsi="Courier New"/>
          <w:sz w:val="24"/>
          <w:szCs w:val="24"/>
        </w:rPr>
        <w:t xml:space="preserve">k_form</w:t>
      </w:r>
      <w:r>
        <w:rPr>
          <w:rFonts w:ascii="Times New Roman" w:cs="Times New Roman" w:eastAsia="Times New Roman" w:hAnsi="Times New Roman"/>
          <w:sz w:val="24"/>
          <w:szCs w:val="24"/>
        </w:rPr>
        <w:t xml:space="preserve"> from bone-mass balance, since the three-surface geometry admits no stationary geometric fixed point, and the osteocyte burial constant </w:t>
      </w:r>
      <w:r>
        <w:rPr>
          <w:rFonts w:ascii="Courier New" w:cs="Courier New" w:eastAsia="Courier New" w:hAnsi="Courier New"/>
          <w:sz w:val="24"/>
          <w:szCs w:val="24"/>
        </w:rPr>
        <w:t xml:space="preserve">k_ot</w:t>
      </w:r>
      <w:r>
        <w:rPr>
          <w:rFonts w:ascii="Times New Roman" w:cs="Times New Roman" w:eastAsia="Times New Roman" w:hAnsi="Times New Roman"/>
          <w:sz w:val="24"/>
          <w:szCs w:val="24"/>
        </w:rPr>
        <w:t xml:space="preserve"> from bone turnover, since osteocytes leave the tissue when the bone they occupy is resorbed (see Limitations for what happened while </w:t>
      </w:r>
      <w:r>
        <w:rPr>
          <w:rFonts w:ascii="Courier New" w:cs="Courier New" w:eastAsia="Courier New" w:hAnsi="Courier New"/>
          <w:sz w:val="24"/>
          <w:szCs w:val="24"/>
        </w:rPr>
        <w:t xml:space="preserve">k_ot</w:t>
      </w:r>
      <w:r>
        <w:rPr>
          <w:rFonts w:ascii="Times New Roman" w:cs="Times New Roman" w:eastAsia="Times New Roman" w:hAnsi="Times New Roman"/>
          <w:sz w:val="24"/>
          <w:szCs w:val="24"/>
        </w:rPr>
        <w:t xml:space="preserve"> was free). Both are re-derived at every parameter set. All other parameters come from the literature (</w:t>
      </w:r>
      <w:r>
        <w:rPr>
          <w:rFonts w:ascii="Times New Roman" w:cs="Times New Roman" w:eastAsia="Times New Roman" w:hAnsi="Times New Roman"/>
          <w:b/>
          <w:bCs/>
          <w:sz w:val="24"/>
          <w:szCs w:val="24"/>
        </w:rPr>
        <w:t xml:space="preserve">S1 Table</w:t>
      </w:r>
      <w:r>
        <w:rPr>
          <w:rFonts w:ascii="Times New Roman" w:cs="Times New Roman" w:eastAsia="Times New Roman" w:hAnsi="Times New Roman"/>
          <w:sz w:val="24"/>
          <w:szCs w:val="24"/>
        </w:rPr>
        <w:t xml:space="preserve">).</w:t>
      </w:r>
    </w:p>
    <w:p>
      <w:pPr>
        <w:spacing w:after="120" w:line="480" w:lineRule="auto"/>
      </w:pPr>
      <w:r>
        <w:rPr>
          <w:rFonts w:ascii="Times New Roman" w:cs="Times New Roman" w:eastAsia="Times New Roman" w:hAnsi="Times New Roman"/>
          <w:sz w:val="24"/>
          <w:szCs w:val="24"/>
        </w:rPr>
        <w:t xml:space="preserve">A sixth parameter, the compensatory sclerostin rebound plateau, was on the free list until we measured its leverage. It moves the resorption-marker overshoot it was supposed to identify by 0.04 across its entire admissible range, while moving the romosozumab response from 63.6 % to 0.47 % — so it is a second parameter acting on the target the antibody clearance constant already carries, with nothing in the target set to separate them. We fixed it rather than fit it. This is the kind of degree of freedom that buys agreement without content, and the check that caught it is one we recommend generally: before adding a parameter to a free list because some target is expected to identify it, measure whether that target can actually move it.</w:t>
      </w:r>
    </w:p>
    <w:p>
      <w:pPr>
        <w:spacing w:after="120" w:line="480" w:lineRule="auto"/>
      </w:pPr>
      <w:r>
        <w:rPr>
          <w:rFonts w:ascii="Times New Roman" w:cs="Times New Roman" w:eastAsia="Times New Roman" w:hAnsi="Times New Roman"/>
          <w:sz w:val="24"/>
          <w:szCs w:val="24"/>
        </w:rPr>
        <w:t xml:space="preserve">Eight observations were </w:t>
      </w:r>
      <w:r>
        <w:rPr>
          <w:rFonts w:ascii="Times New Roman" w:cs="Times New Roman" w:eastAsia="Times New Roman" w:hAnsi="Times New Roman"/>
          <w:b/>
          <w:bCs/>
          <w:sz w:val="24"/>
          <w:szCs w:val="24"/>
        </w:rPr>
        <w:t xml:space="preserve">held out</w:t>
      </w:r>
      <w:r>
        <w:rPr>
          <w:rFonts w:ascii="Times New Roman" w:cs="Times New Roman" w:eastAsia="Times New Roman" w:hAnsi="Times New Roman"/>
          <w:sz w:val="24"/>
          <w:szCs w:val="24"/>
        </w:rPr>
        <w:t xml:space="preserve"> and never entered the objective: the six pQCT indices of the tennis-player humerus, the post-withdrawal bone density loss, and the emergent mechanostat set point. Their status as blind tests is what the rest of this section rests on.</w:t>
      </w:r>
    </w:p>
    <w:p>
      <w:pPr>
        <w:spacing w:after="120" w:line="480" w:lineRule="auto"/>
      </w:pPr>
      <w:r>
        <w:rPr>
          <w:rFonts w:ascii="Times New Roman" w:cs="Times New Roman" w:eastAsia="Times New Roman" w:hAnsi="Times New Roman"/>
          <w:sz w:val="24"/>
          <w:szCs w:val="24"/>
        </w:rPr>
        <w:t xml:space="preserve">Identifiability analysis (</w:t>
      </w:r>
      <w:r>
        <w:rPr>
          <w:rFonts w:ascii="Times New Roman" w:cs="Times New Roman" w:eastAsia="Times New Roman" w:hAnsi="Times New Roman"/>
          <w:b/>
          <w:bCs/>
          <w:sz w:val="24"/>
          <w:szCs w:val="24"/>
        </w:rPr>
        <w:t xml:space="preserve">S1 Fig</w:t>
      </w:r>
      <w:r>
        <w:rPr>
          <w:rFonts w:ascii="Times New Roman" w:cs="Times New Roman" w:eastAsia="Times New Roman" w:hAnsi="Times New Roman"/>
          <w:sz w:val="24"/>
          <w:szCs w:val="24"/>
        </w:rPr>
        <w:t xml:space="preserve">) shows </w:t>
      </w:r>
      <w:r>
        <w:rPr>
          <w:rFonts w:ascii="Courier New" w:cs="Courier New" w:eastAsia="Courier New" w:hAnsi="Courier New"/>
          <w:sz w:val="24"/>
          <w:szCs w:val="24"/>
        </w:rPr>
        <w:t xml:space="preserve">k_res</w:t>
      </w:r>
      <w:r>
        <w:rPr>
          <w:rFonts w:ascii="Times New Roman" w:cs="Times New Roman" w:eastAsia="Times New Roman" w:hAnsi="Times New Roman"/>
          <w:sz w:val="24"/>
          <w:szCs w:val="24"/>
        </w:rPr>
        <w:t xml:space="preserve"> and </w:t>
      </w:r>
      <w:r>
        <w:rPr>
          <w:rFonts w:ascii="Courier New" w:cs="Courier New" w:eastAsia="Courier New" w:hAnsi="Courier New"/>
          <w:sz w:val="24"/>
          <w:szCs w:val="24"/>
        </w:rPr>
        <w:t xml:space="preserve">K_S</w:t>
      </w:r>
      <w:r>
        <w:rPr>
          <w:rFonts w:ascii="Times New Roman" w:cs="Times New Roman" w:eastAsia="Times New Roman" w:hAnsi="Times New Roman"/>
          <w:sz w:val="24"/>
          <w:szCs w:val="24"/>
        </w:rPr>
        <w:t xml:space="preserve"> are individually identifiable, each pinned by one target with a clear single minimum. The antibody clearance constant </w:t>
      </w:r>
      <w:r>
        <w:rPr>
          <w:rFonts w:ascii="Courier New" w:cs="Courier New" w:eastAsia="Courier New" w:hAnsi="Courier New"/>
          <w:sz w:val="24"/>
          <w:szCs w:val="24"/>
        </w:rPr>
        <w:t xml:space="preserve">delta_ab</w:t>
      </w:r>
      <w:r>
        <w:rPr>
          <w:rFonts w:ascii="Times New Roman" w:cs="Times New Roman" w:eastAsia="Times New Roman" w:hAnsi="Times New Roman"/>
          <w:sz w:val="24"/>
          <w:szCs w:val="24"/>
        </w:rPr>
        <w:t xml:space="preserve"> is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its conditional χ² falls monotonically to its upper bound, because the objective's midpoint metric pulls the romosozumab response toward the centre of its band and the parameter cannot reach that far. The value we report satisfies the band; it is not a point estimate, and we do not treat it as one. The two PTH-pathway parameters, </w:t>
      </w:r>
      <w:r>
        <w:rPr>
          <w:rFonts w:ascii="Courier New" w:cs="Courier New" w:eastAsia="Courier New" w:hAnsi="Courier New"/>
          <w:sz w:val="24"/>
          <w:szCs w:val="24"/>
        </w:rPr>
        <w:t xml:space="preserve">K_P_sost</w:t>
      </w:r>
      <w:r>
        <w:rPr>
          <w:rFonts w:ascii="Times New Roman" w:cs="Times New Roman" w:eastAsia="Times New Roman" w:hAnsi="Times New Roman"/>
          <w:sz w:val="24"/>
          <w:szCs w:val="24"/>
        </w:rPr>
        <w:t xml:space="preserve"> and </w:t>
      </w:r>
      <w:r>
        <w:rPr>
          <w:rFonts w:ascii="Courier New" w:cs="Courier New" w:eastAsia="Courier New" w:hAnsi="Courier New"/>
          <w:sz w:val="24"/>
          <w:szCs w:val="24"/>
        </w:rPr>
        <w:t xml:space="preserve">lambda_P</w:t>
      </w:r>
      <w:r>
        <w:rPr>
          <w:rFonts w:ascii="Times New Roman" w:cs="Times New Roman" w:eastAsia="Times New Roman" w:hAnsi="Times New Roman"/>
          <w:sz w:val="24"/>
          <w:szCs w:val="24"/>
        </w:rPr>
        <w:t xml:space="preserve">, are </w:t>
      </w:r>
      <w:r>
        <w:rPr>
          <w:rFonts w:ascii="Times New Roman" w:cs="Times New Roman" w:eastAsia="Times New Roman" w:hAnsi="Times New Roman"/>
          <w:b/>
          <w:bCs/>
          <w:sz w:val="24"/>
          <w:szCs w:val="24"/>
        </w:rPr>
        <w:t xml:space="preserve">practically non-identifiable</w:t>
      </w:r>
      <w:r>
        <w:rPr>
          <w:rFonts w:ascii="Times New Roman" w:cs="Times New Roman" w:eastAsia="Times New Roman" w:hAnsi="Times New Roman"/>
          <w:sz w:val="24"/>
          <w:szCs w:val="24"/>
        </w:rPr>
        <w:t xml:space="preserve">: 76.9 % of the scanned grid lies inside the confidence region, and the ridge correlation is only −0.26, so they are not trading off along a ridge — both are simply weakly constrained. This is a weaker statement than we could make before the systemic calcium module was rebuilt, and for a straightforward reason: with serum calcium now properly defended, dietary calcium moves parathyroid hormone about half as far, so the targets that constrain these two parameters carry correspondingly less information. We report the joint region rather than marginal intervals, and we do not interpret either parameter's point value. </w:t>
      </w:r>
      <w:r>
        <w:rPr>
          <w:rFonts w:ascii="Courier New" w:cs="Courier New" w:eastAsia="Courier New" w:hAnsi="Courier New"/>
          <w:sz w:val="24"/>
          <w:szCs w:val="24"/>
        </w:rPr>
        <w:t xml:space="preserve">K_P_sost</w:t>
      </w:r>
      <w:r>
        <w:rPr>
          <w:rFonts w:ascii="Times New Roman" w:cs="Times New Roman" w:eastAsia="Times New Roman" w:hAnsi="Times New Roman"/>
          <w:sz w:val="24"/>
          <w:szCs w:val="24"/>
        </w:rPr>
        <w:t xml:space="preserve"> no longer sits at its upper bound, as it did before the osteocyte turnover constant was corrected, but it remains high, and the interpretation is unchanged: large values mean PTH inhibition of </w:t>
      </w:r>
      <w:r>
        <w:rPr>
          <w:rFonts w:ascii="Times New Roman" w:cs="Times New Roman" w:eastAsia="Times New Roman" w:hAnsi="Times New Roman"/>
          <w:i/>
          <w:iCs/>
          <w:sz w:val="24"/>
          <w:szCs w:val="24"/>
        </w:rPr>
        <w:t xml:space="preserve">SOST</w:t>
      </w:r>
      <w:r>
        <w:rPr>
          <w:rFonts w:ascii="Times New Roman" w:cs="Times New Roman" w:eastAsia="Times New Roman" w:hAnsi="Times New Roman"/>
          <w:sz w:val="24"/>
          <w:szCs w:val="24"/>
        </w:rPr>
        <w:t xml:space="preserve"> is weak and the fit is asking for that pathway to be nearly absent, as Lemaire and Pivonka assume by omitting it.</w:t>
      </w:r>
    </w:p>
    <w:p>
      <w:pPr>
        <w:pStyle w:val="Heading2"/>
        <w:spacing w:after="120" w:before="240" w:line="360" w:lineRule="auto"/>
      </w:pPr>
      <w:r>
        <w:rPr>
          <w:rFonts w:ascii="Times New Roman" w:cs="Times New Roman" w:eastAsia="Times New Roman" w:hAnsi="Times New Roman"/>
          <w:b/>
          <w:bCs/>
          <w:i/>
          <w:iCs/>
          <w:sz w:val="24"/>
          <w:szCs w:val="24"/>
        </w:rPr>
        <w:t xml:space="preserve">The mechanostat set point is an output, and it lands where Frost put it</w:t>
      </w:r>
    </w:p>
    <w:p>
      <w:pPr>
        <w:spacing w:after="120" w:line="480" w:lineRule="auto"/>
      </w:pPr>
      <w:r>
        <w:rPr>
          <w:rFonts w:ascii="Times New Roman" w:cs="Times New Roman" w:eastAsia="Times New Roman" w:hAnsi="Times New Roman"/>
          <w:sz w:val="24"/>
          <w:szCs w:val="24"/>
        </w:rPr>
        <w:t xml:space="preserve">At baseline the model sits at a stable fixed point (max Re λ = −2.4 × 10⁻⁴), with 24-month areal bone mineral density drift of −0.015 % and turnover of 7.33 %/yr (</w:t>
      </w:r>
      <w:r>
        <w:rPr>
          <w:rFonts w:ascii="Times New Roman" w:cs="Times New Roman" w:eastAsia="Times New Roman" w:hAnsi="Times New Roman"/>
          <w:b/>
          <w:bCs/>
          <w:sz w:val="24"/>
          <w:szCs w:val="24"/>
        </w:rPr>
        <w:t xml:space="preserve">Fig 1</w:t>
      </w:r>
      <w:r>
        <w:rPr>
          <w:rFonts w:ascii="Times New Roman" w:cs="Times New Roman" w:eastAsia="Times New Roman" w:hAnsi="Times New Roman"/>
          <w:sz w:val="24"/>
          <w:szCs w:val="24"/>
        </w:rPr>
        <w:t xml:space="preserve">). The bar was 5–10 %/yr, the upper part of the 3–10 %/yr range conventionally quoted for cortical bone [25]; our value sits in the upper half of it, so this is a pass against a target we set at the fast end of what is quoted.</w:t>
      </w:r>
    </w:p>
    <w:p>
      <w:pPr>
        <w:spacing w:after="120" w:line="480" w:lineRule="auto"/>
      </w:pPr>
      <w:r>
        <w:rPr>
          <w:rFonts w:ascii="Times New Roman" w:cs="Times New Roman" w:eastAsia="Times New Roman" w:hAnsi="Times New Roman"/>
          <w:b/>
          <w:bCs/>
          <w:sz w:val="24"/>
          <w:szCs w:val="24"/>
        </w:rPr>
        <w:t xml:space="preserve">Fig 1. Baseline steady state and the emergent mechanostat set point.</w:t>
      </w:r>
    </w:p>
    <w:p>
      <w:pPr>
        <w:spacing w:after="120" w:line="480" w:lineRule="auto"/>
      </w:pPr>
      <w:r>
        <w:rPr>
          <w:rFonts w:ascii="Times New Roman" w:cs="Times New Roman" w:eastAsia="Times New Roman" w:hAnsi="Times New Roman"/>
          <w:sz w:val="24"/>
          <w:szCs w:val="24"/>
        </w:rPr>
        <w:t xml:space="preserve">(A) Areal bone mineral density over 24 months at baseline; drift −0.015 %. (B) Bone volume fraction over the same period. (C) The peak strain the closed loop settles at, 786.8 με, against the 300–1500 με band Frost inferred from observation. This value is computed, not fitted, and was held out of calibration.</w:t>
      </w:r>
    </w:p>
    <w:p>
      <w:pPr>
        <w:spacing w:after="120" w:line="480" w:lineRule="auto"/>
      </w:pPr>
      <w:r>
        <w:rPr>
          <w:rFonts w:ascii="Times New Roman" w:cs="Times New Roman" w:eastAsia="Times New Roman" w:hAnsi="Times New Roman"/>
          <w:sz w:val="24"/>
          <w:szCs w:val="24"/>
        </w:rPr>
        <w:t xml:space="preserve">The peak strain the closed loop settles at is </w:t>
      </w:r>
      <w:r>
        <w:rPr>
          <w:rFonts w:ascii="Times New Roman" w:cs="Times New Roman" w:eastAsia="Times New Roman" w:hAnsi="Times New Roman"/>
          <w:b/>
          <w:bCs/>
          <w:sz w:val="24"/>
          <w:szCs w:val="24"/>
        </w:rPr>
        <w:t xml:space="preserve">786.8 με</w:t>
      </w:r>
      <w:r>
        <w:rPr>
          <w:rFonts w:ascii="Times New Roman" w:cs="Times New Roman" w:eastAsia="Times New Roman" w:hAnsi="Times New Roman"/>
          <w:sz w:val="24"/>
          <w:szCs w:val="24"/>
        </w:rPr>
        <w:t xml:space="preserve">. Frost [1] inferred two separate thresholds from observation: strains at or above 1500–3000 με drive modelling that adds cortical bone, and strains below 100–300 με release remodelling that removes it. The emergent value sits inside the lazy zone those thresholds bracket — above the remodelling threshold, below the modelling threshold — and it is computed here from channel gating kinetics and signalling Hill coefficients, without ever being fitted. This is the model's most direct evidence that a phenomenological law can be reduced to molecular mechanism, and it costs no free parameter.</w:t>
      </w:r>
    </w:p>
    <w:p>
      <w:pPr>
        <w:spacing w:after="120" w:line="480" w:lineRule="auto"/>
      </w:pPr>
      <w:r>
        <w:rPr>
          <w:rFonts w:ascii="Times New Roman" w:cs="Times New Roman" w:eastAsia="Times New Roman" w:hAnsi="Times New Roman"/>
          <w:sz w:val="24"/>
          <w:szCs w:val="24"/>
        </w:rPr>
        <w:t xml:space="preserve">The same run also shows why cortical bone gains size rather than density: at f_bm ≈ 0.95 the cortex is within 5 % of its densification ceiling, and d ln ε / d ln r_p = −4.27 is stronger than d ln ε / d ln f_bm = −3.13. Growing outward is simply the cheaper way to reduce strain — an emergent consequence of parameter values, not an imposed rule.</w:t>
      </w:r>
    </w:p>
    <w:p>
      <w:pPr>
        <w:pStyle w:val="Heading2"/>
        <w:spacing w:after="120" w:before="240" w:line="360" w:lineRule="auto"/>
      </w:pPr>
      <w:r>
        <w:rPr>
          <w:rFonts w:ascii="Times New Roman" w:cs="Times New Roman" w:eastAsia="Times New Roman" w:hAnsi="Times New Roman"/>
          <w:b/>
          <w:bCs/>
          <w:i/>
          <w:iCs/>
          <w:sz w:val="24"/>
          <w:szCs w:val="24"/>
        </w:rPr>
        <w:t xml:space="preserve">Loading waveform: two targets recovered, one sign disagreement</w:t>
      </w:r>
    </w:p>
    <w:p>
      <w:pPr>
        <w:spacing w:after="120" w:line="480" w:lineRule="auto"/>
      </w:pPr>
      <w:r>
        <w:rPr>
          <w:rFonts w:ascii="Times New Roman" w:cs="Times New Roman" w:eastAsia="Times New Roman" w:hAnsi="Times New Roman"/>
          <w:b/>
          <w:bCs/>
          <w:sz w:val="24"/>
          <w:szCs w:val="24"/>
        </w:rPr>
        <w:t xml:space="preserve">Fig 2</w:t>
      </w:r>
      <w:r>
        <w:rPr>
          <w:rFonts w:ascii="Times New Roman" w:cs="Times New Roman" w:eastAsia="Times New Roman" w:hAnsi="Times New Roman"/>
          <w:sz w:val="24"/>
          <w:szCs w:val="24"/>
        </w:rPr>
        <w:t xml:space="preserve"> shows three orthogonal slices through loading-waveform space.</w:t>
      </w:r>
    </w:p>
    <w:p>
      <w:pPr>
        <w:spacing w:after="120" w:line="480" w:lineRule="auto"/>
      </w:pPr>
      <w:r>
        <w:rPr>
          <w:rFonts w:ascii="Times New Roman" w:cs="Times New Roman" w:eastAsia="Times New Roman" w:hAnsi="Times New Roman"/>
          <w:b/>
          <w:bCs/>
          <w:sz w:val="24"/>
          <w:szCs w:val="24"/>
        </w:rPr>
        <w:t xml:space="preserve">Fig 2. Mechanical dose–response.</w:t>
      </w:r>
    </w:p>
    <w:p>
      <w:pPr>
        <w:spacing w:after="120" w:line="480" w:lineRule="auto"/>
      </w:pPr>
      <w:r>
        <w:rPr>
          <w:rFonts w:ascii="Times New Roman" w:cs="Times New Roman" w:eastAsia="Times New Roman" w:hAnsi="Times New Roman"/>
          <w:sz w:val="24"/>
          <w:szCs w:val="24"/>
        </w:rPr>
        <w:t xml:space="preserve">(A) Cycle number against 12-month areal density change; marginal return falls 33-fold from 18 to 1200 cycles. The saturation is a downstream property — at the channel level the dose is linear in cycle number. (B) Frequency at both levels: fluid shear (grey, left axis) rises with ln f as poroelasticity requires, while the bone-level response (teal, right axis) falls. The logarithmic form survives to bone; the sign does not. (C) Rest insertion at three amplitudes. The gain falls with amplitude, matching experiment, and reverses the direction seen at the channel level.</w:t>
      </w:r>
    </w:p>
    <w:p>
      <w:pPr>
        <w:spacing w:after="120" w:line="480" w:lineRule="auto"/>
      </w:pPr>
      <w:r>
        <w:rPr>
          <w:rFonts w:ascii="Times New Roman" w:cs="Times New Roman" w:eastAsia="Times New Roman" w:hAnsi="Times New Roman"/>
          <w:i/>
          <w:iCs/>
          <w:sz w:val="24"/>
          <w:szCs w:val="24"/>
        </w:rPr>
        <w:t xml:space="preserve">Cycle number.</w:t>
      </w:r>
      <w:r>
        <w:rPr>
          <w:rFonts w:ascii="Times New Roman" w:cs="Times New Roman" w:eastAsia="Times New Roman" w:hAnsi="Times New Roman"/>
          <w:sz w:val="24"/>
          <w:szCs w:val="24"/>
        </w:rPr>
        <w:t xml:space="preserve"> Increasing cycles from 18 to 1200 raises the 12-month response from +0.503 % to +2.286 %, with marginal return falling 33-fold and monotonically. This reproduces the saturation of the osteogenic response beyond a few dozen cycles [21]. Notably, the saturation is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in the channel: at the channel level the dose is asymptotically linear in cycle number across four orders of magnitude of gating rate constants, because periodic driving puts the three-state system on a limit cycle where every subsequent cycle contributes identically. The saturation is a downstream property of the sclerostin–Wnt–cell cascade, and can only be seen at the bone level.</w:t>
      </w:r>
    </w:p>
    <w:p>
      <w:pPr>
        <w:spacing w:after="120" w:line="480" w:lineRule="auto"/>
      </w:pPr>
      <w:r>
        <w:rPr>
          <w:rFonts w:ascii="Times New Roman" w:cs="Times New Roman" w:eastAsia="Times New Roman" w:hAnsi="Times New Roman"/>
          <w:i/>
          <w:iCs/>
          <w:sz w:val="24"/>
          <w:szCs w:val="24"/>
        </w:rPr>
        <w:t xml:space="preserve">Rest insertion.</w:t>
      </w:r>
      <w:r>
        <w:rPr>
          <w:rFonts w:ascii="Times New Roman" w:cs="Times New Roman" w:eastAsia="Times New Roman" w:hAnsi="Times New Roman"/>
          <w:sz w:val="24"/>
          <w:szCs w:val="24"/>
        </w:rPr>
        <w:t xml:space="preserve"> The target here is conditional: a substantial gain at low amplitude that fades as amplitude rises. Inserting 10 s between cycles amplifies the response 4.60-fold at low amplitude, 1.66-fold at moderate and 1.45-fold at high. The </w:t>
      </w:r>
      <w:r>
        <w:rPr>
          <w:rFonts w:ascii="Times New Roman" w:cs="Times New Roman" w:eastAsia="Times New Roman" w:hAnsi="Times New Roman"/>
          <w:b/>
          <w:bCs/>
          <w:sz w:val="24"/>
          <w:szCs w:val="24"/>
        </w:rPr>
        <w:t xml:space="preserve">direction</w:t>
      </w:r>
      <w:r>
        <w:rPr>
          <w:rFonts w:ascii="Times New Roman" w:cs="Times New Roman" w:eastAsia="Times New Roman" w:hAnsi="Times New Roman"/>
          <w:sz w:val="24"/>
          <w:szCs w:val="24"/>
        </w:rPr>
        <w:t xml:space="preserve"> matches Srinivasan and colleagues [10] and the </w:t>
      </w:r>
      <w:r>
        <w:rPr>
          <w:rFonts w:ascii="Times New Roman" w:cs="Times New Roman" w:eastAsia="Times New Roman" w:hAnsi="Times New Roman"/>
          <w:b/>
          <w:bCs/>
          <w:sz w:val="24"/>
          <w:szCs w:val="24"/>
        </w:rPr>
        <w:t xml:space="preserve">magnitude is now short of it</w:t>
      </w:r>
      <w:r>
        <w:rPr>
          <w:rFonts w:ascii="Times New Roman" w:cs="Times New Roman" w:eastAsia="Times New Roman" w:hAnsi="Times New Roman"/>
          <w:sz w:val="24"/>
          <w:szCs w:val="24"/>
        </w:rPr>
        <w:t xml:space="preserve">: we obtain 4.60-fold against their measured 5.8-fold — labelled periosteal surface of 21.9 % with rest insertion against 3.8 % without, at a matched 820–830 με — a shortfall of 21 %. We report the history because it is a caution against reading close agreement as validation: this quantity read 13.99-fold before the elastic-law exponents were taken from Currey [16], 6.02-fold after that, and 4.60-fold once the osteocyte turnover constant was corrected (see Limitations). Three successive corrections, none of them aimed at this target, moved it past the measured value and out the other side. The conditional </w:t>
      </w:r>
      <w:r>
        <w:rPr>
          <w:rFonts w:ascii="Times New Roman" w:cs="Times New Roman" w:eastAsia="Times New Roman" w:hAnsi="Times New Roman"/>
          <w:i/>
          <w:iCs/>
          <w:sz w:val="24"/>
          <w:szCs w:val="24"/>
        </w:rPr>
        <w:t xml:space="preserve">shape</w:t>
      </w:r>
      <w:r>
        <w:rPr>
          <w:rFonts w:ascii="Times New Roman" w:cs="Times New Roman" w:eastAsia="Times New Roman" w:hAnsi="Times New Roman"/>
          <w:sz w:val="24"/>
          <w:szCs w:val="24"/>
        </w:rPr>
        <w:t xml:space="preserve"> the target is really about — a large gain at low amplitude that fades as amplitude rises — has survived all three. We flag that this agreement is recent and was not engineered: until the elastic-law exponents were taken from Currey [16] the same quantity was 13.99-fold, and the band we had been scoring against, 2–5-fold, was one we invented rather than read off the source. This too reverses between levels: at the channel level our gain rose with amplitude, contradicting experiment. Downstream saturation flips it to the observed direction, which is a non-trivial success for the cascade structure.</w:t>
      </w:r>
    </w:p>
    <w:p>
      <w:pPr>
        <w:spacing w:after="120" w:line="480" w:lineRule="auto"/>
      </w:pPr>
      <w:r>
        <w:rPr>
          <w:rFonts w:ascii="Times New Roman" w:cs="Times New Roman" w:eastAsia="Times New Roman" w:hAnsi="Times New Roman"/>
          <w:i/>
          <w:iCs/>
          <w:sz w:val="24"/>
          <w:szCs w:val="24"/>
        </w:rPr>
        <w:t xml:space="preserve">Frequency.</w:t>
      </w:r>
      <w:r>
        <w:rPr>
          <w:rFonts w:ascii="Times New Roman" w:cs="Times New Roman" w:eastAsia="Times New Roman" w:hAnsi="Times New Roman"/>
          <w:sz w:val="24"/>
          <w:szCs w:val="24"/>
        </w:rPr>
        <w:t xml:space="preserve"> Here the model disagrees with experiment, and we state it plainly. Fluid shear rises with frequency exactly as poroelasticity requires (τ 4.62 → 20.02 Pa over 1–10 Hz; r against ln f = +0.999, with no fitted parameter). The logarithmic </w:t>
      </w:r>
      <w:r>
        <w:rPr>
          <w:rFonts w:ascii="Times New Roman" w:cs="Times New Roman" w:eastAsia="Times New Roman" w:hAnsi="Times New Roman"/>
          <w:b/>
          <w:bCs/>
          <w:sz w:val="24"/>
          <w:szCs w:val="24"/>
        </w:rPr>
        <w:t xml:space="preserve">form</w:t>
      </w:r>
      <w:r>
        <w:rPr>
          <w:rFonts w:ascii="Times New Roman" w:cs="Times New Roman" w:eastAsia="Times New Roman" w:hAnsi="Times New Roman"/>
          <w:sz w:val="24"/>
          <w:szCs w:val="24"/>
        </w:rPr>
        <w:t xml:space="preserve"> survives to the bone level, but the </w:t>
      </w:r>
      <w:r>
        <w:rPr>
          <w:rFonts w:ascii="Times New Roman" w:cs="Times New Roman" w:eastAsia="Times New Roman" w:hAnsi="Times New Roman"/>
          <w:b/>
          <w:bCs/>
          <w:sz w:val="24"/>
          <w:szCs w:val="24"/>
        </w:rPr>
        <w:t xml:space="preserve">sign does not</w:t>
      </w:r>
      <w:r>
        <w:rPr>
          <w:rFonts w:ascii="Times New Roman" w:cs="Times New Roman" w:eastAsia="Times New Roman" w:hAnsi="Times New Roman"/>
          <w:sz w:val="24"/>
          <w:szCs w:val="24"/>
        </w:rPr>
        <w:t xml:space="preserve">: areal density change falls from +0.715 % to +0.560 % (r = −0.997). A duration-matched control, holding bout length fixed while cycle number scales with frequency, gives the same sign, so this is not a session-length artefact. The mechanism is that the channel opening rate saturates in shear, so the shorter loaded interval per cycle at high frequency costs more than the higher peak shear gains. Experimentally, higher frequency within this range is more osteogenic [11]. This is the sharpest falsifiable consequence of our placeholder channel rate constants and the first thing to re-examine when better values are available.</w:t>
      </w:r>
    </w:p>
    <w:p>
      <w:pPr>
        <w:pStyle w:val="Heading2"/>
        <w:spacing w:after="120" w:before="240" w:line="360" w:lineRule="auto"/>
      </w:pPr>
      <w:r>
        <w:rPr>
          <w:rFonts w:ascii="Times New Roman" w:cs="Times New Roman" w:eastAsia="Times New Roman" w:hAnsi="Times New Roman"/>
          <w:b/>
          <w:bCs/>
          <w:i/>
          <w:iCs/>
          <w:sz w:val="24"/>
          <w:szCs w:val="24"/>
        </w:rPr>
        <w:t xml:space="preserve">P1: calcium is permissive, loading is instructive — under stated measures</w:t>
      </w:r>
    </w:p>
    <w:p>
      <w:pPr>
        <w:spacing w:after="120" w:line="480" w:lineRule="auto"/>
      </w:pPr>
      <w:r>
        <w:rPr>
          <w:rFonts w:ascii="Times New Roman" w:cs="Times New Roman" w:eastAsia="Times New Roman" w:hAnsi="Times New Roman"/>
          <w:b/>
          <w:bCs/>
          <w:sz w:val="24"/>
          <w:szCs w:val="24"/>
        </w:rPr>
        <w:t xml:space="preserve">Fig 3</w:t>
      </w:r>
      <w:r>
        <w:rPr>
          <w:rFonts w:ascii="Times New Roman" w:cs="Times New Roman" w:eastAsia="Times New Roman" w:hAnsi="Times New Roman"/>
          <w:sz w:val="24"/>
          <w:szCs w:val="24"/>
        </w:rPr>
        <w:t xml:space="preserve"> shows a factorial of four calcium intakes against three loading levels over 24 months. P1 has three clauses, and we state the bar for each before giving the numbers. </w:t>
      </w:r>
      <w:r>
        <w:rPr>
          <w:rFonts w:ascii="Times New Roman" w:cs="Times New Roman" w:eastAsia="Times New Roman" w:hAnsi="Times New Roman"/>
          <w:b/>
          <w:bCs/>
          <w:sz w:val="24"/>
          <w:szCs w:val="24"/>
        </w:rPr>
        <w:t xml:space="preserve">Clause 1</w:t>
      </w:r>
      <w:r>
        <w:rPr>
          <w:rFonts w:ascii="Times New Roman" w:cs="Times New Roman" w:eastAsia="Times New Roman" w:hAnsi="Times New Roman"/>
          <w:sz w:val="24"/>
          <w:szCs w:val="24"/>
        </w:rPr>
        <w:t xml:space="preserve">: within the calcium-replete range, the marginal effect of calcium on 24-month bone density is under 1 %. </w:t>
      </w:r>
      <w:r>
        <w:rPr>
          <w:rFonts w:ascii="Times New Roman" w:cs="Times New Roman" w:eastAsia="Times New Roman" w:hAnsi="Times New Roman"/>
          <w:b/>
          <w:bCs/>
          <w:sz w:val="24"/>
          <w:szCs w:val="24"/>
        </w:rPr>
        <w:t xml:space="preserve">Clause 2</w:t>
      </w:r>
      <w:r>
        <w:rPr>
          <w:rFonts w:ascii="Times New Roman" w:cs="Times New Roman" w:eastAsia="Times New Roman" w:hAnsi="Times New Roman"/>
          <w:sz w:val="24"/>
          <w:szCs w:val="24"/>
        </w:rPr>
        <w:t xml:space="preserve">: an appropriate loading programme exceeds 4 % over the same period. </w:t>
      </w:r>
      <w:r>
        <w:rPr>
          <w:rFonts w:ascii="Times New Roman" w:cs="Times New Roman" w:eastAsia="Times New Roman" w:hAnsi="Times New Roman"/>
          <w:b/>
          <w:bCs/>
          <w:sz w:val="24"/>
          <w:szCs w:val="24"/>
        </w:rPr>
        <w:t xml:space="preserve">Clause 3</w:t>
      </w:r>
      <w:r>
        <w:rPr>
          <w:rFonts w:ascii="Times New Roman" w:cs="Times New Roman" w:eastAsia="Times New Roman" w:hAnsi="Times New Roman"/>
          <w:sz w:val="24"/>
          <w:szCs w:val="24"/>
        </w:rPr>
        <w:t xml:space="preserve">: the two interact non-additively, calcium deficiency truncating what loading can build.</w:t>
      </w:r>
    </w:p>
    <w:p>
      <w:pPr>
        <w:spacing w:after="120" w:line="480" w:lineRule="auto"/>
      </w:pPr>
      <w:r>
        <w:rPr>
          <w:rFonts w:ascii="Times New Roman" w:cs="Times New Roman" w:eastAsia="Times New Roman" w:hAnsi="Times New Roman"/>
          <w:b/>
          <w:bCs/>
          <w:sz w:val="24"/>
          <w:szCs w:val="24"/>
        </w:rPr>
        <w:t xml:space="preserve">Fig 3. Calcium against loading (P1).</w:t>
      </w:r>
    </w:p>
    <w:p>
      <w:pPr>
        <w:spacing w:after="120" w:line="480" w:lineRule="auto"/>
      </w:pPr>
      <w:r>
        <w:rPr>
          <w:rFonts w:ascii="Times New Roman" w:cs="Times New Roman" w:eastAsia="Times New Roman" w:hAnsi="Times New Roman"/>
          <w:sz w:val="24"/>
          <w:szCs w:val="24"/>
        </w:rPr>
        <w:t xml:space="preserve">(A) 24-month bone mineral content change across four calcium intakes and three loading levels; dashed line marks P1's 4 % threshold. Only the vigorous programme (2949 με) clears it. (B) The same vigorous-loading contrast in bone mineral content and in areal density: dual-energy X-ray absorptiometry dilutes the loading response by 61 %, because loading moves the periosteal surface outward and areal density divides by projected width.</w:t>
      </w:r>
    </w:p>
    <w:p>
      <w:pPr>
        <w:spacing w:after="120" w:line="480" w:lineRule="auto"/>
      </w:pPr>
      <w:r>
        <w:rPr>
          <w:rFonts w:ascii="Times New Roman" w:cs="Times New Roman" w:eastAsia="Times New Roman" w:hAnsi="Times New Roman"/>
          <w:i/>
          <w:iCs/>
          <w:sz w:val="24"/>
          <w:szCs w:val="24"/>
        </w:rPr>
        <w:t xml:space="preserve">Clause 1.</w:t>
      </w:r>
      <w:r>
        <w:rPr>
          <w:rFonts w:ascii="Times New Roman" w:cs="Times New Roman" w:eastAsia="Times New Roman" w:hAnsi="Times New Roman"/>
          <w:sz w:val="24"/>
          <w:szCs w:val="24"/>
        </w:rPr>
        <w:t xml:space="preserve"> Raising calcium from 800 to 1500 mg/day — the replete range the clause is about — changes 24-month areal density by </w:t>
      </w:r>
      <w:r>
        <w:rPr>
          <w:rFonts w:ascii="Times New Roman" w:cs="Times New Roman" w:eastAsia="Times New Roman" w:hAnsi="Times New Roman"/>
          <w:b/>
          <w:bCs/>
          <w:sz w:val="24"/>
          <w:szCs w:val="24"/>
        </w:rPr>
        <w:t xml:space="preserve">+0.304 %</w:t>
      </w:r>
      <w:r>
        <w:rPr>
          <w:rFonts w:ascii="Times New Roman" w:cs="Times New Roman" w:eastAsia="Times New Roman" w:hAnsi="Times New Roman"/>
          <w:sz w:val="24"/>
          <w:szCs w:val="24"/>
        </w:rPr>
        <w:t xml:space="preserve">, under the 1 % bar. Across the wider 400 to 1500 mg/day contrast against which calibration target V7 is defined, the change is </w:t>
      </w:r>
      <w:r>
        <w:rPr>
          <w:rFonts w:ascii="Times New Roman" w:cs="Times New Roman" w:eastAsia="Times New Roman" w:hAnsi="Times New Roman"/>
          <w:b/>
          <w:bCs/>
          <w:sz w:val="24"/>
          <w:szCs w:val="24"/>
        </w:rPr>
        <w:t xml:space="preserve">+0.663 %, just below the +0.7 to +1.8 % band</w:t>
      </w:r>
      <w:r>
        <w:rPr>
          <w:rFonts w:ascii="Times New Roman" w:cs="Times New Roman" w:eastAsia="Times New Roman" w:hAnsi="Times New Roman"/>
          <w:sz w:val="24"/>
          <w:szCs w:val="24"/>
        </w:rPr>
        <w:t xml:space="preserve"> Tai and colleagues report [6] — a miss of 0.037 against a declared tolerance of 0.8, and one we report rather than fit away. It arrived when the osteocyte turnover constant was corrected (see Limitations), and its direction is the informative part: the calcium arm had been riding on an artefact, and removing the artefact made calcium </w:t>
      </w:r>
      <w:r>
        <w:rPr>
          <w:rFonts w:ascii="Times New Roman" w:cs="Times New Roman" w:eastAsia="Times New Roman" w:hAnsi="Times New Roman"/>
          <w:i/>
          <w:iCs/>
          <w:sz w:val="24"/>
          <w:szCs w:val="24"/>
        </w:rPr>
        <w:t xml:space="preserve">less</w:t>
      </w:r>
      <w:r>
        <w:rPr>
          <w:rFonts w:ascii="Times New Roman" w:cs="Times New Roman" w:eastAsia="Times New Roman" w:hAnsi="Times New Roman"/>
          <w:sz w:val="24"/>
          <w:szCs w:val="24"/>
        </w:rPr>
        <w:t xml:space="preserve"> effective. That is the second time in this work that repairing something unrelated has shrunk the calcium effect, and both times it has strengthened P1's permissive half rather than weakened it. In both contrasts the increment reaches a plateau within the first year rather than accumulating. That non-progressive </w:t>
      </w:r>
      <w:r>
        <w:rPr>
          <w:rFonts w:ascii="Times New Roman" w:cs="Times New Roman" w:eastAsia="Times New Roman" w:hAnsi="Times New Roman"/>
          <w:i/>
          <w:iCs/>
          <w:sz w:val="24"/>
          <w:szCs w:val="24"/>
        </w:rPr>
        <w:t xml:space="preserve">shape</w:t>
      </w:r>
      <w:r>
        <w:rPr>
          <w:rFonts w:ascii="Times New Roman" w:cs="Times New Roman" w:eastAsia="Times New Roman" w:hAnsi="Times New Roman"/>
          <w:sz w:val="24"/>
          <w:szCs w:val="24"/>
        </w:rPr>
        <w:t xml:space="preserve"> is the discriminating feature rather than the magnitude, and it is a fitted target in its own right with its own bar: the slope of the increment over the second half of the run must be under 0.3 %/yr in absolute value, and it is −0.131 %/yr — flat, and if anything very slightly declining.</w:t>
      </w:r>
    </w:p>
    <w:p>
      <w:pPr>
        <w:spacing w:after="120" w:line="480" w:lineRule="auto"/>
      </w:pPr>
      <w:r>
        <w:rPr>
          <w:rFonts w:ascii="Times New Roman" w:cs="Times New Roman" w:eastAsia="Times New Roman" w:hAnsi="Times New Roman"/>
          <w:i/>
          <w:iCs/>
          <w:sz w:val="24"/>
          <w:szCs w:val="24"/>
        </w:rPr>
        <w:t xml:space="preserve">Clause 2.</w:t>
      </w:r>
      <w:r>
        <w:rPr>
          <w:rFonts w:ascii="Times New Roman" w:cs="Times New Roman" w:eastAsia="Times New Roman" w:hAnsi="Times New Roman"/>
          <w:sz w:val="24"/>
          <w:szCs w:val="24"/>
        </w:rPr>
        <w:t xml:space="preserve"> An appropriate loading programme — which we define explicitly as peak strain ≈2900 με, still below the 3000 με physiological ceiling and comparable to an elite tennis player's humerus — raises bone mineral content by </w:t>
      </w:r>
      <w:r>
        <w:rPr>
          <w:rFonts w:ascii="Times New Roman" w:cs="Times New Roman" w:eastAsia="Times New Roman" w:hAnsi="Times New Roman"/>
          <w:b/>
          <w:bCs/>
          <w:sz w:val="24"/>
          <w:szCs w:val="24"/>
        </w:rPr>
        <w:t xml:space="preserve">+4.582 %</w:t>
      </w:r>
      <w:r>
        <w:rPr>
          <w:rFonts w:ascii="Times New Roman" w:cs="Times New Roman" w:eastAsia="Times New Roman" w:hAnsi="Times New Roman"/>
          <w:sz w:val="24"/>
          <w:szCs w:val="24"/>
        </w:rPr>
        <w:t xml:space="preserve">, over the 4 % bar. The ratio to calcium is </w:t>
      </w:r>
      <w:r>
        <w:rPr>
          <w:rFonts w:ascii="Times New Roman" w:cs="Times New Roman" w:eastAsia="Times New Roman" w:hAnsi="Times New Roman"/>
          <w:b/>
          <w:bCs/>
          <w:sz w:val="24"/>
          <w:szCs w:val="24"/>
        </w:rPr>
        <w:t xml:space="preserve">15.1-fold</w:t>
      </w:r>
      <w:r>
        <w:rPr>
          <w:rFonts w:ascii="Times New Roman" w:cs="Times New Roman" w:eastAsia="Times New Roman" w:hAnsi="Times New Roman"/>
          <w:sz w:val="24"/>
          <w:szCs w:val="24"/>
        </w:rPr>
        <w:t xml:space="preserve">.</w:t>
      </w:r>
    </w:p>
    <w:p>
      <w:pPr>
        <w:spacing w:after="120" w:line="480" w:lineRule="auto"/>
      </w:pPr>
      <w:r>
        <w:rPr>
          <w:rFonts w:ascii="Times New Roman" w:cs="Times New Roman" w:eastAsia="Times New Roman" w:hAnsi="Times New Roman"/>
          <w:sz w:val="24"/>
          <w:szCs w:val="24"/>
        </w:rPr>
        <w:t xml:space="preserve">Two qualifications are not caveats but results.</w:t>
      </w:r>
    </w:p>
    <w:p>
      <w:pPr>
        <w:spacing w:after="120" w:line="480" w:lineRule="auto"/>
      </w:pPr>
      <w:r>
        <w:rPr>
          <w:rFonts w:ascii="Times New Roman" w:cs="Times New Roman" w:eastAsia="Times New Roman" w:hAnsi="Times New Roman"/>
          <w:b/>
          <w:bCs/>
          <w:sz w:val="24"/>
          <w:szCs w:val="24"/>
        </w:rPr>
        <w:t xml:space="preserve">The measure changes the answer.</w:t>
      </w:r>
      <w:r>
        <w:rPr>
          <w:rFonts w:ascii="Times New Roman" w:cs="Times New Roman" w:eastAsia="Times New Roman" w:hAnsi="Times New Roman"/>
          <w:sz w:val="24"/>
          <w:szCs w:val="24"/>
        </w:rPr>
        <w:t xml:space="preserve"> The same loading contrast measured as areal density is +1.778 %, not +4.582 %: areal density divides bone mass by projected width, and loading moves the periosteal surface outward, so </w:t>
      </w:r>
      <w:r>
        <w:rPr>
          <w:rFonts w:ascii="Times New Roman" w:cs="Times New Roman" w:eastAsia="Times New Roman" w:hAnsi="Times New Roman"/>
          <w:b/>
          <w:bCs/>
          <w:sz w:val="24"/>
          <w:szCs w:val="24"/>
        </w:rPr>
        <w:t xml:space="preserve">dual-energy X-ray absorptiometry dilutes the loading response by 61 %</w:t>
      </w:r>
      <w:r>
        <w:rPr>
          <w:rFonts w:ascii="Times New Roman" w:cs="Times New Roman" w:eastAsia="Times New Roman" w:hAnsi="Times New Roman"/>
          <w:sz w:val="24"/>
          <w:szCs w:val="24"/>
        </w:rPr>
        <w:t xml:space="preserve">. Our model retains this size artefact deliberately, because it is what allows one model to be read against both the densitometry literature and the peripheral quantitative computed tomography literature. Reporting clause P1-2 in areal density would report a measurement artefact as biology.</w:t>
      </w:r>
    </w:p>
    <w:p>
      <w:pPr>
        <w:spacing w:after="120" w:line="480" w:lineRule="auto"/>
      </w:pPr>
      <w:r>
        <w:rPr>
          <w:rFonts w:ascii="Times New Roman" w:cs="Times New Roman" w:eastAsia="Times New Roman" w:hAnsi="Times New Roman"/>
          <w:b/>
          <w:bCs/>
          <w:sz w:val="24"/>
          <w:szCs w:val="24"/>
        </w:rPr>
        <w:t xml:space="preserve">The intensity changes the answer.</w:t>
      </w:r>
      <w:r>
        <w:rPr>
          <w:rFonts w:ascii="Times New Roman" w:cs="Times New Roman" w:eastAsia="Times New Roman" w:hAnsi="Times New Roman"/>
          <w:sz w:val="24"/>
          <w:szCs w:val="24"/>
        </w:rPr>
        <w:t xml:space="preserve"> Moderate resistance loading (2236 με) gives only +3.118 % and does not support the claim. "Appropriate loading", left undefined, makes the prediction unfalsifiable, since any shortfall can be attributed to insufficiently appropriate loading.</w:t>
      </w:r>
    </w:p>
    <w:p>
      <w:pPr>
        <w:spacing w:after="120" w:line="480" w:lineRule="auto"/>
      </w:pPr>
      <w:r>
        <w:rPr>
          <w:rFonts w:ascii="Times New Roman" w:cs="Times New Roman" w:eastAsia="Times New Roman" w:hAnsi="Times New Roman"/>
          <w:i/>
          <w:iCs/>
          <w:sz w:val="24"/>
          <w:szCs w:val="24"/>
        </w:rPr>
        <w:t xml:space="preserve">Clause 3</w:t>
      </w:r>
      <w:r>
        <w:rPr>
          <w:rFonts w:ascii="Times New Roman" w:cs="Times New Roman" w:eastAsia="Times New Roman" w:hAnsi="Times New Roman"/>
          <w:sz w:val="24"/>
          <w:szCs w:val="24"/>
        </w:rPr>
        <w:t xml:space="preserve"> is supported on both framings, and we flag that this was not true of an earlier version of the model. Calcium deficiency truncates what loading can build: under vigorous loading, severe deficiency achieves +3.994 % against +4.756 % when supplemented, so deficiency costs 16 % of the gain. The </w:t>
      </w:r>
      <w:r>
        <w:rPr>
          <w:rFonts w:ascii="Times New Roman" w:cs="Times New Roman" w:eastAsia="Times New Roman" w:hAnsi="Times New Roman"/>
          <w:i/>
          <w:iCs/>
          <w:sz w:val="24"/>
          <w:szCs w:val="24"/>
        </w:rPr>
        <w:t xml:space="preserve">difference-in-differences</w:t>
      </w:r>
      <w:r>
        <w:rPr>
          <w:rFonts w:ascii="Times New Roman" w:cs="Times New Roman" w:eastAsia="Times New Roman" w:hAnsi="Times New Roman"/>
          <w:sz w:val="24"/>
          <w:szCs w:val="24"/>
        </w:rPr>
        <w:t xml:space="preserve"> interaction — loaded minus sedentary, compared across calcium levels — is </w:t>
      </w:r>
      <w:r>
        <w:rPr>
          <w:rFonts w:ascii="Times New Roman" w:cs="Times New Roman" w:eastAsia="Times New Roman" w:hAnsi="Times New Roman"/>
          <w:b/>
          <w:bCs/>
          <w:sz w:val="24"/>
          <w:szCs w:val="24"/>
        </w:rPr>
        <w:t xml:space="preserve">+0.085</w:t>
      </w:r>
      <w:r>
        <w:rPr>
          <w:rFonts w:ascii="Times New Roman" w:cs="Times New Roman" w:eastAsia="Times New Roman" w:hAnsi="Times New Roman"/>
          <w:sz w:val="24"/>
          <w:szCs w:val="24"/>
        </w:rPr>
        <w:t xml:space="preserve"> percentage points, the same sign, so loading's marginal benefit really is larger when calcium is adequate.</w:t>
      </w:r>
    </w:p>
    <w:p>
      <w:pPr>
        <w:spacing w:after="120" w:line="480" w:lineRule="auto"/>
      </w:pPr>
      <w:r>
        <w:rPr>
          <w:rFonts w:ascii="Times New Roman" w:cs="Times New Roman" w:eastAsia="Times New Roman" w:hAnsi="Times New Roman"/>
          <w:sz w:val="24"/>
          <w:szCs w:val="24"/>
        </w:rPr>
        <w:t xml:space="preserve">We report the history because it bears on how much weight this clause can carry. Before the systemic calcium module was rebuilt (see Limitations), the same quantity was </w:t>
      </w:r>
      <w:r>
        <w:rPr>
          <w:rFonts w:ascii="Times New Roman" w:cs="Times New Roman" w:eastAsia="Times New Roman" w:hAnsi="Times New Roman"/>
          <w:b/>
          <w:bCs/>
          <w:sz w:val="24"/>
          <w:szCs w:val="24"/>
        </w:rPr>
        <w:t xml:space="preserve">−0.536</w:t>
      </w:r>
      <w:r>
        <w:rPr>
          <w:rFonts w:ascii="Times New Roman" w:cs="Times New Roman" w:eastAsia="Times New Roman" w:hAnsi="Times New Roman"/>
          <w:sz w:val="24"/>
          <w:szCs w:val="24"/>
        </w:rPr>
        <w:t xml:space="preserve"> percentage points — the opposite sign — because deficiency dragged the sedentary comparator down faster than the loaded arm, a floor effect in the comparator rather than synergy. The correction that removed a supraphysiological swing in serum calcium also flipped this interaction. A conclusion that changes sign when an unrelated module is repaired is one to hold loosely.</w:t>
      </w:r>
    </w:p>
    <w:p>
      <w:pPr>
        <w:spacing w:after="120" w:line="480" w:lineRule="auto"/>
      </w:pPr>
      <w:r>
        <w:rPr>
          <w:rFonts w:ascii="Times New Roman" w:cs="Times New Roman" w:eastAsia="Times New Roman" w:hAnsi="Times New Roman"/>
          <w:b/>
          <w:bCs/>
          <w:sz w:val="24"/>
          <w:szCs w:val="24"/>
        </w:rPr>
        <w:t xml:space="preserve">One of P1's three clauses therefore reverses sign under a different but equally reasonable measure</w:t>
      </w:r>
      <w:r>
        <w:rPr>
          <w:rFonts w:ascii="Times New Roman" w:cs="Times New Roman" w:eastAsia="Times New Roman" w:hAnsi="Times New Roman"/>
          <w:sz w:val="24"/>
          <w:szCs w:val="24"/>
        </w:rPr>
        <w:t xml:space="preserve">, and a second did so until a module elsewhere in the model was corrected. We regard this as a substantive finding about how such claims must be reported, not a weakness of the model, and we return to it in the Discussion.</w:t>
      </w:r>
    </w:p>
    <w:p>
      <w:pPr>
        <w:pStyle w:val="Heading2"/>
        <w:spacing w:after="120" w:before="240" w:line="360" w:lineRule="auto"/>
      </w:pPr>
      <w:r>
        <w:rPr>
          <w:rFonts w:ascii="Times New Roman" w:cs="Times New Roman" w:eastAsia="Times New Roman" w:hAnsi="Times New Roman"/>
          <w:b/>
          <w:bCs/>
          <w:i/>
          <w:iCs/>
          <w:sz w:val="24"/>
          <w:szCs w:val="24"/>
        </w:rPr>
        <w:t xml:space="preserve">P2: only local loading can produce a local difference</w:t>
      </w:r>
    </w:p>
    <w:p>
      <w:pPr>
        <w:spacing w:after="120" w:line="480" w:lineRule="auto"/>
      </w:pPr>
      <w:r>
        <w:rPr>
          <w:rFonts w:ascii="Times New Roman" w:cs="Times New Roman" w:eastAsia="Times New Roman" w:hAnsi="Times New Roman"/>
          <w:b/>
          <w:bCs/>
          <w:sz w:val="24"/>
          <w:szCs w:val="24"/>
        </w:rPr>
        <w:t xml:space="preserve">Fig 4</w:t>
      </w:r>
      <w:r>
        <w:rPr>
          <w:rFonts w:ascii="Times New Roman" w:cs="Times New Roman" w:eastAsia="Times New Roman" w:hAnsi="Times New Roman"/>
          <w:sz w:val="24"/>
          <w:szCs w:val="24"/>
        </w:rPr>
        <w:t xml:space="preserve"> shows the two-compartment result: one humerus loaded, one not, sharing a single systemic calcium and PTH pool, over five years. P2 has two halves, and the second is the one that can fail cleanly. </w:t>
      </w:r>
      <w:r>
        <w:rPr>
          <w:rFonts w:ascii="Times New Roman" w:cs="Times New Roman" w:eastAsia="Times New Roman" w:hAnsi="Times New Roman"/>
          <w:b/>
          <w:bCs/>
          <w:sz w:val="24"/>
          <w:szCs w:val="24"/>
        </w:rPr>
        <w:t xml:space="preserve">First</w:t>
      </w:r>
      <w:r>
        <w:rPr>
          <w:rFonts w:ascii="Times New Roman" w:cs="Times New Roman" w:eastAsia="Times New Roman" w:hAnsi="Times New Roman"/>
          <w:sz w:val="24"/>
          <w:szCs w:val="24"/>
        </w:rPr>
        <w:t xml:space="preserve">, unilateral loading should reproduce the racquet-sport humerus. </w:t>
      </w:r>
      <w:r>
        <w:rPr>
          <w:rFonts w:ascii="Times New Roman" w:cs="Times New Roman" w:eastAsia="Times New Roman" w:hAnsi="Times New Roman"/>
          <w:b/>
          <w:bCs/>
          <w:sz w:val="24"/>
          <w:szCs w:val="24"/>
        </w:rPr>
        <w:t xml:space="preserve">Second</w:t>
      </w:r>
      <w:r>
        <w:rPr>
          <w:rFonts w:ascii="Times New Roman" w:cs="Times New Roman" w:eastAsia="Times New Roman" w:hAnsi="Times New Roman"/>
          <w:sz w:val="24"/>
          <w:szCs w:val="24"/>
        </w:rPr>
        <w:t xml:space="preserve">, no systemic intervention should produce a side-to-side difference at all — a single non-zero asymmetry under a systemic agent would falsify it.</w:t>
      </w:r>
    </w:p>
    <w:p>
      <w:pPr>
        <w:spacing w:after="120" w:line="480" w:lineRule="auto"/>
      </w:pPr>
      <w:r>
        <w:rPr>
          <w:rFonts w:ascii="Times New Roman" w:cs="Times New Roman" w:eastAsia="Times New Roman" w:hAnsi="Times New Roman"/>
          <w:b/>
          <w:bCs/>
          <w:sz w:val="24"/>
          <w:szCs w:val="24"/>
        </w:rPr>
        <w:t xml:space="preserve">Fig 4. Site specificity (P2).</w:t>
      </w:r>
    </w:p>
    <w:p>
      <w:pPr>
        <w:spacing w:after="120" w:line="480" w:lineRule="auto"/>
      </w:pPr>
      <w:r>
        <w:rPr>
          <w:rFonts w:ascii="Times New Roman" w:cs="Times New Roman" w:eastAsia="Times New Roman" w:hAnsi="Times New Roman"/>
          <w:sz w:val="24"/>
          <w:szCs w:val="24"/>
        </w:rPr>
        <w:t xml:space="preserve">(A) The six pQCT indices of the loaded humerus against Haapasalo's measured ranges (grey bands). All six fall within tolerance, and all six were held out of calibration. (B) Side-to-side difference by intervention type: only unilateral loading produces one; systemic calcium and systemic romosozumab produce 0.0000 %.</w:t>
      </w:r>
    </w:p>
    <w:p>
      <w:pPr>
        <w:spacing w:after="120" w:line="480" w:lineRule="auto"/>
      </w:pPr>
      <w:r>
        <w:rPr>
          <w:rFonts w:ascii="Times New Roman" w:cs="Times New Roman" w:eastAsia="Times New Roman" w:hAnsi="Times New Roman"/>
          <w:sz w:val="24"/>
          <w:szCs w:val="24"/>
        </w:rPr>
        <w:t xml:space="preserve">All six pQCT indices reported by Haapasalo and colleagues [7] fall within tolerance, model against measured range: bone mineral content +12.38 % against 14–27 %, total area +12.17 % against 16–21 %, cortical area +10.40 % against 12–32 %, maximal second moment of area +24.48 % against 27–67 %, medullary cavity +13.93 % against 19 %, and cortical volumetric density +1.79 % against −2 to 0 %. Per-index tolerances are listed in </w:t>
      </w:r>
      <w:r>
        <w:rPr>
          <w:rFonts w:ascii="Times New Roman" w:cs="Times New Roman" w:eastAsia="Times New Roman" w:hAnsi="Times New Roman"/>
          <w:b/>
          <w:bCs/>
          <w:sz w:val="24"/>
          <w:szCs w:val="24"/>
        </w:rPr>
        <w:t xml:space="preserve">S2 Table</w:t>
      </w:r>
      <w:r>
        <w:rPr>
          <w:rFonts w:ascii="Times New Roman" w:cs="Times New Roman" w:eastAsia="Times New Roman" w:hAnsi="Times New Roman"/>
          <w:sz w:val="24"/>
          <w:szCs w:val="24"/>
        </w:rPr>
        <w:t xml:space="preserve">. These are </w:t>
      </w:r>
      <w:r>
        <w:rPr>
          <w:rFonts w:ascii="Times New Roman" w:cs="Times New Roman" w:eastAsia="Times New Roman" w:hAnsi="Times New Roman"/>
          <w:b/>
          <w:bCs/>
          <w:sz w:val="24"/>
          <w:szCs w:val="24"/>
        </w:rPr>
        <w:t xml:space="preserve">hold-out</w:t>
      </w:r>
      <w:r>
        <w:rPr>
          <w:rFonts w:ascii="Times New Roman" w:cs="Times New Roman" w:eastAsia="Times New Roman" w:hAnsi="Times New Roman"/>
          <w:sz w:val="24"/>
          <w:szCs w:val="24"/>
        </w:rPr>
        <w:t xml:space="preserve"> values. The discriminating one is the last: the playing arm's gain is geometric, with volumetric density essentially unchanged, and the model was never fitted to that constraint.</w:t>
      </w:r>
    </w:p>
    <w:p>
      <w:pPr>
        <w:spacing w:after="120" w:line="480" w:lineRule="auto"/>
      </w:pPr>
      <w:r>
        <w:rPr>
          <w:rFonts w:ascii="Times New Roman" w:cs="Times New Roman" w:eastAsia="Times New Roman" w:hAnsi="Times New Roman"/>
          <w:sz w:val="24"/>
          <w:szCs w:val="24"/>
        </w:rPr>
        <w:t xml:space="preserve">The complementary claim is the sharper one. With both arms loaded identically and a systemic intervention applied — 1500 mg/day calcium, or romosozumab — the side-to-side difference is </w:t>
      </w:r>
      <w:r>
        <w:rPr>
          <w:rFonts w:ascii="Times New Roman" w:cs="Times New Roman" w:eastAsia="Times New Roman" w:hAnsi="Times New Roman"/>
          <w:b/>
          <w:bCs/>
          <w:sz w:val="24"/>
          <w:szCs w:val="24"/>
        </w:rPr>
        <w:t xml:space="preserve">+12.38 %</w:t>
      </w:r>
      <w:r>
        <w:rPr>
          <w:rFonts w:ascii="Times New Roman" w:cs="Times New Roman" w:eastAsia="Times New Roman" w:hAnsi="Times New Roman"/>
          <w:sz w:val="24"/>
          <w:szCs w:val="24"/>
        </w:rPr>
        <w:t xml:space="preserve"> for loading against </w:t>
      </w:r>
      <w:r>
        <w:rPr>
          <w:rFonts w:ascii="Times New Roman" w:cs="Times New Roman" w:eastAsia="Times New Roman" w:hAnsi="Times New Roman"/>
          <w:b/>
          <w:bCs/>
          <w:sz w:val="24"/>
          <w:szCs w:val="24"/>
        </w:rPr>
        <w:t xml:space="preserve">−0.0000 %</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−0.0000 %</w:t>
      </w:r>
      <w:r>
        <w:rPr>
          <w:rFonts w:ascii="Times New Roman" w:cs="Times New Roman" w:eastAsia="Times New Roman" w:hAnsi="Times New Roman"/>
          <w:sz w:val="24"/>
          <w:szCs w:val="24"/>
        </w:rPr>
        <w:t xml:space="preserve"> respectively. Because both compartments see the identical shared PTH, no systemic agent can manufacture a local difference. The tennis-player asymmetry is not reproducible by any pill, in this framework as a matter of structure rather than of parameter values.</w:t>
      </w:r>
    </w:p>
    <w:p>
      <w:pPr>
        <w:pStyle w:val="Heading2"/>
        <w:spacing w:after="120" w:before="240" w:line="360" w:lineRule="auto"/>
      </w:pPr>
      <w:r>
        <w:rPr>
          <w:rFonts w:ascii="Times New Roman" w:cs="Times New Roman" w:eastAsia="Times New Roman" w:hAnsi="Times New Roman"/>
          <w:b/>
          <w:bCs/>
          <w:i/>
          <w:iCs/>
          <w:sz w:val="24"/>
          <w:szCs w:val="24"/>
        </w:rPr>
        <w:t xml:space="preserve">Disuse and the minimum effective countermeasure</w:t>
      </w:r>
    </w:p>
    <w:p>
      <w:pPr>
        <w:spacing w:after="120" w:line="480" w:lineRule="auto"/>
      </w:pPr>
      <w:r>
        <w:rPr>
          <w:rFonts w:ascii="Times New Roman" w:cs="Times New Roman" w:eastAsia="Times New Roman" w:hAnsi="Times New Roman"/>
          <w:sz w:val="24"/>
          <w:szCs w:val="24"/>
        </w:rPr>
        <w:t xml:space="preserve">Unloading produces 1.220 %/month bone loss over the 180-day window (</w:t>
      </w:r>
      <w:r>
        <w:rPr>
          <w:rFonts w:ascii="Times New Roman" w:cs="Times New Roman" w:eastAsia="Times New Roman" w:hAnsi="Times New Roman"/>
          <w:b/>
          <w:bCs/>
          <w:sz w:val="24"/>
          <w:szCs w:val="24"/>
        </w:rPr>
        <w:t xml:space="preserve">Fig 5</w:t>
      </w:r>
      <w:r>
        <w:rPr>
          <w:rFonts w:ascii="Times New Roman" w:cs="Times New Roman" w:eastAsia="Times New Roman" w:hAnsi="Times New Roman"/>
          <w:sz w:val="24"/>
          <w:szCs w:val="24"/>
        </w:rPr>
        <w:t xml:space="preserve">). The bar was the 1.0–1.5 %/month band, which sits inside the 1–2 %/month decline reported at weight-bearing sites over 90 days of head-down bed rest [24]. The quantity we compute is bone mineral content rather than areal density; in disuse the periosteum barely moves (−0.002 mm over 180 days) and the two agree to 0.003 percentage points per month, unlike the loading contrast above where they differ by 61 %.</w:t>
      </w:r>
    </w:p>
    <w:p>
      <w:pPr>
        <w:spacing w:after="120" w:line="480" w:lineRule="auto"/>
      </w:pPr>
      <w:r>
        <w:rPr>
          <w:rFonts w:ascii="Times New Roman" w:cs="Times New Roman" w:eastAsia="Times New Roman" w:hAnsi="Times New Roman"/>
          <w:b/>
          <w:bCs/>
          <w:sz w:val="24"/>
          <w:szCs w:val="24"/>
        </w:rPr>
        <w:t xml:space="preserve">Fig 5. Disuse and the minimum effective countermeasure.</w:t>
      </w:r>
    </w:p>
    <w:p>
      <w:pPr>
        <w:spacing w:after="120" w:line="480" w:lineRule="auto"/>
      </w:pPr>
      <w:r>
        <w:rPr>
          <w:rFonts w:ascii="Times New Roman" w:cs="Times New Roman" w:eastAsia="Times New Roman" w:hAnsi="Times New Roman"/>
          <w:sz w:val="24"/>
          <w:szCs w:val="24"/>
        </w:rPr>
        <w:t xml:space="preserve">(A) Bone mineral content over 180 days of unloading, unprotected and with the best in-budget countermeasure. (B) Monthly loss across the countermeasure grid; blank cells exceed the 30 min/day budget. No in-budget regimen holds loss below 0.25 %/month.</w:t>
      </w:r>
    </w:p>
    <w:p>
      <w:pPr>
        <w:spacing w:after="120" w:line="480" w:lineRule="auto"/>
      </w:pPr>
      <w:r>
        <w:rPr>
          <w:rFonts w:ascii="Times New Roman" w:cs="Times New Roman" w:eastAsia="Times New Roman" w:hAnsi="Times New Roman"/>
          <w:sz w:val="24"/>
          <w:szCs w:val="24"/>
        </w:rPr>
        <w:t xml:space="preserve">Sclerostin rises, which is the direction the target requires, but the </w:t>
      </w:r>
      <w:r>
        <w:rPr>
          <w:rFonts w:ascii="Times New Roman" w:cs="Times New Roman" w:eastAsia="Times New Roman" w:hAnsi="Times New Roman"/>
          <w:i/>
          <w:iCs/>
          <w:sz w:val="24"/>
          <w:szCs w:val="24"/>
        </w:rPr>
        <w:t xml:space="preserve">shape</w:t>
      </w:r>
      <w:r>
        <w:rPr>
          <w:rFonts w:ascii="Times New Roman" w:cs="Times New Roman" w:eastAsia="Times New Roman" w:hAnsi="Times New Roman"/>
          <w:sz w:val="24"/>
          <w:szCs w:val="24"/>
        </w:rPr>
        <w:t xml:space="preserve"> is wrong and we report this as a partial match. Serum sclerostin in the model reaches +58.0 % and then stays there, essentially flat from day 28 onward. Measured in men over 90 days of bed rest it rises to +29 % at day 28, peaks at +42 % at day 60, and has fallen back to +22 % by day 90 [24]. We reproduce the rise but overshoot its peak by half again, and we do not reproduce the attenuation at all: sclerostin here equilibrates within days to the new mechanical dose and has no adaptive decline.</w:t>
      </w:r>
    </w:p>
    <w:p>
      <w:pPr>
        <w:spacing w:after="120" w:line="480" w:lineRule="auto"/>
      </w:pPr>
      <w:r>
        <w:rPr>
          <w:rFonts w:ascii="Times New Roman" w:cs="Times New Roman" w:eastAsia="Times New Roman" w:hAnsi="Times New Roman"/>
          <w:sz w:val="24"/>
          <w:szCs w:val="24"/>
        </w:rPr>
        <w:t xml:space="preserve">The same experiment supplies a second check, on the systemic arm, and it is one the model failed until we repaired it. In those subjects parathyroid hormone fell 17 % by day 28 and 24 % by day 60, with urinary calcium significantly elevated throughout [24] — the classic immobilisation picture, in which calcium released from unloaded bone suppresses the parathyroid. The model now reproduces it: parathyroid hormone falls </w:t>
      </w:r>
      <w:r>
        <w:rPr>
          <w:rFonts w:ascii="Times New Roman" w:cs="Times New Roman" w:eastAsia="Times New Roman" w:hAnsi="Times New Roman"/>
          <w:b/>
          <w:bCs/>
          <w:sz w:val="24"/>
          <w:szCs w:val="24"/>
        </w:rPr>
        <w:t xml:space="preserve">21.2 %</w:t>
      </w:r>
      <w:r>
        <w:rPr>
          <w:rFonts w:ascii="Times New Roman" w:cs="Times New Roman" w:eastAsia="Times New Roman" w:hAnsi="Times New Roman"/>
          <w:sz w:val="24"/>
          <w:szCs w:val="24"/>
        </w:rPr>
        <w:t xml:space="preserve"> by day 28 and </w:t>
      </w:r>
      <w:r>
        <w:rPr>
          <w:rFonts w:ascii="Times New Roman" w:cs="Times New Roman" w:eastAsia="Times New Roman" w:hAnsi="Times New Roman"/>
          <w:b/>
          <w:bCs/>
          <w:sz w:val="24"/>
          <w:szCs w:val="24"/>
        </w:rPr>
        <w:t xml:space="preserve">21.3 %</w:t>
      </w:r>
      <w:r>
        <w:rPr>
          <w:rFonts w:ascii="Times New Roman" w:cs="Times New Roman" w:eastAsia="Times New Roman" w:hAnsi="Times New Roman"/>
          <w:sz w:val="24"/>
          <w:szCs w:val="24"/>
        </w:rPr>
        <w:t xml:space="preserve"> by day 60, on a serum calcium rise of 2.8 %.</w:t>
      </w:r>
    </w:p>
    <w:p>
      <w:pPr>
        <w:spacing w:after="120" w:line="480" w:lineRule="auto"/>
      </w:pPr>
      <w:r>
        <w:rPr>
          <w:rFonts w:ascii="Times New Roman" w:cs="Times New Roman" w:eastAsia="Times New Roman" w:hAnsi="Times New Roman"/>
          <w:sz w:val="24"/>
          <w:szCs w:val="24"/>
        </w:rPr>
        <w:t xml:space="preserve">It did not before. In the version of this module we first built, the same run moved parathyroid hormone by 0.01 % — the coefficients carrying skeletal calcium into the serum pool were three orders of magnitude below the flux they were normalised against, so bone could not move serum calcium at all, and the coupling we describe as bidirectional was in practice one-way. We report this because the failure was invisible to every target we had: nothing in the validation set asked the model to move systemic calcium from bone, so nothing caught it until we tested a fact the literature had recorded and we had not.</w:t>
      </w:r>
    </w:p>
    <w:p>
      <w:pPr>
        <w:spacing w:after="120" w:line="480" w:lineRule="auto"/>
      </w:pPr>
      <w:r>
        <w:rPr>
          <w:rFonts w:ascii="Times New Roman" w:cs="Times New Roman" w:eastAsia="Times New Roman" w:hAnsi="Times New Roman"/>
          <w:sz w:val="24"/>
          <w:szCs w:val="24"/>
        </w:rPr>
        <w:t xml:space="preserve">Searching loading prescriptions under a ≤30 min/day constraint, the best regimen within budget (peak moment ×4.5, 80 cycles, 0.5 Hz, 10 s inter-cycle rest, 16.0 min/day) reduces loss to 0.771 %/month — preventing 37 % of it. </w:t>
      </w:r>
      <w:r>
        <w:rPr>
          <w:rFonts w:ascii="Times New Roman" w:cs="Times New Roman" w:eastAsia="Times New Roman" w:hAnsi="Times New Roman"/>
          <w:b/>
          <w:bCs/>
          <w:sz w:val="24"/>
          <w:szCs w:val="24"/>
        </w:rPr>
        <w:t xml:space="preserve">No regimen within the time budget holds loss below 0.25 %/month.</w:t>
      </w:r>
      <w:r>
        <w:rPr>
          <w:rFonts w:ascii="Times New Roman" w:cs="Times New Roman" w:eastAsia="Times New Roman" w:hAnsi="Times New Roman"/>
          <w:sz w:val="24"/>
          <w:szCs w:val="24"/>
        </w:rPr>
        <w:t xml:space="preserve"> We report this negative result because it is clinically relevant: in this model, time-efficient loading alone does not arrest disuse osteopenia.</w:t>
      </w:r>
    </w:p>
    <w:p>
      <w:pPr>
        <w:spacing w:after="120" w:line="480" w:lineRule="auto"/>
      </w:pPr>
      <w:r>
        <w:rPr>
          <w:rFonts w:ascii="Times New Roman" w:cs="Times New Roman" w:eastAsia="Times New Roman" w:hAnsi="Times New Roman"/>
          <w:sz w:val="24"/>
          <w:szCs w:val="24"/>
        </w:rPr>
        <w:t xml:space="preserve">We also flag a scope limit that our validity check surfaced. Beyond about 7.5 months, complete unloading drives the model to its porosity floor and out of the linear-elastic domain the entire mechanics stack assumes. Real bed rest decelerates and plateaus at 30–50 % loss. All disuse results here are confined to the 180-day window on which the target is defined, and every run reports whether it stayed inside the elastic domain.</w:t>
      </w:r>
    </w:p>
    <w:p>
      <w:pPr>
        <w:pStyle w:val="Heading2"/>
        <w:spacing w:after="120" w:before="240" w:line="360" w:lineRule="auto"/>
      </w:pPr>
      <w:r>
        <w:rPr>
          <w:rFonts w:ascii="Times New Roman" w:cs="Times New Roman" w:eastAsia="Times New Roman" w:hAnsi="Times New Roman"/>
          <w:b/>
          <w:bCs/>
          <w:i/>
          <w:iCs/>
          <w:sz w:val="24"/>
          <w:szCs w:val="24"/>
        </w:rPr>
        <w:t xml:space="preserve">Pharmacology: self-limitation, withdrawal rebound, and a shared node</w:t>
      </w:r>
    </w:p>
    <w:p>
      <w:pPr>
        <w:spacing w:after="120" w:line="480" w:lineRule="auto"/>
      </w:pPr>
      <w:r>
        <w:rPr>
          <w:rFonts w:ascii="Times New Roman" w:cs="Times New Roman" w:eastAsia="Times New Roman" w:hAnsi="Times New Roman"/>
          <w:b/>
          <w:bCs/>
          <w:sz w:val="24"/>
          <w:szCs w:val="24"/>
        </w:rPr>
        <w:t xml:space="preserve">Fig 6</w:t>
      </w:r>
      <w:r>
        <w:rPr>
          <w:rFonts w:ascii="Times New Roman" w:cs="Times New Roman" w:eastAsia="Times New Roman" w:hAnsi="Times New Roman"/>
          <w:sz w:val="24"/>
          <w:szCs w:val="24"/>
        </w:rPr>
        <w:t xml:space="preserve"> shows four arms over 24 months with romosozumab stopped at month 12.</w:t>
      </w:r>
    </w:p>
    <w:p>
      <w:pPr>
        <w:spacing w:after="120" w:line="480" w:lineRule="auto"/>
      </w:pPr>
      <w:r>
        <w:rPr>
          <w:rFonts w:ascii="Times New Roman" w:cs="Times New Roman" w:eastAsia="Times New Roman" w:hAnsi="Times New Roman"/>
          <w:b/>
          <w:bCs/>
          <w:sz w:val="24"/>
          <w:szCs w:val="24"/>
        </w:rPr>
        <w:t xml:space="preserve">Fig 6. Romosozumab, withdrawal and loading.</w:t>
      </w:r>
    </w:p>
    <w:p>
      <w:pPr>
        <w:spacing w:after="120" w:line="480" w:lineRule="auto"/>
      </w:pPr>
      <w:r>
        <w:rPr>
          <w:rFonts w:ascii="Times New Roman" w:cs="Times New Roman" w:eastAsia="Times New Roman" w:hAnsi="Times New Roman"/>
          <w:sz w:val="24"/>
          <w:szCs w:val="24"/>
        </w:rPr>
        <w:t xml:space="preserve">(A) Four arms over 24 months, drug stopped at month 12. (B) The osteoblast population on drug: it peaks early and declines while dosing continues, because compensatory </w:t>
      </w:r>
      <w:r>
        <w:rPr>
          <w:rFonts w:ascii="Times New Roman" w:cs="Times New Roman" w:eastAsia="Times New Roman" w:hAnsi="Times New Roman"/>
          <w:i/>
          <w:iCs/>
          <w:sz w:val="24"/>
          <w:szCs w:val="24"/>
        </w:rPr>
        <w:t xml:space="preserve">SOST</w:t>
      </w:r>
      <w:r>
        <w:rPr>
          <w:rFonts w:ascii="Times New Roman" w:cs="Times New Roman" w:eastAsia="Times New Roman" w:hAnsi="Times New Roman"/>
          <w:sz w:val="24"/>
          <w:szCs w:val="24"/>
        </w:rPr>
        <w:t xml:space="preserve"> transcription progressively offsets the antibody. (C) Trabecular against cortical response, with the +11–14 % spine target band shaded; the 5.3-fold amplification comes from structure alone.</w:t>
      </w:r>
    </w:p>
    <w:p>
      <w:pPr>
        <w:spacing w:after="120" w:line="480" w:lineRule="auto"/>
      </w:pPr>
      <w:r>
        <w:rPr>
          <w:rFonts w:ascii="Times New Roman" w:cs="Times New Roman" w:eastAsia="Times New Roman" w:hAnsi="Times New Roman"/>
          <w:sz w:val="24"/>
          <w:szCs w:val="24"/>
        </w:rPr>
        <w:t xml:space="preserve">Because the +11–14 % romosozumab target is a </w:t>
      </w:r>
      <w:r>
        <w:rPr>
          <w:rFonts w:ascii="Times New Roman" w:cs="Times New Roman" w:eastAsia="Times New Roman" w:hAnsi="Times New Roman"/>
          <w:i/>
          <w:iCs/>
          <w:sz w:val="24"/>
          <w:szCs w:val="24"/>
        </w:rPr>
        <w:t xml:space="preserve">lumbar spine</w:t>
      </w:r>
      <w:r>
        <w:rPr>
          <w:rFonts w:ascii="Times New Roman" w:cs="Times New Roman" w:eastAsia="Times New Roman" w:hAnsi="Times New Roman"/>
          <w:sz w:val="24"/>
          <w:szCs w:val="24"/>
        </w:rPr>
        <w:t xml:space="preserve"> number [14] and the spine is trabecular, we evaluate it in a trabecular vertebral compartment derived from the cortical parameter set by changing only structure, geometry and load — the biology is shared. One consistency check does not come free, and saying why is more useful than the check. Until v2.16 a single exponent served both compartments; taking the measured value shows that agreement was a compromise, not a validation. Currey's power law over compact bone [16] gives 3.13, which at a bone volume fraction of 0.12 puts the vertebra at 26 MPa — below the measured 50–300 MPa range. Trabecular bone is a cellular solid, and Gibson–Ashby open-cell scaling gives 2. Using 3.13 in cortex and 2.00 here gives an apparent modulus of 288.0 MPa, inside the measured range, on a measurement at each end rather than one value split between them.</w:t>
      </w:r>
    </w:p>
    <w:p>
      <w:pPr>
        <w:spacing w:after="120" w:line="480" w:lineRule="auto"/>
      </w:pPr>
      <w:r>
        <w:rPr>
          <w:rFonts w:ascii="Times New Roman" w:cs="Times New Roman" w:eastAsia="Times New Roman" w:hAnsi="Times New Roman"/>
          <w:sz w:val="24"/>
          <w:szCs w:val="24"/>
        </w:rPr>
        <w:t xml:space="preserve">In that compartment romosozumab gives </w:t>
      </w:r>
      <w:r>
        <w:rPr>
          <w:rFonts w:ascii="Times New Roman" w:cs="Times New Roman" w:eastAsia="Times New Roman" w:hAnsi="Times New Roman"/>
          <w:b/>
          <w:bCs/>
          <w:sz w:val="24"/>
          <w:szCs w:val="24"/>
        </w:rPr>
        <w:t xml:space="preserve">+12.459 %</w:t>
      </w:r>
      <w:r>
        <w:rPr>
          <w:rFonts w:ascii="Times New Roman" w:cs="Times New Roman" w:eastAsia="Times New Roman" w:hAnsi="Times New Roman"/>
          <w:sz w:val="24"/>
          <w:szCs w:val="24"/>
        </w:rPr>
        <w:t xml:space="preserve"> at 12 months, inside the 11–14 % target band, against +2.334 % in cortex — a 5.3-fold amplification arising from structure alone. This is a </w:t>
      </w:r>
      <w:r>
        <w:rPr>
          <w:rFonts w:ascii="Times New Roman" w:cs="Times New Roman" w:eastAsia="Times New Roman" w:hAnsi="Times New Roman"/>
          <w:b/>
          <w:bCs/>
          <w:sz w:val="24"/>
          <w:szCs w:val="24"/>
        </w:rPr>
        <w:t xml:space="preserve">calibration</w:t>
      </w:r>
      <w:r>
        <w:rPr>
          <w:rFonts w:ascii="Times New Roman" w:cs="Times New Roman" w:eastAsia="Times New Roman" w:hAnsi="Times New Roman"/>
          <w:sz w:val="24"/>
          <w:szCs w:val="24"/>
        </w:rPr>
        <w:t xml:space="preserve"> target, not a prediction: </w:t>
      </w:r>
      <w:r>
        <w:rPr>
          <w:rFonts w:ascii="Courier New" w:cs="Courier New" w:eastAsia="Courier New" w:hAnsi="Courier New"/>
          <w:sz w:val="24"/>
          <w:szCs w:val="24"/>
        </w:rPr>
        <w:t xml:space="preserve">delta_ab</w:t>
      </w:r>
      <w:r>
        <w:rPr>
          <w:rFonts w:ascii="Times New Roman" w:cs="Times New Roman" w:eastAsia="Times New Roman" w:hAnsi="Times New Roman"/>
          <w:sz w:val="24"/>
          <w:szCs w:val="24"/>
        </w:rPr>
        <w:t xml:space="preserve"> was fitted to it. The amplification factor, by contrast, has no direct empirical counterpart and we do not present it as validated. The nearest clinical comparison is the spine-to-hip contrast, +15.1 % against +5.4 % at 24 months on the 210 mg monthly regimen [23], about threefold — but the total hip is a mixed cortical–trabecular site whereas our cortical compartment is a pure diaphysis, so a larger ratio is expected and the two numbers are not like for like. Building the compartment also forced a general constraint into the open: because the signalling chain is shared, both compartments must sit at the same emergent shear set point, which a vertebra at realistic load and bone volume fraction does not do at the same tissue strain. The poroelastic transfer coefficient must therefore differ between trabecular and osteonal bone — defensible, since it is a microstructural property, and set here by matching baseline shear rather than by fitting any outcome.</w:t>
      </w:r>
    </w:p>
    <w:p>
      <w:pPr>
        <w:spacing w:after="120" w:line="480" w:lineRule="auto"/>
      </w:pPr>
      <w:r>
        <w:rPr>
          <w:rFonts w:ascii="Times New Roman" w:cs="Times New Roman" w:eastAsia="Times New Roman" w:hAnsi="Times New Roman"/>
          <w:i/>
          <w:iCs/>
          <w:sz w:val="24"/>
          <w:szCs w:val="24"/>
        </w:rPr>
        <w:t xml:space="preserve">Self-limitation.</w:t>
      </w:r>
      <w:r>
        <w:rPr>
          <w:rFonts w:ascii="Times New Roman" w:cs="Times New Roman" w:eastAsia="Times New Roman" w:hAnsi="Times New Roman"/>
          <w:sz w:val="24"/>
          <w:szCs w:val="24"/>
        </w:rPr>
        <w:t xml:space="preserve"> The formation marker rises, peaks, and then declines while dosing continues (rise +0.421 in the first half of the course against −0.259 in the second), which is the shape the marker data show. The </w:t>
      </w:r>
      <w:r>
        <w:rPr>
          <w:rFonts w:ascii="Times New Roman" w:cs="Times New Roman" w:eastAsia="Times New Roman" w:hAnsi="Times New Roman"/>
          <w:b/>
          <w:bCs/>
          <w:sz w:val="24"/>
          <w:szCs w:val="24"/>
        </w:rPr>
        <w:t xml:space="preserve">timing does not match</w:t>
      </w:r>
      <w:r>
        <w:rPr>
          <w:rFonts w:ascii="Times New Roman" w:cs="Times New Roman" w:eastAsia="Times New Roman" w:hAnsi="Times New Roman"/>
          <w:sz w:val="24"/>
          <w:szCs w:val="24"/>
        </w:rPr>
        <w:t xml:space="preserve">: our marker peaks at about month 0.2 and reaches 3.169-fold baseline, whereas formation markers clinically peak near month 1 and decline towards baseline over 6–12 months. We reproduce the self-limitation but compress its onset. The mechanism is explicit: compensatory up-regulation of </w:t>
      </w:r>
      <w:r>
        <w:rPr>
          <w:rFonts w:ascii="Times New Roman" w:cs="Times New Roman" w:eastAsia="Times New Roman" w:hAnsi="Times New Roman"/>
          <w:i/>
          <w:iCs/>
          <w:sz w:val="24"/>
          <w:szCs w:val="24"/>
        </w:rPr>
        <w:t xml:space="preserve">SOST</w:t>
      </w:r>
      <w:r>
        <w:rPr>
          <w:rFonts w:ascii="Times New Roman" w:cs="Times New Roman" w:eastAsia="Times New Roman" w:hAnsi="Times New Roman"/>
          <w:sz w:val="24"/>
          <w:szCs w:val="24"/>
        </w:rPr>
        <w:t xml:space="preserve"> transcription accumulates under antibody exposure and progressively offsets it, so free sclerostin climbs back toward baseline by month 9 while treatment is still running.</w:t>
      </w:r>
    </w:p>
    <w:p>
      <w:pPr>
        <w:spacing w:after="120" w:line="480" w:lineRule="auto"/>
      </w:pPr>
      <w:r>
        <w:rPr>
          <w:rFonts w:ascii="Times New Roman" w:cs="Times New Roman" w:eastAsia="Times New Roman" w:hAnsi="Times New Roman"/>
          <w:i/>
          <w:iCs/>
          <w:sz w:val="24"/>
          <w:szCs w:val="24"/>
        </w:rPr>
        <w:t xml:space="preserve">Withdrawal.</w:t>
      </w:r>
      <w:r>
        <w:rPr>
          <w:rFonts w:ascii="Times New Roman" w:cs="Times New Roman" w:eastAsia="Times New Roman" w:hAnsi="Times New Roman"/>
          <w:sz w:val="24"/>
          <w:szCs w:val="24"/>
        </w:rPr>
        <w:t xml:space="preserve"> That same compensation decays on its own clock rather than the antibody's, so when clearance stops the raised production does not, sclerostin overshoots, and resorption surges through the RANKL-dependent arm of sclerostin action [15]. We calibrated this mechanism against the post-withdrawal </w:t>
      </w:r>
      <w:r>
        <w:rPr>
          <w:rFonts w:ascii="Times New Roman" w:cs="Times New Roman" w:eastAsia="Times New Roman" w:hAnsi="Times New Roman"/>
          <w:b/>
          <w:bCs/>
          <w:sz w:val="24"/>
          <w:szCs w:val="24"/>
        </w:rPr>
        <w:t xml:space="preserve">resorption marker</w:t>
      </w:r>
      <w:r>
        <w:rPr>
          <w:rFonts w:ascii="Times New Roman" w:cs="Times New Roman" w:eastAsia="Times New Roman" w:hAnsi="Times New Roman"/>
          <w:sz w:val="24"/>
          <w:szCs w:val="24"/>
        </w:rPr>
        <w:t xml:space="preserve"> overshoot (1.124 × baseline, </w:t>
      </w:r>
      <w:r>
        <w:rPr>
          <w:rFonts w:ascii="Times New Roman" w:cs="Times New Roman" w:eastAsia="Times New Roman" w:hAnsi="Times New Roman"/>
          <w:b/>
          <w:bCs/>
          <w:sz w:val="24"/>
          <w:szCs w:val="24"/>
        </w:rPr>
        <w:t xml:space="preserve">outside</w:t>
      </w:r>
      <w:r>
        <w:rPr>
          <w:rFonts w:ascii="Times New Roman" w:cs="Times New Roman" w:eastAsia="Times New Roman" w:hAnsi="Times New Roman"/>
          <w:sz w:val="24"/>
          <w:szCs w:val="24"/>
        </w:rPr>
        <w:t xml:space="preserve"> the 1.2–1.4 range corresponding to the rise of β-CTX above baseline after transition to placebo [23] — see below), deliberately not against bone density — which leaves the density fall a blind prediction.</w:t>
      </w:r>
    </w:p>
    <w:p>
      <w:pPr>
        <w:spacing w:after="120" w:line="480" w:lineRule="auto"/>
      </w:pPr>
      <w:r>
        <w:rPr>
          <w:rFonts w:ascii="Times New Roman" w:cs="Times New Roman" w:eastAsia="Times New Roman" w:hAnsi="Times New Roman"/>
          <w:sz w:val="24"/>
          <w:szCs w:val="24"/>
        </w:rPr>
        <w:t xml:space="preserve">The bar we set for that prediction was </w:t>
      </w:r>
      <w:r>
        <w:rPr>
          <w:rFonts w:ascii="Times New Roman" w:cs="Times New Roman" w:eastAsia="Times New Roman" w:hAnsi="Times New Roman"/>
          <w:b/>
          <w:bCs/>
          <w:sz w:val="24"/>
          <w:szCs w:val="24"/>
        </w:rPr>
        <w:t xml:space="preserve">direction only</w:t>
      </w:r>
      <w:r>
        <w:rPr>
          <w:rFonts w:ascii="Times New Roman" w:cs="Times New Roman" w:eastAsia="Times New Roman" w:hAnsi="Times New Roman"/>
          <w:sz w:val="24"/>
          <w:szCs w:val="24"/>
        </w:rPr>
        <w:t xml:space="preserve">: bone density must fall over the washout. It does, by </w:t>
      </w:r>
      <w:r>
        <w:rPr>
          <w:rFonts w:ascii="Times New Roman" w:cs="Times New Roman" w:eastAsia="Times New Roman" w:hAnsi="Times New Roman"/>
          <w:b/>
          <w:bCs/>
          <w:sz w:val="24"/>
          <w:szCs w:val="24"/>
        </w:rPr>
        <w:t xml:space="preserve">−8.70 %</w:t>
      </w:r>
      <w:r>
        <w:rPr>
          <w:rFonts w:ascii="Times New Roman" w:cs="Times New Roman" w:eastAsia="Times New Roman" w:hAnsi="Times New Roman"/>
          <w:sz w:val="24"/>
          <w:szCs w:val="24"/>
        </w:rPr>
        <w:t xml:space="preserve"> over the 12 months after the last dose, and we state plainly that a directional bar is a weak one. Judged on magnitude rather than sign, this hold-out is now the closest it has been. The model gives back </w:t>
      </w:r>
      <w:r>
        <w:rPr>
          <w:rFonts w:ascii="Times New Roman" w:cs="Times New Roman" w:eastAsia="Times New Roman" w:hAnsi="Times New Roman"/>
          <w:b/>
          <w:bCs/>
          <w:sz w:val="24"/>
          <w:szCs w:val="24"/>
        </w:rPr>
        <w:t xml:space="preserve">78.5 %</w:t>
      </w:r>
      <w:r>
        <w:rPr>
          <w:rFonts w:ascii="Times New Roman" w:cs="Times New Roman" w:eastAsia="Times New Roman" w:hAnsi="Times New Roman"/>
          <w:sz w:val="24"/>
          <w:szCs w:val="24"/>
        </w:rPr>
        <w:t xml:space="preserve"> of the treatment gain and finishes </w:t>
      </w:r>
      <w:r>
        <w:rPr>
          <w:rFonts w:ascii="Times New Roman" w:cs="Times New Roman" w:eastAsia="Times New Roman" w:hAnsi="Times New Roman"/>
          <w:b/>
          <w:bCs/>
          <w:sz w:val="24"/>
          <w:szCs w:val="24"/>
        </w:rPr>
        <w:t xml:space="preserve">2.68 % above</w:t>
      </w:r>
      <w:r>
        <w:rPr>
          <w:rFonts w:ascii="Times New Roman" w:cs="Times New Roman" w:eastAsia="Times New Roman" w:hAnsi="Times New Roman"/>
          <w:sz w:val="24"/>
          <w:szCs w:val="24"/>
        </w:rPr>
        <w:t xml:space="preserve"> pre-treatment baseline at 24 months, against the observation that bone density "returned toward pretreatment levels" on placebo [23] — toward baseline, not through it, which is what the model now does. We note that this improved when the osteocyte turnover constant was corrected and no drug parameter was touched: before that correction the same run overshot, finishing 0.75 % </w:t>
      </w:r>
      <w:r>
        <w:rPr>
          <w:rFonts w:ascii="Times New Roman" w:cs="Times New Roman" w:eastAsia="Times New Roman" w:hAnsi="Times New Roman"/>
          <w:i/>
          <w:iCs/>
          <w:sz w:val="24"/>
          <w:szCs w:val="24"/>
        </w:rPr>
        <w:t xml:space="preserve">below</w:t>
      </w:r>
      <w:r>
        <w:rPr>
          <w:rFonts w:ascii="Times New Roman" w:cs="Times New Roman" w:eastAsia="Times New Roman" w:hAnsi="Times New Roman"/>
          <w:sz w:val="24"/>
          <w:szCs w:val="24"/>
        </w:rPr>
        <w:t xml:space="preserve"> baseline. A hold-out moving toward the data under a change made for an unrelated reason is the kind of evidence we weight most heavily, and we flag equally that the remaining discrepancy runs the other way — real washout is slower than a step function, because the antibody has a pharmacokinetic profile the model does not.</w:t>
      </w:r>
    </w:p>
    <w:p>
      <w:pPr>
        <w:spacing w:after="120" w:line="480" w:lineRule="auto"/>
      </w:pPr>
      <w:r>
        <w:rPr>
          <w:rFonts w:ascii="Times New Roman" w:cs="Times New Roman" w:eastAsia="Times New Roman" w:hAnsi="Times New Roman"/>
          <w:sz w:val="24"/>
          <w:szCs w:val="24"/>
        </w:rPr>
        <w:t xml:space="preserve">The resorption-marker target itself is </w:t>
      </w:r>
      <w:r>
        <w:rPr>
          <w:rFonts w:ascii="Times New Roman" w:cs="Times New Roman" w:eastAsia="Times New Roman" w:hAnsi="Times New Roman"/>
          <w:b/>
          <w:bCs/>
          <w:sz w:val="24"/>
          <w:szCs w:val="24"/>
        </w:rPr>
        <w:t xml:space="preserve">missed</w:t>
      </w:r>
      <w:r>
        <w:rPr>
          <w:rFonts w:ascii="Times New Roman" w:cs="Times New Roman" w:eastAsia="Times New Roman" w:hAnsi="Times New Roman"/>
          <w:sz w:val="24"/>
          <w:szCs w:val="24"/>
        </w:rPr>
        <w:t xml:space="preserve">, at 1.124 against a band of 1.2–1.4 — but we must qualify what that means, because the band is ours rather than the literature's. McClung and colleagues report only that β-CTX "increased above baseline" after transition to placebo [23], a direction with no magnitude, and the FRAME trial cannot supply one because its patients transitioned to denosumab rather than placebo [14]. The sourced content of this target is therefore ratio &gt; 1, which the model meets. What follows concerns the band we set ourselves, and we still report the shortfall because the underlying conflict is real regardless of where the band sits. Rebuilding the systemic calcium module (see Limitations) made skeletal calcium flux large enough to move the parathyroid, and that creates a conflict: the same PTH→RANKL gain that lets dietary calcium protect bone — which target V7 requires to be strong — also lets the calcium flood released after withdrawal suppress PTH and damp the very resorption overshoot V16 is measuring. Across the admissible range of that gain, V7 needs it high and V16 needs it low, and no value satisfies both. We chose the midpoint, and both targets now sit outside their bands — V7 short by 0.037 against a tolerance of 0.8, V16 short by 0.076 against a tolerance of 0.15. That both fall on the same side is worth stating: the conflict is not a trade we won on one side, it is a constraint neither side satisfies. The decoupled module we used previously could not have exposed this conflict, because in it bone could not move serum calcium at all.</w:t>
      </w:r>
    </w:p>
    <w:p>
      <w:pPr>
        <w:spacing w:after="120" w:line="480" w:lineRule="auto"/>
      </w:pPr>
      <w:r>
        <w:rPr>
          <w:rFonts w:ascii="Times New Roman" w:cs="Times New Roman" w:eastAsia="Times New Roman" w:hAnsi="Times New Roman"/>
          <w:i/>
          <w:iCs/>
          <w:sz w:val="24"/>
          <w:szCs w:val="24"/>
        </w:rPr>
        <w:t xml:space="preserve">Interaction.</w:t>
      </w:r>
      <w:r>
        <w:rPr>
          <w:rFonts w:ascii="Times New Roman" w:cs="Times New Roman" w:eastAsia="Times New Roman" w:hAnsi="Times New Roman"/>
          <w:sz w:val="24"/>
          <w:szCs w:val="24"/>
        </w:rPr>
        <w:t xml:space="preserve"> Loading combined with the antibody gives +2.826 % at 12 months against +2.334 % and +0.765 % alone: positive and larger than either, but </w:t>
      </w:r>
      <w:r>
        <w:rPr>
          <w:rFonts w:ascii="Times New Roman" w:cs="Times New Roman" w:eastAsia="Times New Roman" w:hAnsi="Times New Roman"/>
          <w:b/>
          <w:bCs/>
          <w:sz w:val="24"/>
          <w:szCs w:val="24"/>
        </w:rPr>
        <w:t xml:space="preserve">8.8 % sub-additive</w:t>
      </w:r>
      <w:r>
        <w:rPr>
          <w:rFonts w:ascii="Times New Roman" w:cs="Times New Roman" w:eastAsia="Times New Roman" w:hAnsi="Times New Roman"/>
          <w:sz w:val="24"/>
          <w:szCs w:val="24"/>
        </w:rPr>
        <w:t xml:space="preserve">, because both act through the same sclerostin–Wnt node and partly compete for it. Schulte and colleagues [13] report loading to be additive and synergistic with anabolic agents and not with antiresorptives. Our qualitative direction agrees for the anabolic arm; our strict additivity does not. </w:t>
      </w:r>
      <w:r>
        <w:rPr>
          <w:rFonts w:ascii="Times New Roman" w:cs="Times New Roman" w:eastAsia="Times New Roman" w:hAnsi="Times New Roman"/>
          <w:b/>
          <w:bCs/>
          <w:sz w:val="24"/>
          <w:szCs w:val="24"/>
        </w:rPr>
        <w:t xml:space="preserve">The antiresorptive half of that contrast is untested here</w:t>
      </w:r>
      <w:r>
        <w:rPr>
          <w:rFonts w:ascii="Times New Roman" w:cs="Times New Roman" w:eastAsia="Times New Roman" w:hAnsi="Times New Roman"/>
          <w:sz w:val="24"/>
          <w:szCs w:val="24"/>
        </w:rPr>
        <w:t xml:space="preserve">: the model carries no bisphosphonate mechanism, so we make no claim about it.</w:t>
      </w:r>
    </w:p>
    <w:p>
      <w:pPr>
        <w:pStyle w:val="Heading2"/>
        <w:spacing w:after="120" w:before="240" w:line="360" w:lineRule="auto"/>
      </w:pPr>
      <w:r>
        <w:rPr>
          <w:rFonts w:ascii="Times New Roman" w:cs="Times New Roman" w:eastAsia="Times New Roman" w:hAnsi="Times New Roman"/>
          <w:b/>
          <w:bCs/>
          <w:i/>
          <w:iCs/>
          <w:sz w:val="24"/>
          <w:szCs w:val="24"/>
        </w:rPr>
        <w:t xml:space="preserve">Four targets we had specified but never run</w:t>
      </w:r>
    </w:p>
    <w:p>
      <w:pPr>
        <w:spacing w:after="120" w:line="480" w:lineRule="auto"/>
      </w:pPr>
      <w:r>
        <w:rPr>
          <w:rFonts w:ascii="Times New Roman" w:cs="Times New Roman" w:eastAsia="Times New Roman" w:hAnsi="Times New Roman"/>
          <w:sz w:val="24"/>
          <w:szCs w:val="24"/>
        </w:rPr>
        <w:t xml:space="preserve">Preparing this report we found that four of the twenty targets registered in </w:t>
      </w:r>
      <w:r>
        <w:rPr>
          <w:rFonts w:ascii="Times New Roman" w:cs="Times New Roman" w:eastAsia="Times New Roman" w:hAnsi="Times New Roman"/>
          <w:b/>
          <w:bCs/>
          <w:sz w:val="24"/>
          <w:szCs w:val="24"/>
        </w:rPr>
        <w:t xml:space="preserve">S2 Table</w:t>
      </w:r>
      <w:r>
        <w:rPr>
          <w:rFonts w:ascii="Times New Roman" w:cs="Times New Roman" w:eastAsia="Times New Roman" w:hAnsi="Times New Roman"/>
          <w:sz w:val="24"/>
          <w:szCs w:val="24"/>
        </w:rPr>
        <w:t xml:space="preserve"> — the Mendelian-randomisation constraint on serum calcium (V7b), the loss–recovery asymmetry (V11), the dual action of sclerostin on resorption (V13), and the geometry of the postmenopausal cortex (V15) — had mechanisms built for them, and commented in the source as existing for them, but had never been evaluated by any experiment. We ran them. One passes and three do not, and we report all four, because a validation table listing targets nobody checked is worse than a shorter table.</w:t>
      </w:r>
    </w:p>
    <w:p>
      <w:pPr>
        <w:spacing w:after="120" w:line="480" w:lineRule="auto"/>
      </w:pPr>
      <w:r>
        <w:rPr>
          <w:rFonts w:ascii="Times New Roman" w:cs="Times New Roman" w:eastAsia="Times New Roman" w:hAnsi="Times New Roman"/>
          <w:i/>
          <w:iCs/>
          <w:sz w:val="24"/>
          <w:szCs w:val="24"/>
        </w:rPr>
        <w:t xml:space="preserve">The loss–recovery asymmetry (V11) passes, and comfortably.</w:t>
      </w:r>
      <w:r>
        <w:rPr>
          <w:rFonts w:ascii="Times New Roman" w:cs="Times New Roman" w:eastAsia="Times New Roman" w:hAnsi="Times New Roman"/>
          <w:sz w:val="24"/>
          <w:szCs w:val="24"/>
        </w:rPr>
        <w:t xml:space="preserve"> After 180 days of unloading, half the lost bone mineral content accrues in 140 days but takes 2014 days to win back once loading resumes — a ratio of 14.4 against a target of 3 — and ten years of reambulation recovers all of it and then some, ending 146.5 % of the loss recovered. This is a </w:t>
      </w:r>
      <w:r>
        <w:rPr>
          <w:rFonts w:ascii="Times New Roman" w:cs="Times New Roman" w:eastAsia="Times New Roman" w:hAnsi="Times New Roman"/>
          <w:b/>
          <w:bCs/>
          <w:sz w:val="24"/>
          <w:szCs w:val="24"/>
        </w:rPr>
        <w:t xml:space="preserve">rate</w:t>
      </w:r>
      <w:r>
        <w:rPr>
          <w:rFonts w:ascii="Times New Roman" w:cs="Times New Roman" w:eastAsia="Times New Roman" w:hAnsi="Times New Roman"/>
          <w:sz w:val="24"/>
          <w:szCs w:val="24"/>
        </w:rPr>
        <w:t xml:space="preserve"> asymmetry and not bistability: recovery is monotone and still proceeding, which is consistent with, not in tension with, the falsification of P3 below.</w:t>
      </w:r>
    </w:p>
    <w:p>
      <w:pPr>
        <w:spacing w:after="120" w:line="480" w:lineRule="auto"/>
      </w:pPr>
      <w:r>
        <w:rPr>
          <w:rFonts w:ascii="Times New Roman" w:cs="Times New Roman" w:eastAsia="Times New Roman" w:hAnsi="Times New Roman"/>
          <w:i/>
          <w:iCs/>
          <w:sz w:val="24"/>
          <w:szCs w:val="24"/>
        </w:rPr>
        <w:t xml:space="preserve">The Mendelian-randomisation constraint (V7b) fails on sign.</w:t>
      </w:r>
      <w:r>
        <w:rPr>
          <w:rFonts w:ascii="Times New Roman" w:cs="Times New Roman" w:eastAsia="Times New Roman" w:hAnsi="Times New Roman"/>
          <w:sz w:val="24"/>
          <w:szCs w:val="24"/>
        </w:rPr>
        <w:t xml:space="preserve"> Clamping serum calcium 2 % above baseline at fixed intake raises 24-month areal density by +0.668 %, where the human genetic evidence requires no increase. The magnitude is an order of magnitude below the loading response, so P1's permissive-versus-instructive contrast survives; the sign does not. The same run exposed a defect no target had been written to catch, and it was serious enough that we rebuilt the module rather than report around it. Across 400 to 1500 mg/day of intake, serum ionised calcium in the model moved by 15 %, where physiology defends it within about 2 %: the transcellular absorption arm had been written as a fraction rather than a flux and so contributed under 0.1 % of absorption, leaving the unregulated paracellular route to dominate, and renal excretion was a bare power law rather than the saturable tubular reabsorption it had been specified as. Our regression suite missed it because the test guarding it was written as a runaway check with a 15 % bar and was thereafter read as a homeostasis check. After rebuilding both arms the excursion is </w:t>
      </w:r>
      <w:r>
        <w:rPr>
          <w:rFonts w:ascii="Times New Roman" w:cs="Times New Roman" w:eastAsia="Times New Roman" w:hAnsi="Times New Roman"/>
          <w:b/>
          <w:bCs/>
          <w:sz w:val="24"/>
          <w:szCs w:val="24"/>
        </w:rPr>
        <w:t xml:space="preserve">1.6 %</w:t>
      </w:r>
      <w:r>
        <w:rPr>
          <w:rFonts w:ascii="Times New Roman" w:cs="Times New Roman" w:eastAsia="Times New Roman" w:hAnsi="Times New Roman"/>
          <w:sz w:val="24"/>
          <w:szCs w:val="24"/>
        </w:rPr>
        <w:t xml:space="preserve">, and the V7b sign failure above is measured on the repaired module. The episode is why we now report V7's effect size as sitting at the low edge of the meta-analytic band rather than comfortably inside it: the earlier, larger value was riding on a serum-calcium swing that cannot occur.</w:t>
      </w:r>
    </w:p>
    <w:p>
      <w:pPr>
        <w:spacing w:after="120" w:line="480" w:lineRule="auto"/>
      </w:pPr>
      <w:r>
        <w:rPr>
          <w:rFonts w:ascii="Times New Roman" w:cs="Times New Roman" w:eastAsia="Times New Roman" w:hAnsi="Times New Roman"/>
          <w:i/>
          <w:iCs/>
          <w:sz w:val="24"/>
          <w:szCs w:val="24"/>
        </w:rPr>
        <w:t xml:space="preserve">The dual action of sclerostin (V13) is right in direction and short in magnitude.</w:t>
      </w:r>
      <w:r>
        <w:rPr>
          <w:rFonts w:ascii="Times New Roman" w:cs="Times New Roman" w:eastAsia="Times New Roman" w:hAnsi="Times New Roman"/>
          <w:sz w:val="24"/>
          <w:szCs w:val="24"/>
        </w:rPr>
        <w:t xml:space="preserve"> Over a twelve-fold sclerostin sweep, RANKL rises (1.00 to 1.29) and OPG falls (1.00 to 0.44) as required, and the RANKL:OPG ratio therefore rises </w:t>
      </w:r>
      <w:r>
        <w:rPr>
          <w:rFonts w:ascii="Times New Roman" w:cs="Times New Roman" w:eastAsia="Times New Roman" w:hAnsi="Times New Roman"/>
          <w:b/>
          <w:bCs/>
          <w:sz w:val="24"/>
          <w:szCs w:val="24"/>
        </w:rPr>
        <w:t xml:space="preserve">2.9-fold</w:t>
      </w:r>
      <w:r>
        <w:rPr>
          <w:rFonts w:ascii="Times New Roman" w:cs="Times New Roman" w:eastAsia="Times New Roman" w:hAnsi="Times New Roman"/>
          <w:sz w:val="24"/>
          <w:szCs w:val="24"/>
        </w:rPr>
        <w:t xml:space="preserve">, which is the quantity the source reports rising dose-dependently [15].</w:t>
      </w:r>
    </w:p>
    <w:p>
      <w:pPr>
        <w:spacing w:after="120" w:line="480" w:lineRule="auto"/>
      </w:pPr>
      <w:r>
        <w:rPr>
          <w:rFonts w:ascii="Times New Roman" w:cs="Times New Roman" w:eastAsia="Times New Roman" w:hAnsi="Times New Roman"/>
          <w:sz w:val="24"/>
          <w:szCs w:val="24"/>
        </w:rPr>
        <w:t xml:space="preserve">We had originally scored this target against the roughly 7-fold figure in the same paper and recorded it as a failure. Reading the full text shows that was our error, not the model's: the 7-fold is osteoclastic </w:t>
      </w:r>
      <w:r>
        <w:rPr>
          <w:rFonts w:ascii="Times New Roman" w:cs="Times New Roman" w:eastAsia="Times New Roman" w:hAnsi="Times New Roman"/>
          <w:b/>
          <w:bCs/>
          <w:sz w:val="24"/>
          <w:szCs w:val="24"/>
        </w:rPr>
        <w:t xml:space="preserve">resorption</w:t>
      </w:r>
      <w:r>
        <w:rPr>
          <w:rFonts w:ascii="Times New Roman" w:cs="Times New Roman" w:eastAsia="Times New Roman" w:hAnsi="Times New Roman"/>
          <w:sz w:val="24"/>
          <w:szCs w:val="24"/>
        </w:rPr>
        <w:t xml:space="preserve"> — pit area in a 14-day osteocyte–splenocyte co-culture at 100 ng/ml recombinant sclerostin — and not the instantaneous activation term we were comparing it against. It is the same wrong-contrast mistake this section exists to expose, committed by us. The activation term does carry a hard ceiling of 1.42-fold, because its Hill constant sits below baseline sclerostin, but that ceiling answers a question the source never asked. Scoring V13 properly means running the co-culture's downstream resorption output, which we have not done.</w:t>
      </w:r>
    </w:p>
    <w:p>
      <w:pPr>
        <w:spacing w:after="120" w:line="480" w:lineRule="auto"/>
      </w:pPr>
      <w:r>
        <w:rPr>
          <w:rFonts w:ascii="Times New Roman" w:cs="Times New Roman" w:eastAsia="Times New Roman" w:hAnsi="Times New Roman"/>
          <w:i/>
          <w:iCs/>
          <w:sz w:val="24"/>
          <w:szCs w:val="24"/>
        </w:rPr>
        <w:t xml:space="preserve">The postmenopausal geometry (V15) fails on its second half, and the way it fails is instructive.</w:t>
      </w:r>
      <w:r>
        <w:rPr>
          <w:rFonts w:ascii="Times New Roman" w:cs="Times New Roman" w:eastAsia="Times New Roman" w:hAnsi="Times New Roman"/>
          <w:sz w:val="24"/>
          <w:szCs w:val="24"/>
        </w:rPr>
        <w:t xml:space="preserve"> At severely reduced oestrogen the endocortical radius expands (+0.0752 mm) and the cortex thins (−0.0773 mm) as required, but the periosteal radius drifts very slightly </w:t>
      </w:r>
      <w:r>
        <w:rPr>
          <w:rFonts w:ascii="Times New Roman" w:cs="Times New Roman" w:eastAsia="Times New Roman" w:hAnsi="Times New Roman"/>
          <w:b/>
          <w:bCs/>
          <w:sz w:val="24"/>
          <w:szCs w:val="24"/>
        </w:rPr>
        <w:t xml:space="preserve">inward</w:t>
      </w:r>
      <w:r>
        <w:rPr>
          <w:rFonts w:ascii="Times New Roman" w:cs="Times New Roman" w:eastAsia="Times New Roman" w:hAnsi="Times New Roman"/>
          <w:sz w:val="24"/>
          <w:szCs w:val="24"/>
        </w:rPr>
        <w:t xml:space="preserve"> (−0.0021 mm) rather than outward, so the model does not reproduce the widening that accompanies postmenopausal thinning. A ten-year run appears to pass this target spectacularly, with 4.62 mm of periosteal expansion — but it leaves the linear-elastic domain on day 511, and is the same class of artefact that the modelling saturation bound was introduced to remove. Read inside the valid domain, the target fails.</w:t>
      </w:r>
    </w:p>
    <w:p>
      <w:pPr>
        <w:pStyle w:val="Heading2"/>
        <w:spacing w:after="120" w:before="240" w:line="360" w:lineRule="auto"/>
      </w:pPr>
      <w:r>
        <w:rPr>
          <w:rFonts w:ascii="Times New Roman" w:cs="Times New Roman" w:eastAsia="Times New Roman" w:hAnsi="Times New Roman"/>
          <w:b/>
          <w:bCs/>
          <w:i/>
          <w:iCs/>
          <w:sz w:val="24"/>
          <w:szCs w:val="24"/>
        </w:rPr>
        <w:t xml:space="preserve">P3 is falsified: the model is monostable</w:t>
      </w:r>
    </w:p>
    <w:p>
      <w:pPr>
        <w:spacing w:after="120" w:line="480" w:lineRule="auto"/>
      </w:pPr>
      <w:r>
        <w:rPr>
          <w:rFonts w:ascii="Times New Roman" w:cs="Times New Roman" w:eastAsia="Times New Roman" w:hAnsi="Times New Roman"/>
          <w:sz w:val="24"/>
          <w:szCs w:val="24"/>
        </w:rPr>
        <w:t xml:space="preserve">P3 held that osteoporosis is an </w:t>
      </w:r>
      <w:r>
        <w:rPr>
          <w:rFonts w:ascii="Times New Roman" w:cs="Times New Roman" w:eastAsia="Times New Roman" w:hAnsi="Times New Roman"/>
          <w:b/>
          <w:bCs/>
          <w:sz w:val="24"/>
          <w:szCs w:val="24"/>
        </w:rPr>
        <w:t xml:space="preserve">alternative stable state</w:t>
      </w:r>
      <w:r>
        <w:rPr>
          <w:rFonts w:ascii="Times New Roman" w:cs="Times New Roman" w:eastAsia="Times New Roman" w:hAnsi="Times New Roman"/>
          <w:sz w:val="24"/>
          <w:szCs w:val="24"/>
        </w:rPr>
        <w:t xml:space="preserve">: that past some critical loss of oestrogen the skeleton settles into a second, self-sustaining low-bone-mass equilibrium, and that removing the original insult does not bring it back. That is what a saddle-node bifurcation produces, and it is an attractive account of the clinical asymmetry between rapid loss and slow, incomplete regain. Two positive feedbacks were built into the model specifically because they could generate it: remodelling surface is lost as bone disappears, and sensing capacity is lost as osteocytes die.</w:t>
      </w:r>
    </w:p>
    <w:p>
      <w:pPr>
        <w:spacing w:after="120" w:line="480" w:lineRule="auto"/>
      </w:pPr>
      <w:r>
        <w:rPr>
          <w:rFonts w:ascii="Times New Roman" w:cs="Times New Roman" w:eastAsia="Times New Roman" w:hAnsi="Times New Roman"/>
          <w:sz w:val="24"/>
          <w:szCs w:val="24"/>
        </w:rPr>
        <w:t xml:space="preserve">Confirmation would have required three things: two stable equilibria coexisting at the same oestrogen level, a fold at which one of them vanishes, and hysteresis — a path down that the system cannot retrace on the way back up. We find none of the three (</w:t>
      </w:r>
      <w:r>
        <w:rPr>
          <w:rFonts w:ascii="Times New Roman" w:cs="Times New Roman" w:eastAsia="Times New Roman" w:hAnsi="Times New Roman"/>
          <w:b/>
          <w:bCs/>
          <w:sz w:val="24"/>
          <w:szCs w:val="24"/>
        </w:rPr>
        <w:t xml:space="preserve">Fig 7</w:t>
      </w:r>
      <w:r>
        <w:rPr>
          <w:rFonts w:ascii="Times New Roman" w:cs="Times New Roman" w:eastAsia="Times New Roman" w:hAnsi="Times New Roman"/>
          <w:sz w:val="24"/>
          <w:szCs w:val="24"/>
        </w:rPr>
        <w:t xml:space="preserve">).</w:t>
      </w:r>
    </w:p>
    <w:p>
      <w:pPr>
        <w:spacing w:after="120" w:line="480" w:lineRule="auto"/>
      </w:pPr>
      <w:r>
        <w:rPr>
          <w:rFonts w:ascii="Times New Roman" w:cs="Times New Roman" w:eastAsia="Times New Roman" w:hAnsi="Times New Roman"/>
          <w:b/>
          <w:bCs/>
          <w:sz w:val="24"/>
          <w:szCs w:val="24"/>
        </w:rPr>
        <w:t xml:space="preserve">Fig 7. Osteoporosis is a steep continuous shift, not a second stable state (P3).</w:t>
      </w:r>
    </w:p>
    <w:p>
      <w:pPr>
        <w:spacing w:after="120" w:line="480" w:lineRule="auto"/>
      </w:pPr>
      <w:r>
        <w:rPr>
          <w:rFonts w:ascii="Times New Roman" w:cs="Times New Roman" w:eastAsia="Times New Roman" w:hAnsi="Times New Roman"/>
          <w:sz w:val="24"/>
          <w:szCs w:val="24"/>
        </w:rPr>
        <w:t xml:space="preserve">(A) The oestrogen continuation with envelope geometry frozen: a single branch throughout, sliding steeply but continuously, with no fold. Shading marks bone volume fractions below the linear-elastic validity floor, where the branch is extrapolation. (B) The independent full-model probe with geometry free: driving oestrogen down and restoring it recovers 100.3 % of baseline with no hysteresis.</w:t>
      </w:r>
    </w:p>
    <w:p>
      <w:pPr>
        <w:spacing w:after="120" w:line="480" w:lineRule="auto"/>
      </w:pPr>
      <w:r>
        <w:rPr>
          <w:rFonts w:ascii="Times New Roman" w:cs="Times New Roman" w:eastAsia="Times New Roman" w:hAnsi="Times New Roman"/>
          <w:sz w:val="24"/>
          <w:szCs w:val="24"/>
        </w:rPr>
        <w:t xml:space="preserve">Freezing the slowly-evolving envelope geometry to isolate porosity dynamics, and counting zeros of the bone-volume-fraction nullcline as oestrogen falls, gives </w:t>
      </w:r>
      <w:r>
        <w:rPr>
          <w:rFonts w:ascii="Times New Roman" w:cs="Times New Roman" w:eastAsia="Times New Roman" w:hAnsi="Times New Roman"/>
          <w:b/>
          <w:bCs/>
          <w:sz w:val="24"/>
          <w:szCs w:val="24"/>
        </w:rPr>
        <w:t xml:space="preserve">one</w:t>
      </w:r>
      <w:r>
        <w:rPr>
          <w:rFonts w:ascii="Times New Roman" w:cs="Times New Roman" w:eastAsia="Times New Roman" w:hAnsi="Times New Roman"/>
          <w:sz w:val="24"/>
          <w:szCs w:val="24"/>
        </w:rPr>
        <w:t xml:space="preserve"> fixed point throughout. It slides continuously and gently from f_bm* = 0.078 at full oestrogen to 0.059 at E₂ = 0.65, with no fold anywhere along the path. Mechanosensitivity and basal sclerostin secretion give the same answer, as does scanning the strength of the osteocyte-density positive feedback. There is no fold, no bistability and no hysteresis.</w:t>
      </w:r>
    </w:p>
    <w:p>
      <w:pPr>
        <w:spacing w:after="120" w:line="480" w:lineRule="auto"/>
      </w:pPr>
      <w:r>
        <w:rPr>
          <w:rFonts w:ascii="Times New Roman" w:cs="Times New Roman" w:eastAsia="Times New Roman" w:hAnsi="Times New Roman"/>
          <w:sz w:val="24"/>
          <w:szCs w:val="24"/>
        </w:rPr>
        <w:t xml:space="preserve">One caveat belongs with that result rather than after it. With the envelope frozen, the fixed point this construction finds lies </w:t>
      </w:r>
      <w:r>
        <w:rPr>
          <w:rFonts w:ascii="Times New Roman" w:cs="Times New Roman" w:eastAsia="Times New Roman" w:hAnsi="Times New Roman"/>
          <w:b/>
          <w:bCs/>
          <w:sz w:val="24"/>
          <w:szCs w:val="24"/>
        </w:rPr>
        <w:t xml:space="preserve">below the linear-elastic floor</w:t>
      </w:r>
      <w:r>
        <w:rPr>
          <w:rFonts w:ascii="Times New Roman" w:cs="Times New Roman" w:eastAsia="Times New Roman" w:hAnsi="Times New Roman"/>
          <w:sz w:val="24"/>
          <w:szCs w:val="24"/>
        </w:rPr>
        <w:t xml:space="preserve"> (bone volume fraction 0.468) at every oestrogen level, so it is a fixed point of the porosity dynamics but not a state the mechanics stack is entitled to describe. It can support the negative claim — no fold is found — and not a positive one about where the skeleton would settle. The weight therefore falls on the second route below, which stays inside the valid domain end to end. We note that this construction's numbers moved substantially when the osteocyte turnover constant was corrected, while its verdict did not.</w:t>
      </w:r>
    </w:p>
    <w:p>
      <w:pPr>
        <w:spacing w:after="120" w:line="480" w:lineRule="auto"/>
      </w:pPr>
      <w:r>
        <w:rPr>
          <w:rFonts w:ascii="Times New Roman" w:cs="Times New Roman" w:eastAsia="Times New Roman" w:hAnsi="Times New Roman"/>
          <w:sz w:val="24"/>
          <w:szCs w:val="24"/>
        </w:rPr>
        <w:t xml:space="preserve">A second, independent route agrees. Driving oestrogen down and then restoring it in the </w:t>
      </w:r>
      <w:r>
        <w:rPr>
          <w:rFonts w:ascii="Times New Roman" w:cs="Times New Roman" w:eastAsia="Times New Roman" w:hAnsi="Times New Roman"/>
          <w:b/>
          <w:bCs/>
          <w:sz w:val="24"/>
          <w:szCs w:val="24"/>
        </w:rPr>
        <w:t xml:space="preserve">full model with geometry free</w:t>
      </w:r>
      <w:r>
        <w:rPr>
          <w:rFonts w:ascii="Times New Roman" w:cs="Times New Roman" w:eastAsia="Times New Roman" w:hAnsi="Times New Roman"/>
          <w:sz w:val="24"/>
          <w:szCs w:val="24"/>
        </w:rPr>
        <w:t xml:space="preserve"> — a trajectory that stays inside the linear-elastic domain end to end — takes bone volume fraction from 0.950 down to 0.836 and back to </w:t>
      </w:r>
      <w:r>
        <w:rPr>
          <w:rFonts w:ascii="Times New Roman" w:cs="Times New Roman" w:eastAsia="Times New Roman" w:hAnsi="Times New Roman"/>
          <w:b/>
          <w:bCs/>
          <w:sz w:val="24"/>
          <w:szCs w:val="24"/>
        </w:rPr>
        <w:t xml:space="preserve">0.953, that is 100.3 % of baseline</w:t>
      </w:r>
      <w:r>
        <w:rPr>
          <w:rFonts w:ascii="Times New Roman" w:cs="Times New Roman" w:eastAsia="Times New Roman" w:hAnsi="Times New Roman"/>
          <w:sz w:val="24"/>
          <w:szCs w:val="24"/>
        </w:rPr>
        <w:t xml:space="preserve">, with no hysteresis.</w:t>
      </w:r>
    </w:p>
    <w:p>
      <w:pPr>
        <w:spacing w:after="120" w:line="480" w:lineRule="auto"/>
      </w:pPr>
      <w:r>
        <w:rPr>
          <w:rFonts w:ascii="Times New Roman" w:cs="Times New Roman" w:eastAsia="Times New Roman" w:hAnsi="Times New Roman"/>
          <w:sz w:val="24"/>
          <w:szCs w:val="24"/>
        </w:rPr>
        <w:t xml:space="preserve">The mechanism of monostability is instructive. Falling bone volume fraction collapses the apparent modulus, strain rises steeply, mechanical dose and modelling drift both increase, and the resulting recovery drive overwhelms the two positive feedbacks we built in specifically to produce bistability — loss of remodelling surface as bone disappears [18], and loss of sensing capacity as osteocytes die. </w:t>
      </w:r>
      <w:r>
        <w:rPr>
          <w:rFonts w:ascii="Times New Roman" w:cs="Times New Roman" w:eastAsia="Times New Roman" w:hAnsi="Times New Roman"/>
          <w:b/>
          <w:bCs/>
          <w:sz w:val="24"/>
          <w:szCs w:val="24"/>
        </w:rPr>
        <w:t xml:space="preserve">The mechanostat rescues low bone mass.</w:t>
      </w:r>
    </w:p>
    <w:p>
      <w:pPr>
        <w:spacing w:after="120" w:line="480" w:lineRule="auto"/>
      </w:pPr>
      <w:r>
        <w:rPr>
          <w:rFonts w:ascii="Times New Roman" w:cs="Times New Roman" w:eastAsia="Times New Roman" w:hAnsi="Times New Roman"/>
          <w:sz w:val="24"/>
          <w:szCs w:val="24"/>
        </w:rPr>
        <w:t xml:space="preserve">One caution and one nuance. The deep branch of the continuation, below f_bm ≈ 0.391, lies outside the linear-elastic domain the mechanics assumes [17] and must be read as extrapolation; the monostability conclusion depends on zero-counting and is unaffected. And the recovery cycle leaves a permanent +0.005 mm of periosteal expansion, because modelling adds to the outer surface and nothing removes it. That is structural memory — physically real, since periosteal apposition is largely irreversible </w:t>
      </w:r>
      <w:r>
        <w:rPr>
          <w:rFonts w:ascii="Times New Roman" w:cs="Times New Roman" w:eastAsia="Times New Roman" w:hAnsi="Times New Roman"/>
          <w:i/>
          <w:iCs/>
          <w:sz w:val="24"/>
          <w:szCs w:val="24"/>
        </w:rPr>
        <w:t xml:space="preserve">in vivo</w:t>
      </w:r>
      <w:r>
        <w:rPr>
          <w:rFonts w:ascii="Times New Roman" w:cs="Times New Roman" w:eastAsia="Times New Roman" w:hAnsi="Times New Roman"/>
          <w:sz w:val="24"/>
          <w:szCs w:val="24"/>
        </w:rPr>
        <w:t xml:space="preserve"> — and it is emphatically not dynamical bistability, since bone volume fraction recovers completely.</w:t>
      </w:r>
    </w:p>
    <w:p>
      <w:pPr>
        <w:spacing w:after="120" w:line="480" w:lineRule="auto"/>
      </w:pPr>
      <w:r>
        <w:rPr>
          <w:rFonts w:ascii="Times New Roman" w:cs="Times New Roman" w:eastAsia="Times New Roman" w:hAnsi="Times New Roman"/>
          <w:sz w:val="24"/>
          <w:szCs w:val="24"/>
        </w:rPr>
        <w:t xml:space="preserve">We note that a numerical artefact nearly produced the opposite conclusion. An early full-system test showed bone volume fraction stuck at its floor for 40 years, which read as irreversibility. Inspection showed the "collapsed" state had a cortical thickness of 99 mm: the modelling term was linear in strain excess and therefore unbounded, and at pathological strain it demanded 1513 mm/yr of periosteal apposition. Bounding it — at a ceiling of 1.93 μm/day, which the yield strain of cortical bone [17,20] and the documented maximum mineral apposition rate independently agree on — removed the artefact and made the geometry-free probe above possible.</w:t>
      </w:r>
    </w:p>
    <w:p>
      <w:pPr>
        <w:pStyle w:val="Heading1"/>
        <w:spacing w:after="160" w:before="360" w:line="360" w:lineRule="auto"/>
      </w:pPr>
      <w:r>
        <w:rPr>
          <w:rFonts w:ascii="Times New Roman" w:cs="Times New Roman" w:eastAsia="Times New Roman" w:hAnsi="Times New Roman"/>
          <w:b/>
          <w:bCs/>
          <w:sz w:val="28"/>
          <w:szCs w:val="28"/>
        </w:rPr>
        <w:t xml:space="preserve">Discussion</w:t>
      </w:r>
    </w:p>
    <w:p>
      <w:pPr>
        <w:pStyle w:val="Heading2"/>
        <w:spacing w:after="120" w:before="240" w:line="360" w:lineRule="auto"/>
      </w:pPr>
      <w:r>
        <w:rPr>
          <w:rFonts w:ascii="Times New Roman" w:cs="Times New Roman" w:eastAsia="Times New Roman" w:hAnsi="Times New Roman"/>
          <w:b/>
          <w:bCs/>
          <w:i/>
          <w:iCs/>
          <w:sz w:val="24"/>
          <w:szCs w:val="24"/>
        </w:rPr>
        <w:t xml:space="preserve">What the model buys</w:t>
      </w:r>
    </w:p>
    <w:p>
      <w:pPr>
        <w:spacing w:after="120" w:line="480" w:lineRule="auto"/>
      </w:pPr>
      <w:r>
        <w:rPr>
          <w:rFonts w:ascii="Times New Roman" w:cs="Times New Roman" w:eastAsia="Times New Roman" w:hAnsi="Times New Roman"/>
          <w:sz w:val="24"/>
          <w:szCs w:val="24"/>
        </w:rPr>
        <w:t xml:space="preserve">The end-to-end chain lets three questions be asked that neither half of the literature could answer alone, and each returns a number rather than a direction: loading outweighs calcium 15.1-fold under stated conditions; a systemic agent cannot produce a local asymmetry, structurally rather than parametrically; and an anti-sclerostin antibody and mechanical loading compete for a shared node to the tune of 13 % sub-additivity.</w:t>
      </w:r>
    </w:p>
    <w:p>
      <w:pPr>
        <w:spacing w:after="120" w:line="480" w:lineRule="auto"/>
      </w:pPr>
      <w:r>
        <w:rPr>
          <w:rFonts w:ascii="Times New Roman" w:cs="Times New Roman" w:eastAsia="Times New Roman" w:hAnsi="Times New Roman"/>
          <w:sz w:val="24"/>
          <w:szCs w:val="24"/>
        </w:rPr>
        <w:t xml:space="preserve">The result we would defend most strongly is the one that cost nothing. Frost's set point, a phenomenological constant inferred from observation in 1987, emerges here at 787 με from channel gating kinetics and signalling Hill functions, inside the band he proposed, without being fitted. Together with the six held-out tennis-player indices and the held-out withdrawal loss, this is evidence that the model predicts rather than accommodates.</w:t>
      </w:r>
    </w:p>
    <w:p>
      <w:pPr>
        <w:pStyle w:val="Heading2"/>
        <w:spacing w:after="120" w:before="240" w:line="360" w:lineRule="auto"/>
      </w:pPr>
      <w:r>
        <w:rPr>
          <w:rFonts w:ascii="Times New Roman" w:cs="Times New Roman" w:eastAsia="Times New Roman" w:hAnsi="Times New Roman"/>
          <w:b/>
          <w:bCs/>
          <w:i/>
          <w:iCs/>
          <w:sz w:val="24"/>
          <w:szCs w:val="24"/>
        </w:rPr>
        <w:t xml:space="preserve">Falsifying our own hypothesis</w:t>
      </w:r>
    </w:p>
    <w:p>
      <w:pPr>
        <w:spacing w:after="120" w:line="480" w:lineRule="auto"/>
      </w:pPr>
      <w:r>
        <w:rPr>
          <w:rFonts w:ascii="Times New Roman" w:cs="Times New Roman" w:eastAsia="Times New Roman" w:hAnsi="Times New Roman"/>
          <w:sz w:val="24"/>
          <w:szCs w:val="24"/>
        </w:rPr>
        <w:t xml:space="preserve">P3 is the result we expected to confirm and did not. We report it in the main text for two reasons.</w:t>
      </w:r>
    </w:p>
    <w:p>
      <w:pPr>
        <w:spacing w:after="120" w:line="480" w:lineRule="auto"/>
      </w:pPr>
      <w:r>
        <w:rPr>
          <w:rFonts w:ascii="Times New Roman" w:cs="Times New Roman" w:eastAsia="Times New Roman" w:hAnsi="Times New Roman"/>
          <w:sz w:val="24"/>
          <w:szCs w:val="24"/>
        </w:rPr>
        <w:t xml:space="preserve">First, it is more informative than confirmation would have been. Complex physiological models exhibit bistability readily, and such findings are fragile — ours would have been, since a numerical artefact almost delivered exactly that conclusion. What the falsification buys instead is a boundary: the mechanostat's mechanical negative feedback is strong enough, at the porosity scale, to rescue low bone mass, so clinical irreversibility </w:t>
      </w:r>
      <w:r>
        <w:rPr>
          <w:rFonts w:ascii="Times New Roman" w:cs="Times New Roman" w:eastAsia="Times New Roman" w:hAnsi="Times New Roman"/>
          <w:b/>
          <w:bCs/>
          <w:sz w:val="24"/>
          <w:szCs w:val="24"/>
        </w:rPr>
        <w:t xml:space="preserve">cannot</w:t>
      </w:r>
      <w:r>
        <w:rPr>
          <w:rFonts w:ascii="Times New Roman" w:cs="Times New Roman" w:eastAsia="Times New Roman" w:hAnsi="Times New Roman"/>
          <w:sz w:val="24"/>
          <w:szCs w:val="24"/>
        </w:rPr>
        <w:t xml:space="preserve"> originate in continuum remodelling dynamics. It must come from mechanisms this model does not represent — trabecular perforation, which is loss of the template a continuous bone volume fraction cannot describe; osteocyte death; or geometric degradation.</w:t>
      </w:r>
    </w:p>
    <w:p>
      <w:pPr>
        <w:spacing w:after="120" w:line="480" w:lineRule="auto"/>
      </w:pPr>
      <w:r>
        <w:rPr>
          <w:rFonts w:ascii="Times New Roman" w:cs="Times New Roman" w:eastAsia="Times New Roman" w:hAnsi="Times New Roman"/>
          <w:sz w:val="24"/>
          <w:szCs w:val="24"/>
        </w:rPr>
        <w:t xml:space="preserve">Second, that boundary is a testable prediction rather than a shrug. It says that a compartment which can lose its template — a trabecular one, where struts perforate and cannot be rebuilt — should show the bistability that a cortical one does not. Our trabecular compartment is the natural place to look, and we did not find bistability there either, because the compartment is still described by a continuous bone volume fraction. Representing perforation explicitly is the concrete next step.</w:t>
      </w:r>
    </w:p>
    <w:p>
      <w:pPr>
        <w:spacing w:after="120" w:line="480" w:lineRule="auto"/>
      </w:pPr>
      <w:r>
        <w:rPr>
          <w:rFonts w:ascii="Times New Roman" w:cs="Times New Roman" w:eastAsia="Times New Roman" w:hAnsi="Times New Roman"/>
          <w:sz w:val="24"/>
          <w:szCs w:val="24"/>
        </w:rPr>
        <w:t xml:space="preserve">We would also distinguish two things the literature often conflates. The clinical asymmetry between rapid loss and slow regain is a </w:t>
      </w:r>
      <w:r>
        <w:rPr>
          <w:rFonts w:ascii="Times New Roman" w:cs="Times New Roman" w:eastAsia="Times New Roman" w:hAnsi="Times New Roman"/>
          <w:b/>
          <w:bCs/>
          <w:sz w:val="24"/>
          <w:szCs w:val="24"/>
        </w:rPr>
        <w:t xml:space="preserve">rate</w:t>
      </w:r>
      <w:r>
        <w:rPr>
          <w:rFonts w:ascii="Times New Roman" w:cs="Times New Roman" w:eastAsia="Times New Roman" w:hAnsi="Times New Roman"/>
          <w:sz w:val="24"/>
          <w:szCs w:val="24"/>
        </w:rPr>
        <w:t xml:space="preserve"> asymmetry, present in our monostable model, and it is not evidence of dynamical irreversibility. Steepness is not bistability either: the transition at E₂ ≈ 0.92 is sharp enough to look like a jump, and the sensitivity of disuse loss to the sclerostin Hill constant is likewise steep, but both are high gain near a single fixed point.</w:t>
      </w:r>
    </w:p>
    <w:p>
      <w:pPr>
        <w:pStyle w:val="Heading2"/>
        <w:spacing w:after="120" w:before="240" w:line="360" w:lineRule="auto"/>
      </w:pPr>
      <w:r>
        <w:rPr>
          <w:rFonts w:ascii="Times New Roman" w:cs="Times New Roman" w:eastAsia="Times New Roman" w:hAnsi="Times New Roman"/>
          <w:b/>
          <w:bCs/>
          <w:i/>
          <w:iCs/>
          <w:sz w:val="24"/>
          <w:szCs w:val="24"/>
        </w:rPr>
        <w:t xml:space="preserve">Measurement choice is a result, not a detail</w:t>
      </w:r>
    </w:p>
    <w:p>
      <w:pPr>
        <w:spacing w:after="120" w:line="480" w:lineRule="auto"/>
      </w:pPr>
      <w:r>
        <w:rPr>
          <w:rFonts w:ascii="Times New Roman" w:cs="Times New Roman" w:eastAsia="Times New Roman" w:hAnsi="Times New Roman"/>
          <w:sz w:val="24"/>
          <w:szCs w:val="24"/>
        </w:rPr>
        <w:t xml:space="preserve">One of P1's three clauses reverses sign under a different measure: the loading effect is +4.582 % in bone mineral content and +1.778 % in areal density. A second clause, the calcium–loading interaction, did the same until the systemic calcium module was rebuilt, and is now positive on both framings — which makes the same point more sharply, since the sign of a reported interaction turned on a defect two modules away.</w:t>
      </w:r>
    </w:p>
    <w:p>
      <w:pPr>
        <w:spacing w:after="120" w:line="480" w:lineRule="auto"/>
      </w:pPr>
      <w:r>
        <w:rPr>
          <w:rFonts w:ascii="Times New Roman" w:cs="Times New Roman" w:eastAsia="Times New Roman" w:hAnsi="Times New Roman"/>
          <w:sz w:val="24"/>
          <w:szCs w:val="24"/>
        </w:rPr>
        <w:t xml:space="preserve">Neither reversal is a modelling error. The areal-density dilution is a faithful reproduction of a known limitation: loading translates the cortex outward, and dividing by projected width discards much of the gain. The interaction reversal is a floor effect in the comparator, since calcium deficiency harms the sedentary arm more than the loaded one.</w:t>
      </w:r>
    </w:p>
    <w:p>
      <w:pPr>
        <w:spacing w:after="120" w:line="480" w:lineRule="auto"/>
      </w:pPr>
      <w:r>
        <w:rPr>
          <w:rFonts w:ascii="Times New Roman" w:cs="Times New Roman" w:eastAsia="Times New Roman" w:hAnsi="Times New Roman"/>
          <w:sz w:val="24"/>
          <w:szCs w:val="24"/>
        </w:rPr>
        <w:t xml:space="preserve">The implication is practical. A trial powered on areal density will see roughly two-fifths of the loading effect that a trial measuring bone mass would see, and a trial reporting an interaction term may report the opposite sign from a trial reporting achieved gains, from identical underlying biology. We therefore state each clause of P1 with its measure and its loading intensity attached, and we would encourage the same discipline in the empirical literature.</w:t>
      </w:r>
    </w:p>
    <w:p>
      <w:pPr>
        <w:pStyle w:val="Heading2"/>
        <w:spacing w:after="120" w:before="240" w:line="360" w:lineRule="auto"/>
      </w:pPr>
      <w:r>
        <w:rPr>
          <w:rFonts w:ascii="Times New Roman" w:cs="Times New Roman" w:eastAsia="Times New Roman" w:hAnsi="Times New Roman"/>
          <w:b/>
          <w:bCs/>
          <w:i/>
          <w:iCs/>
          <w:sz w:val="24"/>
          <w:szCs w:val="24"/>
        </w:rPr>
        <w:t xml:space="preserve">Limitations</w:t>
      </w:r>
    </w:p>
    <w:p>
      <w:pPr>
        <w:spacing w:after="120" w:line="480" w:lineRule="auto"/>
      </w:pPr>
      <w:r>
        <w:rPr>
          <w:rFonts w:ascii="Times New Roman" w:cs="Times New Roman" w:eastAsia="Times New Roman" w:hAnsi="Times New Roman"/>
          <w:sz w:val="24"/>
          <w:szCs w:val="24"/>
        </w:rPr>
        <w:t xml:space="preserve">The frequency response disagrees with experiment in sign [11], traced to saturation in channel opening rate; the mechanosensitive channel rate constants are placeholders taken from [2] and this is the first quantity to re-check against better values. The logarithmic </w:t>
      </w:r>
      <w:r>
        <w:rPr>
          <w:rFonts w:ascii="Times New Roman" w:cs="Times New Roman" w:eastAsia="Times New Roman" w:hAnsi="Times New Roman"/>
          <w:i/>
          <w:iCs/>
          <w:sz w:val="24"/>
          <w:szCs w:val="24"/>
        </w:rPr>
        <w:t xml:space="preserve">form</w:t>
      </w:r>
      <w:r>
        <w:rPr>
          <w:rFonts w:ascii="Times New Roman" w:cs="Times New Roman" w:eastAsia="Times New Roman" w:hAnsi="Times New Roman"/>
          <w:sz w:val="24"/>
          <w:szCs w:val="24"/>
        </w:rPr>
        <w:t xml:space="preserve"> of the frequency dependence is consistent with time-lapsed micro-computed tomography estimates of mechanostat parameters [12]; only the direction is not.</w:t>
      </w:r>
    </w:p>
    <w:p>
      <w:pPr>
        <w:spacing w:after="120" w:line="480" w:lineRule="auto"/>
      </w:pPr>
      <w:r>
        <w:rPr>
          <w:rFonts w:ascii="Times New Roman" w:cs="Times New Roman" w:eastAsia="Times New Roman" w:hAnsi="Times New Roman"/>
          <w:sz w:val="24"/>
          <w:szCs w:val="24"/>
        </w:rPr>
        <w:t xml:space="preserve">The specific surface function relating available remodelling surface to bone volume fraction is a placeholder, and we can now say exactly how wrong it is. Lerebours and colleagues [19] measured the relationship in human cortical bone and report that at high bone volume fraction it behaves as (1 − BV/TV)^b with b = 0.5, the square-root fit outperforming both the classical fifth-order polynomial and a harmonic-mean form (r² = 0.84 against 0.82 and 0.77), and above BV/TV = 0.9 their data converge on a fractional degree rather than any integer one. </w:t>
      </w:r>
      <w:r>
        <w:rPr>
          <w:rFonts w:ascii="Times New Roman" w:cs="Times New Roman" w:eastAsia="Times New Roman" w:hAnsi="Times New Roman"/>
          <w:b/>
          <w:bCs/>
          <w:sz w:val="24"/>
          <w:szCs w:val="24"/>
        </w:rPr>
        <w:t xml:space="preserve">Our exponent is 3</w:t>
      </w:r>
      <w:r>
        <w:rPr>
          <w:rFonts w:ascii="Times New Roman" w:cs="Times New Roman" w:eastAsia="Times New Roman" w:hAnsi="Times New Roman"/>
          <w:sz w:val="24"/>
          <w:szCs w:val="24"/>
        </w:rPr>
        <w:t xml:space="preserve">, six times the measured value, and our cortical compartment sits at a bone volume fraction of 0.95 — inside the range they measured. The consequence is that specific surface here responds about six-fold too steeply to a change in porosity: d ln S_v / d ln f_bm is −56 at our cortical baseline where Lerebours implies about −9.5. Baseline turnover is unaffected, since specific surface is normalised at baseline, but every rate that passes through it is exaggerated.</w:t>
      </w:r>
    </w:p>
    <w:p>
      <w:pPr>
        <w:spacing w:after="120" w:line="480" w:lineRule="auto"/>
      </w:pPr>
      <w:r>
        <w:rPr>
          <w:rFonts w:ascii="Times New Roman" w:cs="Times New Roman" w:eastAsia="Times New Roman" w:hAnsi="Times New Roman"/>
          <w:b/>
          <w:bCs/>
          <w:sz w:val="24"/>
          <w:szCs w:val="24"/>
        </w:rPr>
        <w:t xml:space="preserve">We report a negative result from trying to fix this, because it is more informative than the fix would have been.</w:t>
      </w:r>
      <w:r>
        <w:rPr>
          <w:rFonts w:ascii="Times New Roman" w:cs="Times New Roman" w:eastAsia="Times New Roman" w:hAnsi="Times New Roman"/>
          <w:sz w:val="24"/>
          <w:szCs w:val="24"/>
        </w:rPr>
        <w:t xml:space="preserve"> Setting the cortical exponent to the measured 0.5 works mechanically — the sensitivity becomes −8.51, close to what the measurement implies — but it drops the disuse target to 0.44 %/month, and the sclerostin sensitivity cannot recover it: scanning that parameter to the bottom of its admissible range saturates at 0.99 %/month without entering the 1.0–1.5 %/month band. So a substantial part of the disuse loss this model produces has been carried by a specific-surface response six times steeper than the real one, and with the measured exponent something else must supply it.</w:t>
      </w:r>
    </w:p>
    <w:p>
      <w:pPr>
        <w:spacing w:after="120" w:line="480" w:lineRule="auto"/>
      </w:pPr>
      <w:r>
        <w:rPr>
          <w:rFonts w:ascii="Times New Roman" w:cs="Times New Roman" w:eastAsia="Times New Roman" w:hAnsi="Times New Roman"/>
          <w:b/>
          <w:bCs/>
          <w:sz w:val="24"/>
          <w:szCs w:val="24"/>
        </w:rPr>
        <w:t xml:space="preserve">We should be precise about what that does and does not establish, because our first statement of it was too strong.</w:t>
      </w:r>
      <w:r>
        <w:rPr>
          <w:rFonts w:ascii="Times New Roman" w:cs="Times New Roman" w:eastAsia="Times New Roman" w:hAnsi="Times New Roman"/>
          <w:sz w:val="24"/>
          <w:szCs w:val="24"/>
        </w:rPr>
        <w:t xml:space="preserve"> Holding the turnover constant fixed, as above, no setting of the sclerostin sensitivity reaches the band. Releasing the turnover constant as well, a refit does reach 1.01 %/month — but it puts adult turnover at 10.2 %/yr, outside the 5–10 %/yr band that is itself the upper half of what is conventionally quoted [25]. The accurate claim is therefore not that the disuse target is unreachable with the measured exponent. It is that every route we have found pays for it with a different target.</w:t>
      </w:r>
    </w:p>
    <w:p>
      <w:pPr>
        <w:spacing w:after="120" w:line="480" w:lineRule="auto"/>
      </w:pPr>
      <w:r>
        <w:rPr>
          <w:rFonts w:ascii="Times New Roman" w:cs="Times New Roman" w:eastAsia="Times New Roman" w:hAnsi="Times New Roman"/>
          <w:sz w:val="24"/>
          <w:szCs w:val="24"/>
        </w:rPr>
        <w:t xml:space="preserve">We then built the mechanism that would have to supply it, and the result changed twice — which is why we report the sequence rather than only the conclusion. The candidate is forced: the mechanical arm of sclerostin production is already saturated in disuse, reaching 99.97 % of its absolute ceiling after 180 days of simulated bed rest, so no route through mechanosensing can supply further loss and the missing term must bypass sclerostin entirely. Dying osteocytes releasing RANKL directly is such a route, and we implemented it as a factor on the osteocyte deficit, exactly inert at baseline.</w:t>
      </w:r>
    </w:p>
    <w:p>
      <w:pPr>
        <w:spacing w:after="120" w:line="480" w:lineRule="auto"/>
      </w:pPr>
      <w:r>
        <w:rPr>
          <w:rFonts w:ascii="Times New Roman" w:cs="Times New Roman" w:eastAsia="Times New Roman" w:hAnsi="Times New Roman"/>
          <w:sz w:val="24"/>
          <w:szCs w:val="24"/>
        </w:rPr>
        <w:t xml:space="preserve">Measured against the model as it then stood, the term worked and the objection was its cost: it returned disuse loss to its band but made calcium deficiency progressive, because the only thing that lowers osteocyte density here is resorption itself, so the term amplifies every resorption-driven scenario rather than disuse alone. Measured again after the osteocyte turnover constant was corrected (below), it does not work at all. Pushed to the top of its admissible range it lifts disuse loss only from 0.44 to 0.50 %/month, nowhere near the 1.0–1.5 band, because the osteocyte deficit that drives it over 180 days of bed rest is 2.2 % rather than the 20.7 % we had measured before — and that 20.7 % was itself a product of the error. </w:t>
      </w:r>
      <w:r>
        <w:rPr>
          <w:rFonts w:ascii="Times New Roman" w:cs="Times New Roman" w:eastAsia="Times New Roman" w:hAnsi="Times New Roman"/>
          <w:b/>
          <w:bCs/>
          <w:sz w:val="24"/>
          <w:szCs w:val="24"/>
        </w:rPr>
        <w:t xml:space="preserve">The mechanism did not fail; the evidence that it could succeed was an artefact.</w:t>
      </w:r>
      <w:r>
        <w:rPr>
          <w:rFonts w:ascii="Times New Roman" w:cs="Times New Roman" w:eastAsia="Times New Roman" w:hAnsi="Times New Roman"/>
          <w:sz w:val="24"/>
          <w:szCs w:val="24"/>
        </w:rPr>
        <w:t xml:space="preserve"> We report both passes because the first would have been a defensible published result and was wrong for a reason no target would have caught.</w:t>
      </w:r>
    </w:p>
    <w:p>
      <w:pPr>
        <w:spacing w:after="120" w:line="480" w:lineRule="auto"/>
      </w:pPr>
      <w:r>
        <w:rPr>
          <w:rFonts w:ascii="Times New Roman" w:cs="Times New Roman" w:eastAsia="Times New Roman" w:hAnsi="Times New Roman"/>
          <w:sz w:val="24"/>
          <w:szCs w:val="24"/>
        </w:rPr>
        <w:t xml:space="preserve">Two independent checks agree with where this ended. Adding unloading-induced osteocyte apoptosis, so that the deficit is generated mechanically rather than by resorption, makes it disuse-specific as intended but changes nothing, and the inductions it would need are far outside measurement: two weeks of hind-limb unloading raises the proportion of apoptotic osteocytes by 66 % [26], where this route needs a fold two orders of magnitude larger. And the experiment has been done. Blocking osteocyte apoptosis with a bisphosphonate analogue that does not itself inhibit resorption prevents the rise in osteocytic RANKL but does not prevent the resorption or the bone loss caused by unloading [27], from which the authors conclude that RANKL from non-osteocytic sources carries the loss. Our model and that experiment reach the same place by different routes: the apoptotic RANKL arm is real, and it is not what carries disuse bone loss.</w:t>
      </w:r>
    </w:p>
    <w:p>
      <w:pPr>
        <w:spacing w:after="120" w:line="480" w:lineRule="auto"/>
      </w:pPr>
      <w:r>
        <w:rPr>
          <w:rFonts w:ascii="Times New Roman" w:cs="Times New Roman" w:eastAsia="Times New Roman" w:hAnsi="Times New Roman"/>
          <w:sz w:val="24"/>
          <w:szCs w:val="24"/>
        </w:rPr>
        <w:t xml:space="preserve">A third mechanism completes the search, and it is the one that came closest. Immobilisation raises cortical </w:t>
      </w:r>
      <w:r>
        <w:rPr>
          <w:rFonts w:ascii="Times New Roman" w:cs="Times New Roman" w:eastAsia="Times New Roman" w:hAnsi="Times New Roman"/>
          <w:i/>
          <w:iCs/>
          <w:sz w:val="24"/>
          <w:szCs w:val="24"/>
        </w:rPr>
        <w:t xml:space="preserve">porosity</w:t>
      </w:r>
      <w:r>
        <w:rPr>
          <w:rFonts w:ascii="Times New Roman" w:cs="Times New Roman" w:eastAsia="Times New Roman" w:hAnsi="Times New Roman"/>
          <w:sz w:val="24"/>
          <w:szCs w:val="24"/>
        </w:rPr>
        <w:t xml:space="preserve"> — that is resorption moving to the intracortical surface, and it is measured in humans: the femoral cortex of long-term immobilised individuals is significantly more porous, in a pattern distinguishable from postmenopausal osteoporosis [29]. Written as a bias on the resorption surface split driven by the mechanical dose deficit, this route is disuse-specific by construction and by measurement — the deficit is 0.886 over 180 days of bed rest against 0.0016 in the low-calcium arm, so it does not repeat the failure above. It also has the authority the apoptotic route lacked: it lifts disuse loss from 0.44 to 1.04 %/month with the calcium effect, its plateau and the romosozumab response all inside their bands.</w:t>
      </w:r>
    </w:p>
    <w:p>
      <w:pPr>
        <w:spacing w:after="120" w:line="480" w:lineRule="auto"/>
      </w:pPr>
      <w:r>
        <w:rPr>
          <w:rFonts w:ascii="Times New Roman" w:cs="Times New Roman" w:eastAsia="Times New Roman" w:hAnsi="Times New Roman"/>
          <w:b/>
          <w:bCs/>
          <w:sz w:val="24"/>
          <w:szCs w:val="24"/>
        </w:rPr>
        <w:t xml:space="preserve">It fails on physiology instead.</w:t>
      </w:r>
      <w:r>
        <w:rPr>
          <w:rFonts w:ascii="Times New Roman" w:cs="Times New Roman" w:eastAsia="Times New Roman" w:hAnsi="Times New Roman"/>
          <w:sz w:val="24"/>
          <w:szCs w:val="24"/>
        </w:rPr>
        <w:t xml:space="preserve"> Closing the gap requires a coefficient at which 94.5 % of disuse resorption is intracortical and 5.0 % endocortical, against a 50/45 baseline split — that is nearly all resorption moved to one surface, and human bed rest thins the endocortex as well as opening porosity. A coefficient that only works where the state it produces is not observed is a fitting parameter wearing a mechanism's name, and we decline to report it as the resolution.</w:t>
      </w:r>
    </w:p>
    <w:p>
      <w:pPr>
        <w:spacing w:after="120" w:line="480" w:lineRule="auto"/>
      </w:pPr>
      <w:r>
        <w:rPr>
          <w:rFonts w:ascii="Times New Roman" w:cs="Times New Roman" w:eastAsia="Times New Roman" w:hAnsi="Times New Roman"/>
          <w:b/>
          <w:bCs/>
          <w:sz w:val="24"/>
          <w:szCs w:val="24"/>
        </w:rPr>
        <w:t xml:space="preserve">Three routes have now failed in three different ways, and the pattern is more informative than any of them.</w:t>
      </w:r>
      <w:r>
        <w:rPr>
          <w:rFonts w:ascii="Times New Roman" w:cs="Times New Roman" w:eastAsia="Times New Roman" w:hAnsi="Times New Roman"/>
          <w:sz w:val="24"/>
          <w:szCs w:val="24"/>
        </w:rPr>
        <w:t xml:space="preserve"> The apoptotic arm was not scenario-specific, because the deficit driving it is produced by resorption itself, and it cost the calcium plateau. Making that deficit mechanical fixed the specificity and left the route with no authority, since basal apoptosis is about 1 % of osteocyte removal here. The surface bias has both specificity and authority and asks for a surface split that is not observed. Specificity, authority, physiology: each route fails a different one of the three, which is a stronger statement than three failures of the same kind would be. On this evidence, reproducing disuse loss at the measured specific-surface exponent needs a mechanism none of these three supplies, and we think the most likely candidate is one this model does not represent at all — the loss of trabecular and endocortical </w:t>
      </w:r>
      <w:r>
        <w:rPr>
          <w:rFonts w:ascii="Times New Roman" w:cs="Times New Roman" w:eastAsia="Times New Roman" w:hAnsi="Times New Roman"/>
          <w:i/>
          <w:iCs/>
          <w:sz w:val="24"/>
          <w:szCs w:val="24"/>
        </w:rPr>
        <w:t xml:space="preserve">template</w:t>
      </w:r>
      <w:r>
        <w:rPr>
          <w:rFonts w:ascii="Times New Roman" w:cs="Times New Roman" w:eastAsia="Times New Roman" w:hAnsi="Times New Roman"/>
          <w:sz w:val="24"/>
          <w:szCs w:val="24"/>
        </w:rPr>
        <w:t xml:space="preserve">, which is also where the falsification of P3 points.</w:t>
      </w:r>
    </w:p>
    <w:p>
      <w:pPr>
        <w:spacing w:after="120" w:line="480" w:lineRule="auto"/>
      </w:pPr>
      <w:r>
        <w:rPr>
          <w:rFonts w:ascii="Times New Roman" w:cs="Times New Roman" w:eastAsia="Times New Roman" w:hAnsi="Times New Roman"/>
          <w:sz w:val="24"/>
          <w:szCs w:val="24"/>
        </w:rPr>
        <w:t xml:space="preserve">One further consequence of the measured exponent deserves recording, because it survived every pass: it makes disuse loss effectively irreversible. Ten years of normal loading after 180 days of bed rest ends 5.7 % below baseline with no net recovery, against a full recovery at the exponent we ship — flattening the exponent damps recovery more than it damps loss.</w:t>
      </w:r>
    </w:p>
    <w:p>
      <w:pPr>
        <w:spacing w:after="120" w:line="480" w:lineRule="auto"/>
      </w:pPr>
      <w:r>
        <w:rPr>
          <w:rFonts w:ascii="Times New Roman" w:cs="Times New Roman" w:eastAsia="Times New Roman" w:hAnsi="Times New Roman"/>
          <w:sz w:val="24"/>
          <w:szCs w:val="24"/>
        </w:rPr>
        <w:t xml:space="preserve">We therefore know what the exaggerated exponent was standing in for, and we know that </w:t>
      </w:r>
      <w:r>
        <w:rPr>
          <w:rFonts w:ascii="Times New Roman" w:cs="Times New Roman" w:eastAsia="Times New Roman" w:hAnsi="Times New Roman"/>
          <w:b/>
          <w:bCs/>
          <w:sz w:val="24"/>
          <w:szCs w:val="24"/>
        </w:rPr>
        <w:t xml:space="preserve">the evidence it could be replaced was itself an artefact</w:t>
      </w:r>
      <w:r>
        <w:rPr>
          <w:rFonts w:ascii="Times New Roman" w:cs="Times New Roman" w:eastAsia="Times New Roman" w:hAnsi="Times New Roman"/>
          <w:sz w:val="24"/>
          <w:szCs w:val="24"/>
        </w:rPr>
        <w:t xml:space="preserve">. The reason for shipping the value we do is no longer that the exchange is a bad bargain; it is that the candidate route cannot supply the disuse loss at all once the model is self-consistent. The measured 0.5 remains the sourced value and we ship 3, and we record that plainly.</w:t>
      </w:r>
    </w:p>
    <w:p>
      <w:pPr>
        <w:spacing w:after="120" w:line="480" w:lineRule="auto"/>
      </w:pPr>
      <w:r>
        <w:rPr>
          <w:rFonts w:ascii="Times New Roman" w:cs="Times New Roman" w:eastAsia="Times New Roman" w:hAnsi="Times New Roman"/>
          <w:b/>
          <w:bCs/>
          <w:sz w:val="24"/>
          <w:szCs w:val="24"/>
        </w:rPr>
        <w:t xml:space="preserve">A second and larger error came out of checking the first, and it was an internal contradiction rather than a disagreement with a measurement.</w:t>
      </w:r>
      <w:r>
        <w:rPr>
          <w:rFonts w:ascii="Times New Roman" w:cs="Times New Roman" w:eastAsia="Times New Roman" w:hAnsi="Times New Roman"/>
          <w:sz w:val="24"/>
          <w:szCs w:val="24"/>
        </w:rPr>
        <w:t xml:space="preserve"> Osteocytes leave the tissue when the bone they occupy is resorbed, so the fractional turnover of the osteocyte population must equal the fractional turnover of bone. Until we checked, it did not. Bone was resorbed at 1.93 × 10⁻⁴ per day, the rate implied by our own adult turnover, while osteocytes were removed at 9.9 × 10⁻² per day — a factor of 514, and a mean osteocyte residence of ten days rather than years. No external data are needed to see this; the model disagreed with itself, and every target it had passed for two years.</w:t>
      </w:r>
    </w:p>
    <w:p>
      <w:pPr>
        <w:spacing w:after="120" w:line="480" w:lineRule="auto"/>
      </w:pPr>
      <w:r>
        <w:rPr>
          <w:rFonts w:ascii="Times New Roman" w:cs="Times New Roman" w:eastAsia="Times New Roman" w:hAnsi="Times New Roman"/>
          <w:sz w:val="24"/>
          <w:szCs w:val="24"/>
        </w:rPr>
        <w:t xml:space="preserve">An independent estimate confirms which side was wrong: 42 billion osteocytes in the adult skeleton with 9.1 million replenished daily [28] gives 2.17 × 10⁻⁴ per day, a residence of 12.6 years, agreeing with the bone-turnover side and not with ours. We have corrected it, and the correction is structural rather than a new value: the burial constant is now </w:t>
      </w:r>
      <w:r>
        <w:rPr>
          <w:rFonts w:ascii="Times New Roman" w:cs="Times New Roman" w:eastAsia="Times New Roman" w:hAnsi="Times New Roman"/>
          <w:b/>
          <w:bCs/>
          <w:sz w:val="24"/>
          <w:szCs w:val="24"/>
        </w:rPr>
        <w:t xml:space="preserve">derived</w:t>
      </w:r>
      <w:r>
        <w:rPr>
          <w:rFonts w:ascii="Times New Roman" w:cs="Times New Roman" w:eastAsia="Times New Roman" w:hAnsi="Times New Roman"/>
          <w:sz w:val="24"/>
          <w:szCs w:val="24"/>
        </w:rPr>
        <w:t xml:space="preserve"> from bone turnover at every parameter set, as the formation constant already was, so the contradiction cannot recur. All results in this paper are computed after that correction and a five-parameter recalibration.</w:t>
      </w:r>
    </w:p>
    <w:p>
      <w:pPr>
        <w:spacing w:after="120" w:line="480" w:lineRule="auto"/>
      </w:pPr>
      <w:r>
        <w:rPr>
          <w:rFonts w:ascii="Times New Roman" w:cs="Times New Roman" w:eastAsia="Times New Roman" w:hAnsi="Times New Roman"/>
          <w:sz w:val="24"/>
          <w:szCs w:val="24"/>
        </w:rPr>
        <w:t xml:space="preserve">The consequences are worth stating in both directions, because they run both ways. Against: the calcium effect fell to +0.663 %, just outside its band, since the calcium arm had been amplified by an osteocyte-density feedback that a ten-day residence made unphysiologically fast. In favour: the post-withdrawal hold-out improved from finishing 0.75 % below pre-treatment baseline to finishing 2.68 % above it, which is the direction the clinical observation describes, with no drug parameter touched; ten-year recovery after bed rest became complete rather than partial; and the reported PTH-pathway parameter left the upper bound it had previously been pinned to. Baseline drift, the elastic domain and monostability are unaffected. We think the exchange is clearly worth making — an artefact that inflates one calibration target is not a reason to keep an internal contradiction — but a reader who weights the calcium band more heavily than we do should know exactly what was traded.</w:t>
      </w:r>
    </w:p>
    <w:p>
      <w:pPr>
        <w:spacing w:after="120" w:line="480" w:lineRule="auto"/>
      </w:pPr>
      <w:r>
        <w:rPr>
          <w:rFonts w:ascii="Times New Roman" w:cs="Times New Roman" w:eastAsia="Times New Roman" w:hAnsi="Times New Roman"/>
          <w:sz w:val="24"/>
          <w:szCs w:val="24"/>
        </w:rPr>
        <w:t xml:space="preserve">We therefore report results computed with an exponent we know to be too steep, and say so rather than quietly adopting the measured value and reporting a broken disuse target. A further caution comes from the title of the same paper: the relationship is </w:t>
      </w:r>
      <w:r>
        <w:rPr>
          <w:rFonts w:ascii="Times New Roman" w:cs="Times New Roman" w:eastAsia="Times New Roman" w:hAnsi="Times New Roman"/>
          <w:b/>
          <w:bCs/>
          <w:sz w:val="24"/>
          <w:szCs w:val="24"/>
        </w:rPr>
        <w:t xml:space="preserve">subject specific</w:t>
      </w:r>
      <w:r>
        <w:rPr>
          <w:rFonts w:ascii="Times New Roman" w:cs="Times New Roman" w:eastAsia="Times New Roman" w:hAnsi="Times New Roman"/>
          <w:sz w:val="24"/>
          <w:szCs w:val="24"/>
        </w:rPr>
        <w:t xml:space="preserve">, not intrinsic — per-subject fits reach r² of 0.87–0.98 against 0.84 pooled, correlating with sex and pore density but not with age, height or weight. A single curve is an approximation not only between compartments but between individuals. Complete unloading beyond about 7.5 months leaves the model's valid domain, so long-duration disuse is out of scope. The antibody is a step function rather than a pharmacokinetic profile, which sharpens the withdrawal transient — the calibrated quantity is the downstream resorption overshoot, which is unaffected in magnitude. Two PTH-pathway parameters are identifiable only jointly. The cortical geometry is an idealised circular annulus.</w:t>
      </w:r>
    </w:p>
    <w:p>
      <w:pPr>
        <w:spacing w:after="120" w:line="480" w:lineRule="auto"/>
      </w:pPr>
      <w:r>
        <w:rPr>
          <w:rFonts w:ascii="Times New Roman" w:cs="Times New Roman" w:eastAsia="Times New Roman" w:hAnsi="Times New Roman"/>
          <w:sz w:val="24"/>
          <w:szCs w:val="24"/>
        </w:rPr>
        <w:t xml:space="preserve">Three limitations follow directly from the four targets reported above, and we regard them as the most useful things a reader can take from this paper about where it is weakest. The systemic calcium module was rebuilt during this work, having failed in both directions at once: serum calcium swung 15 % with dietary intake where physiology allows about 2 %, and the coefficients carrying skeletal calcium into the serum pool were three orders of magnitude below the flux they were normalised against, so the coupling was bidirectional in structure but one-way in magnitude. Both are repaired — the excursion is now 1.6 % and unloading suppresses parathyroid hormone by 21.3 % against a reported 24 % [24] — but two consequences remain. The repair cost the calcium effect size: V7 fell towards the low edge of its band, and a later correction to osteocyte turnover took it just outside, because the earlier value depended on the swing that has been removed. And it created the V7/V16 conflict described above, in which no single PTH→RANKL gain satisfies both the calcium target and the withdrawal-rebound target. Neither is hidden, and both are consequences of making the module more physiological rather than less. The RANKL response to sclerostin cannot reach its reported magnitude at any parameter value, because the relevant half-saturation constant sits below baseline sclerostin. And the model does not produce postmenopausal periosteal widening, so the geometry of the ageing cortex is reproduced only in its thinning half. Finally, the model has no representation of trabecular architecture as architecture, which is precisely where the P3 falsification points.</w:t>
      </w:r>
    </w:p>
    <w:p>
      <w:pPr>
        <w:pStyle w:val="Heading2"/>
        <w:spacing w:after="120" w:before="240" w:line="360" w:lineRule="auto"/>
      </w:pPr>
      <w:r>
        <w:rPr>
          <w:rFonts w:ascii="Times New Roman" w:cs="Times New Roman" w:eastAsia="Times New Roman" w:hAnsi="Times New Roman"/>
          <w:b/>
          <w:bCs/>
          <w:i/>
          <w:iCs/>
          <w:sz w:val="24"/>
          <w:szCs w:val="24"/>
        </w:rPr>
        <w:t xml:space="preserve">Conclusion</w:t>
      </w:r>
    </w:p>
    <w:p>
      <w:pPr>
        <w:spacing w:after="120" w:line="480" w:lineRule="auto"/>
      </w:pPr>
      <w:r>
        <w:rPr>
          <w:rFonts w:ascii="Times New Roman" w:cs="Times New Roman" w:eastAsia="Times New Roman" w:hAnsi="Times New Roman"/>
          <w:sz w:val="24"/>
          <w:szCs w:val="24"/>
        </w:rPr>
        <w:t xml:space="preserve">Joining a validated mechanotransduction front end to a validated bone-cell back end produces a model that predicts blind observations, computes a set point that was previously only observed, and settles the calcium-versus-loading question quantitatively — while overturning our own hypothesis about the dynamical nature of osteoporosis, and showing that two of our three quantitative claims depend on which measure is used to state them.</w:t>
      </w:r>
    </w:p>
    <w:p>
      <w:pPr>
        <w:pStyle w:val="Heading1"/>
        <w:spacing w:after="160" w:before="360" w:line="360" w:lineRule="auto"/>
      </w:pPr>
      <w:r>
        <w:rPr>
          <w:rFonts w:ascii="Times New Roman" w:cs="Times New Roman" w:eastAsia="Times New Roman" w:hAnsi="Times New Roman"/>
          <w:b/>
          <w:bCs/>
          <w:sz w:val="28"/>
          <w:szCs w:val="28"/>
        </w:rPr>
        <w:t xml:space="preserve">References</w:t>
      </w:r>
    </w:p>
    <w:p>
      <w:pPr>
        <w:spacing w:after="80" w:line="300" w:lineRule="auto"/>
      </w:pPr>
      <w:r>
        <w:rPr>
          <w:rFonts w:ascii="Times New Roman" w:cs="Times New Roman" w:eastAsia="Times New Roman" w:hAnsi="Times New Roman"/>
          <w:sz w:val="24"/>
          <w:szCs w:val="24"/>
        </w:rPr>
        <w:t xml:space="preserve">1. Frost HM. Bone "mass" and the "mechanostat": a proposal. Anat Rec. 1987;219(1):1–9. doi:10.1002/ar.1092190104</w:t>
      </w:r>
    </w:p>
    <w:p>
      <w:pPr>
        <w:spacing w:after="80" w:line="300" w:lineRule="auto"/>
      </w:pPr>
      <w:r>
        <w:rPr>
          <w:rFonts w:ascii="Times New Roman" w:cs="Times New Roman" w:eastAsia="Times New Roman" w:hAnsi="Times New Roman"/>
          <w:sz w:val="24"/>
          <w:szCs w:val="24"/>
        </w:rPr>
        <w:t xml:space="preserve">2. Fu R, Wang C, Shahneela N, Ud Din R, Yang H. A whole bone–lacunocanalicular network–osteocyte model examining bone adaptation to distinct loading parameters. Int J Mech Sci. 2025;286:109931. doi:10.1016/j.ijmecsci.2025.109931</w:t>
      </w:r>
    </w:p>
    <w:p>
      <w:pPr>
        <w:spacing w:after="80" w:line="300" w:lineRule="auto"/>
      </w:pPr>
      <w:r>
        <w:rPr>
          <w:rFonts w:ascii="Times New Roman" w:cs="Times New Roman" w:eastAsia="Times New Roman" w:hAnsi="Times New Roman"/>
          <w:sz w:val="24"/>
          <w:szCs w:val="24"/>
        </w:rPr>
        <w:t xml:space="preserve">3. Lemaire V, Tobin FL, Greller LD, Cho CR, Suva LJ. Modeling the interactions between osteoblast and osteoclast activities in bone remodeling. J Theor Biol. 2004;229(3):293–309. doi:10.1016/j.jtbi.2004.03.023</w:t>
      </w:r>
    </w:p>
    <w:p>
      <w:pPr>
        <w:spacing w:after="80" w:line="300" w:lineRule="auto"/>
      </w:pPr>
      <w:r>
        <w:rPr>
          <w:rFonts w:ascii="Times New Roman" w:cs="Times New Roman" w:eastAsia="Times New Roman" w:hAnsi="Times New Roman"/>
          <w:sz w:val="24"/>
          <w:szCs w:val="24"/>
        </w:rPr>
        <w:t xml:space="preserve">4. Pivonka P, Zimak J, Smith DW, Gardiner BS, Dunstan CR, Sims NA, et al. Model structure and control of bone remodeling: a theoretical study. Bone. 2008;43(2):249–263. doi:10.1016/j.bone.2008.03.025</w:t>
      </w:r>
    </w:p>
    <w:p>
      <w:pPr>
        <w:spacing w:after="80" w:line="300" w:lineRule="auto"/>
      </w:pPr>
      <w:r>
        <w:rPr>
          <w:rFonts w:ascii="Times New Roman" w:cs="Times New Roman" w:eastAsia="Times New Roman" w:hAnsi="Times New Roman"/>
          <w:sz w:val="24"/>
          <w:szCs w:val="24"/>
        </w:rPr>
        <w:t xml:space="preserve">5. Scheiner S, Pivonka P, Hellmich C. Coupling systems biology with multiscale mechanics, for computer simulations of bone remodeling. Comput Methods Appl Mech Eng. 2013;254:181–196.</w:t>
      </w:r>
    </w:p>
    <w:p>
      <w:pPr>
        <w:spacing w:after="80" w:line="300" w:lineRule="auto"/>
      </w:pPr>
      <w:r>
        <w:rPr>
          <w:rFonts w:ascii="Times New Roman" w:cs="Times New Roman" w:eastAsia="Times New Roman" w:hAnsi="Times New Roman"/>
          <w:sz w:val="24"/>
          <w:szCs w:val="24"/>
        </w:rPr>
        <w:t xml:space="preserve">6. Tai V, Leung W, Grey A, Reid IR, Bolland MJ. Calcium intake and bone mineral density: systematic review and meta-analysis. BMJ. 2015;351:h4183. doi:10.1136/bmj.h4183</w:t>
      </w:r>
    </w:p>
    <w:p>
      <w:pPr>
        <w:spacing w:after="80" w:line="300" w:lineRule="auto"/>
      </w:pPr>
      <w:r>
        <w:rPr>
          <w:rFonts w:ascii="Times New Roman" w:cs="Times New Roman" w:eastAsia="Times New Roman" w:hAnsi="Times New Roman"/>
          <w:sz w:val="24"/>
          <w:szCs w:val="24"/>
        </w:rPr>
        <w:t xml:space="preserve">7. Haapasalo H, Kontulainen S, Sievanen H, Kannus P, Jarvinen M, Vuori I. Exercise-induced bone gain is due to enlargement in bone size without a change in volumetric bone density: a peripheral quantitative computed tomography study of the upper arms of male tennis players. Bone. 2000;27(3):351–357. doi:10.1016/s8756-3282(00)00331-8</w:t>
      </w:r>
    </w:p>
    <w:p>
      <w:pPr>
        <w:spacing w:after="80" w:line="300" w:lineRule="auto"/>
      </w:pPr>
      <w:r>
        <w:rPr>
          <w:rFonts w:ascii="Times New Roman" w:cs="Times New Roman" w:eastAsia="Times New Roman" w:hAnsi="Times New Roman"/>
          <w:sz w:val="24"/>
          <w:szCs w:val="24"/>
        </w:rPr>
        <w:t xml:space="preserve">8. Peterson MC, Riggs MM. A physiologically based mathematical model of integrated calcium homeostasis and bone remodeling. Bone. 2010;46(1):49–63. doi:10.1016/j.bone.2009.08.053</w:t>
      </w:r>
    </w:p>
    <w:p>
      <w:pPr>
        <w:spacing w:after="80" w:line="300" w:lineRule="auto"/>
      </w:pPr>
      <w:r>
        <w:rPr>
          <w:rFonts w:ascii="Times New Roman" w:cs="Times New Roman" w:eastAsia="Times New Roman" w:hAnsi="Times New Roman"/>
          <w:sz w:val="24"/>
          <w:szCs w:val="24"/>
        </w:rPr>
        <w:t xml:space="preserve">9. Weinbaum S, Cowin SC, Zeng Y. A model for the excitation of osteocytes by mechanical loading-induced bone fluid shear stresses. J Biomech. 1994;27(3):339–360. doi:10.1016/0021-9290(94)90010-8</w:t>
      </w:r>
    </w:p>
    <w:p>
      <w:pPr>
        <w:spacing w:after="80" w:line="300" w:lineRule="auto"/>
      </w:pPr>
      <w:r>
        <w:rPr>
          <w:rFonts w:ascii="Times New Roman" w:cs="Times New Roman" w:eastAsia="Times New Roman" w:hAnsi="Times New Roman"/>
          <w:sz w:val="24"/>
          <w:szCs w:val="24"/>
        </w:rPr>
        <w:t xml:space="preserve">10. Srinivasan S, Weimer DA, Agans SC, Bain SD, Gross TS. Low-magnitude mechanical loading becomes osteogenic when rest is inserted between each load cycle. J Bone Miner Res. 2002;17(9):1613–1620. doi:10.1359/jbmr.2002.17.9.1613</w:t>
      </w:r>
    </w:p>
    <w:p>
      <w:pPr>
        <w:spacing w:after="80" w:line="300" w:lineRule="auto"/>
      </w:pPr>
      <w:r>
        <w:rPr>
          <w:rFonts w:ascii="Times New Roman" w:cs="Times New Roman" w:eastAsia="Times New Roman" w:hAnsi="Times New Roman"/>
          <w:sz w:val="24"/>
          <w:szCs w:val="24"/>
        </w:rPr>
        <w:t xml:space="preserve">11. Hsieh YF, Turner CH. Effects of loading frequency on mechanically induced bone formation. J Bone Miner Res. 2001;16(5):918–924. doi:10.1359/jbmr.2001.16.5.918</w:t>
      </w:r>
    </w:p>
    <w:p>
      <w:pPr>
        <w:spacing w:after="80" w:line="300" w:lineRule="auto"/>
      </w:pPr>
      <w:r>
        <w:rPr>
          <w:rFonts w:ascii="Times New Roman" w:cs="Times New Roman" w:eastAsia="Times New Roman" w:hAnsi="Times New Roman"/>
          <w:sz w:val="24"/>
          <w:szCs w:val="24"/>
        </w:rPr>
        <w:t xml:space="preserve">12. Marques FC, Boaretti D, Walle M, Scheuren AC, Schulte FA, Muller R. Mechanostat parameters estimated from time-lapsed in vivo micro-computed tomography data of mechanically driven bone adaptation are logarithmically dependent on loading frequency. Front Bioeng Biotechnol. 2023;11:1140673. doi:10.3389/fbioe.2023.1140673</w:t>
      </w:r>
    </w:p>
    <w:p>
      <w:pPr>
        <w:spacing w:after="80" w:line="300" w:lineRule="auto"/>
      </w:pPr>
      <w:r>
        <w:rPr>
          <w:rFonts w:ascii="Times New Roman" w:cs="Times New Roman" w:eastAsia="Times New Roman" w:hAnsi="Times New Roman"/>
          <w:sz w:val="24"/>
          <w:szCs w:val="24"/>
        </w:rPr>
        <w:t xml:space="preserve">13. Schulte FA, Marques FC, Griesbach JK, Weigt C, von Salis-Soglio M, Lambers FM, et al. Combined physical and pharmacological anabolic osteoporosis therapies increase bone response and mechanoregulation in female mice. Nat Commun. 2026;17:3759. doi:10.1038/s41467-026-70309-2</w:t>
      </w:r>
    </w:p>
    <w:p>
      <w:pPr>
        <w:spacing w:after="80" w:line="300" w:lineRule="auto"/>
      </w:pPr>
      <w:r>
        <w:rPr>
          <w:rFonts w:ascii="Times New Roman" w:cs="Times New Roman" w:eastAsia="Times New Roman" w:hAnsi="Times New Roman"/>
          <w:sz w:val="24"/>
          <w:szCs w:val="24"/>
        </w:rPr>
        <w:t xml:space="preserve">14. Cosman F, Crittenden DB, Adachi JD, Binkley N, Czerwinski E, Ferrari S, et al. Romosozumab treatment in postmenopausal women with osteoporosis. N Engl J Med. 2016;375(16):1532–1543. doi:10.1056/NEJMoa1607948</w:t>
      </w:r>
    </w:p>
    <w:p>
      <w:pPr>
        <w:spacing w:after="80" w:line="300" w:lineRule="auto"/>
      </w:pPr>
      <w:r>
        <w:rPr>
          <w:rFonts w:ascii="Times New Roman" w:cs="Times New Roman" w:eastAsia="Times New Roman" w:hAnsi="Times New Roman"/>
          <w:sz w:val="24"/>
          <w:szCs w:val="24"/>
        </w:rPr>
        <w:t xml:space="preserve">15. Wijenayaka AR, Kogawa M, Lim HP, Bonewald LF, Findlay DM, Atkins GJ. Sclerostin stimulates osteocyte support of osteoclast activity by a RANKL-dependent pathway. PLoS One. 2011;6(10):e25900. doi:10.1371/journal.pone.0025900</w:t>
      </w:r>
    </w:p>
    <w:p>
      <w:pPr>
        <w:spacing w:after="80" w:line="300" w:lineRule="auto"/>
      </w:pPr>
      <w:r>
        <w:rPr>
          <w:rFonts w:ascii="Times New Roman" w:cs="Times New Roman" w:eastAsia="Times New Roman" w:hAnsi="Times New Roman"/>
          <w:sz w:val="24"/>
          <w:szCs w:val="24"/>
        </w:rPr>
        <w:t xml:space="preserve">16. Currey JD. The effect of porosity and mineral content on the Young's modulus of elasticity of compact bone. J Biomech. 1988;21(2):131–139. doi:10.1016/0021-9290(88)90006-1</w:t>
      </w:r>
    </w:p>
    <w:p>
      <w:pPr>
        <w:spacing w:after="80" w:line="300" w:lineRule="auto"/>
      </w:pPr>
      <w:r>
        <w:rPr>
          <w:rFonts w:ascii="Times New Roman" w:cs="Times New Roman" w:eastAsia="Times New Roman" w:hAnsi="Times New Roman"/>
          <w:sz w:val="24"/>
          <w:szCs w:val="24"/>
        </w:rPr>
        <w:t xml:space="preserve">17. Bayraktar HH, Morgan EF, Niebur GL, Morris GE, Wong EK, Keaveny TM. Comparison of the elastic and yield properties of human femoral trabecular and cortical bone tissue. J Biomech. 2004;37(1):27–35. doi:10.1016/s0021-9290(03)00257-4</w:t>
      </w:r>
    </w:p>
    <w:p>
      <w:pPr>
        <w:spacing w:after="80" w:line="300" w:lineRule="auto"/>
      </w:pPr>
      <w:r>
        <w:rPr>
          <w:rFonts w:ascii="Times New Roman" w:cs="Times New Roman" w:eastAsia="Times New Roman" w:hAnsi="Times New Roman"/>
          <w:sz w:val="24"/>
          <w:szCs w:val="24"/>
        </w:rPr>
        <w:t xml:space="preserve">18. Martin RB. Porosity and specific surface of bone. Crit Rev Biomed Eng. 1984;10(3):179–222.</w:t>
      </w:r>
    </w:p>
    <w:p>
      <w:pPr>
        <w:spacing w:after="80" w:line="300" w:lineRule="auto"/>
      </w:pPr>
      <w:r>
        <w:rPr>
          <w:rFonts w:ascii="Times New Roman" w:cs="Times New Roman" w:eastAsia="Times New Roman" w:hAnsi="Times New Roman"/>
          <w:sz w:val="24"/>
          <w:szCs w:val="24"/>
        </w:rPr>
        <w:t xml:space="preserve">19. Lerebours C, Thomas CDL, Clement JG, Buenzli PR, Pivonka P. The relationship between porosity and specific surface in human cortical bone is subject specific. Bone. 2015;72:109–117. doi:10.1016/j.bone.2014.11.016</w:t>
      </w:r>
    </w:p>
    <w:p>
      <w:pPr>
        <w:spacing w:after="80" w:line="300" w:lineRule="auto"/>
      </w:pPr>
      <w:r>
        <w:rPr>
          <w:rFonts w:ascii="Times New Roman" w:cs="Times New Roman" w:eastAsia="Times New Roman" w:hAnsi="Times New Roman"/>
          <w:sz w:val="24"/>
          <w:szCs w:val="24"/>
        </w:rPr>
        <w:t xml:space="preserve">20. Morgan EF, Keaveny TM. Dependence of yield strain of human trabecular bone on anatomic site. J Biomech. 2001;34(5):569–577.</w:t>
      </w:r>
    </w:p>
    <w:p>
      <w:pPr>
        <w:spacing w:after="80" w:line="300" w:lineRule="auto"/>
      </w:pPr>
      <w:r>
        <w:rPr>
          <w:rFonts w:ascii="Times New Roman" w:cs="Times New Roman" w:eastAsia="Times New Roman" w:hAnsi="Times New Roman"/>
          <w:sz w:val="24"/>
          <w:szCs w:val="24"/>
        </w:rPr>
        <w:t xml:space="preserve">21. Yang H, Embry RE, Main RP. Effects of loading duration and short rest insertion on cancellous and cortical bone adaptation in the mouse tibia. PLoS One. 2017;12(1):e0169519. doi:10.1371/journal.pone.0169519</w:t>
      </w:r>
    </w:p>
    <w:p>
      <w:pPr>
        <w:spacing w:after="80" w:line="300" w:lineRule="auto"/>
      </w:pPr>
      <w:r>
        <w:rPr>
          <w:rFonts w:ascii="Times New Roman" w:cs="Times New Roman" w:eastAsia="Times New Roman" w:hAnsi="Times New Roman"/>
          <w:sz w:val="24"/>
          <w:szCs w:val="24"/>
        </w:rPr>
        <w:t xml:space="preserve">22. Li X, Han L, Nookaew I, Mannen E, Silva MJ, Almeida M, et al. Stimulation of Piezo1 by mechanical signals promotes bone anabolism. eLife. 2019;8:e49631.</w:t>
      </w:r>
    </w:p>
    <w:p>
      <w:pPr>
        <w:spacing w:after="80" w:line="300" w:lineRule="auto"/>
      </w:pPr>
      <w:r>
        <w:rPr>
          <w:rFonts w:ascii="Times New Roman" w:cs="Times New Roman" w:eastAsia="Times New Roman" w:hAnsi="Times New Roman"/>
          <w:sz w:val="24"/>
          <w:szCs w:val="24"/>
        </w:rPr>
        <w:t xml:space="preserve">23. McClung MR, Brown JP, Diez-Perez A, Resch H, Caminis J, Meisner P, et al. Effects of 24 months of treatment with romosozumab followed by 12 months of denosumab or placebo in postmenopausal women with low bone mineral density: a randomized, double-blind, phase 2, parallel group study. J Bone Miner Res. 2018;33(8):1397-1406.</w:t>
      </w:r>
    </w:p>
    <w:p>
      <w:pPr>
        <w:spacing w:after="80" w:line="300" w:lineRule="auto"/>
      </w:pPr>
      <w:r>
        <w:rPr>
          <w:rFonts w:ascii="Times New Roman" w:cs="Times New Roman" w:eastAsia="Times New Roman" w:hAnsi="Times New Roman"/>
          <w:sz w:val="24"/>
          <w:szCs w:val="24"/>
        </w:rPr>
        <w:t xml:space="preserve">24. Spatz JM, Fields EE, Yu EW, Divieti Pajevic P, Bouxsein ML, Sibonga JD, et al. Serum sclerostin increases in healthy adult men during bed rest. J Clin Endocrinol Metab. 2012;97(9):E1736-40.</w:t>
      </w:r>
    </w:p>
    <w:p>
      <w:pPr>
        <w:spacing w:after="80" w:line="300" w:lineRule="auto"/>
      </w:pPr>
      <w:r>
        <w:rPr>
          <w:rFonts w:ascii="Times New Roman" w:cs="Times New Roman" w:eastAsia="Times New Roman" w:hAnsi="Times New Roman"/>
          <w:sz w:val="24"/>
          <w:szCs w:val="24"/>
        </w:rPr>
        <w:t xml:space="preserve">25. Parfitt AM. Misconceptions (2): turnover is always higher in cancellous than in cortical bone. Bone. 2002;30(6):807-809.</w:t>
      </w:r>
    </w:p>
    <w:p>
      <w:pPr>
        <w:spacing w:after="80" w:line="300" w:lineRule="auto"/>
      </w:pPr>
      <w:r>
        <w:rPr>
          <w:rFonts w:ascii="Times New Roman" w:cs="Times New Roman" w:eastAsia="Times New Roman" w:hAnsi="Times New Roman"/>
          <w:sz w:val="24"/>
          <w:szCs w:val="24"/>
        </w:rPr>
        <w:t xml:space="preserve">26. Basso N, Heersche JNM. Effects of hind limb unloading and reloading on nitric oxide synthase expression and apoptosis of osteocytes and chondrocytes. Bone. 2006;39(4):807-814. doi:10.1016/j.bone.2006.04.014</w:t>
      </w:r>
    </w:p>
    <w:p>
      <w:pPr>
        <w:spacing w:after="80" w:line="300" w:lineRule="auto"/>
      </w:pPr>
      <w:r>
        <w:rPr>
          <w:rFonts w:ascii="Times New Roman" w:cs="Times New Roman" w:eastAsia="Times New Roman" w:hAnsi="Times New Roman"/>
          <w:sz w:val="24"/>
          <w:szCs w:val="24"/>
        </w:rPr>
        <w:t xml:space="preserve">27. Plotkin LI, Gortazar AR, Davis HM, Condon KW, Gabilondo H, Maycas M, et al. Inhibition of osteocyte apoptosis prevents the increase in osteocytic receptor activator of nuclear factor κB ligand (RANKL) but does not stop bone resorption or the loss of bone induced by unloading. J Biol Chem. 2015;290(31):18934-18942. doi:10.1074/jbc.M115.642090</w:t>
      </w:r>
    </w:p>
    <w:p>
      <w:pPr>
        <w:spacing w:after="80" w:line="300" w:lineRule="auto"/>
      </w:pPr>
      <w:r>
        <w:rPr>
          <w:rFonts w:ascii="Times New Roman" w:cs="Times New Roman" w:eastAsia="Times New Roman" w:hAnsi="Times New Roman"/>
          <w:sz w:val="24"/>
          <w:szCs w:val="24"/>
        </w:rPr>
        <w:t xml:space="preserve">28. Buenzli PR, Sims NA. Quantifying the osteocyte network in the human skeleton. Bone. 2015;75:144-150. doi:10.1016/j.bone.2015.02.016</w:t>
      </w:r>
    </w:p>
    <w:p>
      <w:pPr>
        <w:spacing w:after="80" w:line="300" w:lineRule="auto"/>
      </w:pPr>
      <w:r>
        <w:rPr>
          <w:rFonts w:ascii="Times New Roman" w:cs="Times New Roman" w:eastAsia="Times New Roman" w:hAnsi="Times New Roman"/>
          <w:sz w:val="24"/>
          <w:szCs w:val="24"/>
        </w:rPr>
        <w:t xml:space="preserve">29. Rolvien T, Milovanovic P, Schmidt FN, von Kroge S, Wölfel EM, Krause M, et al. Long-term immobilization in elderly females causes a specific pattern of cortical bone and osteocyte deterioration different from postmenopausal osteoporosis. J Bone Miner Res. 2020;35(7):1343-1351. doi:10.1002/jbmr.3970</w:t>
      </w:r>
    </w:p>
    <w:p>
      <w:pPr>
        <w:spacing w:after="120" w:line="480" w:lineRule="auto"/>
      </w:pPr>
      <w:r>
        <w:rPr>
          <w:rFonts w:ascii="Times New Roman" w:cs="Times New Roman" w:eastAsia="Times New Roman" w:hAnsi="Times New Roman"/>
          <w:i/>
          <w:iCs/>
          <w:sz w:val="24"/>
          <w:szCs w:val="24"/>
        </w:rPr>
        <w:t xml:space="preserve">All 29 references were verified against PubMed or, for the engineering title PubMed does not index (reference 2), against Semantic Scholar/Scopus and the publisher record, on 2026-07-26. Verification detail is in references_verified.md.</w:t>
      </w:r>
    </w:p>
    <w:p>
      <w:pPr>
        <w:pStyle w:val="Heading1"/>
        <w:spacing w:after="160" w:before="360" w:line="360" w:lineRule="auto"/>
      </w:pPr>
      <w:r>
        <w:rPr>
          <w:rFonts w:ascii="Times New Roman" w:cs="Times New Roman" w:eastAsia="Times New Roman" w:hAnsi="Times New Roman"/>
          <w:b/>
          <w:bCs/>
          <w:sz w:val="28"/>
          <w:szCs w:val="28"/>
        </w:rPr>
        <w:t xml:space="preserve">Supporting information</w:t>
      </w:r>
    </w:p>
    <w:p>
      <w:pPr>
        <w:spacing w:after="120" w:line="480" w:lineRule="auto"/>
      </w:pPr>
      <w:r>
        <w:rPr>
          <w:rFonts w:ascii="Times New Roman" w:cs="Times New Roman" w:eastAsia="Times New Roman" w:hAnsi="Times New Roman"/>
          <w:b/>
          <w:bCs/>
          <w:sz w:val="24"/>
          <w:szCs w:val="24"/>
        </w:rPr>
        <w:t xml:space="preserve">S1 Text. Model equations.</w:t>
      </w:r>
      <w:r>
        <w:rPr>
          <w:rFonts w:ascii="Times New Roman" w:cs="Times New Roman" w:eastAsia="Times New Roman" w:hAnsi="Times New Roman"/>
          <w:sz w:val="24"/>
          <w:szCs w:val="24"/>
        </w:rPr>
        <w:t xml:space="preserve"> Full specification of modules M1–M8, state vector layout, and the derivation of the two rate constants the baseline state determines rather than leaves free: the formation constant, from bone-mass balance, and the osteocyte burial constant, from bone turnover.</w:t>
      </w:r>
    </w:p>
    <w:p>
      <w:pPr>
        <w:spacing w:after="120" w:line="480" w:lineRule="auto"/>
      </w:pPr>
      <w:r>
        <w:rPr>
          <w:rFonts w:ascii="Times New Roman" w:cs="Times New Roman" w:eastAsia="Times New Roman" w:hAnsi="Times New Roman"/>
          <w:b/>
          <w:bCs/>
          <w:sz w:val="24"/>
          <w:szCs w:val="24"/>
        </w:rPr>
        <w:t xml:space="preserve">S1 Table. Parameters.</w:t>
      </w:r>
      <w:r>
        <w:rPr>
          <w:rFonts w:ascii="Times New Roman" w:cs="Times New Roman" w:eastAsia="Times New Roman" w:hAnsi="Times New Roman"/>
          <w:sz w:val="24"/>
          <w:szCs w:val="24"/>
        </w:rPr>
        <w:t xml:space="preserve"> Every parameter with value, unit, bounds, owning module, literature source and confidence grading.</w:t>
      </w:r>
    </w:p>
    <w:p>
      <w:pPr>
        <w:spacing w:after="120" w:line="480" w:lineRule="auto"/>
      </w:pPr>
      <w:r>
        <w:rPr>
          <w:rFonts w:ascii="Times New Roman" w:cs="Times New Roman" w:eastAsia="Times New Roman" w:hAnsi="Times New Roman"/>
          <w:b/>
          <w:bCs/>
          <w:sz w:val="24"/>
          <w:szCs w:val="24"/>
        </w:rPr>
        <w:t xml:space="preserve">S2 Table. Validation targets.</w:t>
      </w:r>
      <w:r>
        <w:rPr>
          <w:rFonts w:ascii="Times New Roman" w:cs="Times New Roman" w:eastAsia="Times New Roman" w:hAnsi="Times New Roman"/>
          <w:sz w:val="24"/>
          <w:szCs w:val="24"/>
        </w:rPr>
        <w:t xml:space="preserve"> All targets with ranges, tolerances, associated experiment and hold-out status.</w:t>
      </w:r>
    </w:p>
    <w:p>
      <w:pPr>
        <w:spacing w:after="120" w:line="480" w:lineRule="auto"/>
      </w:pPr>
      <w:r>
        <w:rPr>
          <w:rFonts w:ascii="Times New Roman" w:cs="Times New Roman" w:eastAsia="Times New Roman" w:hAnsi="Times New Roman"/>
          <w:b/>
          <w:bCs/>
          <w:sz w:val="24"/>
          <w:szCs w:val="24"/>
        </w:rPr>
        <w:t xml:space="preserve">S1 Fig. Identifiability.</w:t>
      </w:r>
      <w:r>
        <w:rPr>
          <w:rFonts w:ascii="Times New Roman" w:cs="Times New Roman" w:eastAsia="Times New Roman" w:hAnsi="Times New Roman"/>
          <w:sz w:val="24"/>
          <w:szCs w:val="24"/>
        </w:rPr>
        <w:t xml:space="preserve"> Two-dimensional χ² surface for the correlated PTH-pathway pair and one-dimensional profiles for the three remaining fitted parameters, of which two are individually identifiable and the antibody clearance constant is not.</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fluid shear to sclerostin</dc:title>
  <dc:creator>Ming-Yu Hsieh</dc:creator>
  <cp:lastModifiedBy>Un-named</cp:lastModifiedBy>
  <cp:revision>1</cp:revision>
  <dcterms:created xsi:type="dcterms:W3CDTF">2026-09-26T02:23:24.231Z</dcterms:created>
  <dcterms:modified xsi:type="dcterms:W3CDTF">2026-09-26T02:23:24.231Z</dcterms:modified>
</cp:coreProperties>
</file>

<file path=docProps/custom.xml><?xml version="1.0" encoding="utf-8"?>
<Properties xmlns="http://schemas.openxmlformats.org/officeDocument/2006/custom-properties" xmlns:vt="http://schemas.openxmlformats.org/officeDocument/2006/docPropsVTypes"/>
</file>