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06388AD" w14:textId="77777777" w:rsidR="003407C0" w:rsidRDefault="00000000">
      <w:pPr>
        <w:spacing w:after="240" w:line="360" w:lineRule="auto"/>
      </w:pPr>
      <w:r>
        <w:rPr>
          <w:rFonts w:eastAsia="Times New Roman"/>
          <w:b/>
          <w:bCs/>
          <w:sz w:val="32"/>
          <w:szCs w:val="32"/>
        </w:rPr>
        <w:t xml:space="preserve">From fluid shear to sclerostin: a </w:t>
      </w:r>
      <w:proofErr w:type="spellStart"/>
      <w:r>
        <w:rPr>
          <w:rFonts w:eastAsia="Times New Roman"/>
          <w:b/>
          <w:bCs/>
          <w:sz w:val="32"/>
          <w:szCs w:val="32"/>
        </w:rPr>
        <w:t>mechanotransduction</w:t>
      </w:r>
      <w:proofErr w:type="spellEnd"/>
      <w:r>
        <w:rPr>
          <w:rFonts w:eastAsia="Times New Roman"/>
          <w:b/>
          <w:bCs/>
          <w:sz w:val="32"/>
          <w:szCs w:val="32"/>
        </w:rPr>
        <w:t>-resolved multiscale model of bone adaptation, and what it falsifies</w:t>
      </w:r>
    </w:p>
    <w:p w14:paraId="257F06C0" w14:textId="77777777" w:rsidR="003407C0" w:rsidRDefault="00000000">
      <w:pPr>
        <w:spacing w:after="120" w:line="480" w:lineRule="auto"/>
      </w:pPr>
      <w:r>
        <w:rPr>
          <w:rFonts w:eastAsia="Times New Roman"/>
          <w:b/>
          <w:bCs/>
        </w:rPr>
        <w:t>Short title:</w:t>
      </w:r>
      <w:r>
        <w:rPr>
          <w:rFonts w:eastAsia="Times New Roman"/>
        </w:rPr>
        <w:t xml:space="preserve"> A </w:t>
      </w:r>
      <w:proofErr w:type="spellStart"/>
      <w:r>
        <w:rPr>
          <w:rFonts w:eastAsia="Times New Roman"/>
        </w:rPr>
        <w:t>mechanotransduction</w:t>
      </w:r>
      <w:proofErr w:type="spellEnd"/>
      <w:r>
        <w:rPr>
          <w:rFonts w:eastAsia="Times New Roman"/>
        </w:rPr>
        <w:t>-resolved multiscale model of bone adaptation</w:t>
      </w:r>
    </w:p>
    <w:p w14:paraId="1532CC8B" w14:textId="17DE1B20" w:rsidR="003407C0" w:rsidRDefault="00000000">
      <w:pPr>
        <w:spacing w:after="120" w:line="480" w:lineRule="auto"/>
      </w:pPr>
      <w:r>
        <w:rPr>
          <w:rFonts w:eastAsia="Times New Roman"/>
          <w:b/>
          <w:bCs/>
        </w:rPr>
        <w:t>Hsiang-Lin Lee</w:t>
      </w:r>
      <w:r>
        <w:rPr>
          <w:rFonts w:eastAsia="Times New Roman"/>
          <w:vertAlign w:val="superscript"/>
        </w:rPr>
        <w:t>1,2</w:t>
      </w:r>
      <w:r>
        <w:rPr>
          <w:rFonts w:eastAsia="Times New Roman"/>
        </w:rPr>
        <w:t xml:space="preserve">, </w:t>
      </w:r>
      <w:r>
        <w:rPr>
          <w:rFonts w:eastAsia="Times New Roman"/>
          <w:b/>
          <w:bCs/>
        </w:rPr>
        <w:t>Tzu-Ling Wang</w:t>
      </w:r>
      <w:r>
        <w:rPr>
          <w:rFonts w:eastAsia="Times New Roman"/>
          <w:vertAlign w:val="superscript"/>
        </w:rPr>
        <w:t>3</w:t>
      </w:r>
      <w:r>
        <w:rPr>
          <w:rFonts w:eastAsia="Times New Roman"/>
          <w:i/>
          <w:iCs/>
        </w:rPr>
        <w:t>, Ming-Yu Hsieh</w:t>
      </w:r>
      <w:r w:rsidRPr="00940060">
        <w:rPr>
          <w:rFonts w:eastAsia="Times New Roman"/>
          <w:i/>
          <w:iCs/>
          <w:vertAlign w:val="superscript"/>
        </w:rPr>
        <w:t>4,5,6</w:t>
      </w:r>
    </w:p>
    <w:p w14:paraId="58DDAD56" w14:textId="77777777" w:rsidR="003407C0" w:rsidRDefault="00000000">
      <w:pPr>
        <w:spacing w:after="120" w:line="480" w:lineRule="auto"/>
      </w:pPr>
      <w:r>
        <w:rPr>
          <w:rFonts w:eastAsia="Times New Roman"/>
          <w:vertAlign w:val="superscript"/>
        </w:rPr>
        <w:t>1</w:t>
      </w:r>
      <w:r>
        <w:rPr>
          <w:rFonts w:eastAsia="Times New Roman"/>
        </w:rPr>
        <w:t xml:space="preserve"> Institute of Medicine, Chung Shan Medical University, Taichung, Taiwan</w:t>
      </w:r>
    </w:p>
    <w:p w14:paraId="4B4FA8F6" w14:textId="77777777" w:rsidR="003407C0" w:rsidRDefault="00000000">
      <w:pPr>
        <w:spacing w:after="120" w:line="480" w:lineRule="auto"/>
      </w:pPr>
      <w:r>
        <w:rPr>
          <w:rFonts w:eastAsia="Times New Roman"/>
          <w:vertAlign w:val="superscript"/>
        </w:rPr>
        <w:t>2</w:t>
      </w:r>
      <w:r>
        <w:rPr>
          <w:rFonts w:eastAsia="Times New Roman"/>
        </w:rPr>
        <w:t xml:space="preserve"> Department of Surgery, Chung Shan Medical University Hospital, Taichung, Taiwan</w:t>
      </w:r>
    </w:p>
    <w:p w14:paraId="4A11D4B6" w14:textId="77777777" w:rsidR="003407C0" w:rsidRDefault="00000000">
      <w:pPr>
        <w:spacing w:after="120" w:line="480" w:lineRule="auto"/>
      </w:pPr>
      <w:r>
        <w:rPr>
          <w:rFonts w:eastAsia="Times New Roman"/>
          <w:vertAlign w:val="superscript"/>
        </w:rPr>
        <w:t>3</w:t>
      </w:r>
      <w:r>
        <w:rPr>
          <w:rFonts w:eastAsia="Times New Roman"/>
        </w:rPr>
        <w:t xml:space="preserve"> School of Nursing, Chung Shan Medical University, Taichung, Taiwan</w:t>
      </w:r>
    </w:p>
    <w:p w14:paraId="291A20D0" w14:textId="77777777" w:rsidR="003407C0" w:rsidRDefault="00000000">
      <w:pPr>
        <w:spacing w:after="120" w:line="480" w:lineRule="auto"/>
      </w:pPr>
      <w:r>
        <w:rPr>
          <w:rFonts w:eastAsia="Times New Roman"/>
          <w:vertAlign w:val="superscript"/>
        </w:rPr>
        <w:t>4</w:t>
      </w:r>
      <w:r>
        <w:rPr>
          <w:rFonts w:eastAsia="Times New Roman"/>
        </w:rPr>
        <w:t xml:space="preserve"> School of Medicine, Chung Shan Medical University, Taichung, Taiwan</w:t>
      </w:r>
    </w:p>
    <w:p w14:paraId="6A69851B" w14:textId="77777777" w:rsidR="003407C0" w:rsidRDefault="00000000">
      <w:pPr>
        <w:spacing w:after="120" w:line="480" w:lineRule="auto"/>
      </w:pPr>
      <w:r>
        <w:rPr>
          <w:rFonts w:eastAsia="Times New Roman"/>
          <w:vertAlign w:val="superscript"/>
        </w:rPr>
        <w:t>5</w:t>
      </w:r>
      <w:r>
        <w:rPr>
          <w:rFonts w:eastAsia="Times New Roman"/>
        </w:rPr>
        <w:t xml:space="preserve"> Division of Pediatric Surgery, Chung Shan Medical University Hospital, Taichung, Taiwan</w:t>
      </w:r>
    </w:p>
    <w:p w14:paraId="6D2449D4" w14:textId="77777777" w:rsidR="003407C0" w:rsidRDefault="00000000">
      <w:pPr>
        <w:spacing w:after="120" w:line="480" w:lineRule="auto"/>
      </w:pPr>
      <w:r>
        <w:rPr>
          <w:rFonts w:eastAsia="Times New Roman"/>
          <w:vertAlign w:val="superscript"/>
        </w:rPr>
        <w:t>6</w:t>
      </w:r>
      <w:r>
        <w:rPr>
          <w:rFonts w:eastAsia="Times New Roman"/>
        </w:rPr>
        <w:t xml:space="preserve"> Center of Evidence-Based Medicine, Chung Shan Medical University Hospital, Taichung, Taiwan</w:t>
      </w:r>
    </w:p>
    <w:p w14:paraId="24312EDF" w14:textId="77777777" w:rsidR="003407C0" w:rsidRDefault="00000000">
      <w:pPr>
        <w:spacing w:after="120" w:line="480" w:lineRule="auto"/>
      </w:pPr>
      <w:r>
        <w:rPr>
          <w:rFonts w:eastAsia="Times New Roman"/>
        </w:rPr>
        <w:t>* Corresponding authors</w:t>
      </w:r>
    </w:p>
    <w:p w14:paraId="0DDFE739" w14:textId="77777777" w:rsidR="003407C0" w:rsidRDefault="00000000">
      <w:pPr>
        <w:spacing w:after="120" w:line="480" w:lineRule="auto"/>
      </w:pPr>
      <w:r>
        <w:rPr>
          <w:rFonts w:eastAsia="Times New Roman"/>
        </w:rPr>
        <w:t>E-mail: cshy1392@csh.org.tw (MYH); purplering@icloud.com (TLW)</w:t>
      </w:r>
    </w:p>
    <w:p w14:paraId="61B630C0" w14:textId="77777777" w:rsidR="003407C0" w:rsidRDefault="00000000">
      <w:pPr>
        <w:spacing w:after="120" w:line="480" w:lineRule="auto"/>
      </w:pPr>
      <w:r>
        <w:rPr>
          <w:rFonts w:eastAsia="Times New Roman"/>
        </w:rPr>
        <w:t>ORCID — Hsiang-Lin Lee: 0000-0003-1422-1042 · Tzu-Ling Wang: 0000-0003-3520-0531 · Ming-Yu Hsieh: 0000-0002-5797-3474</w:t>
      </w:r>
    </w:p>
    <w:p w14:paraId="257914B0" w14:textId="77777777" w:rsidR="003407C0" w:rsidRDefault="00000000">
      <w:pPr>
        <w:pStyle w:val="1"/>
        <w:spacing w:before="360" w:after="160" w:line="360" w:lineRule="auto"/>
      </w:pPr>
      <w:r>
        <w:rPr>
          <w:rFonts w:eastAsia="Times New Roman"/>
          <w:b/>
          <w:bCs/>
          <w:sz w:val="28"/>
          <w:szCs w:val="28"/>
        </w:rPr>
        <w:t>Abstract</w:t>
      </w:r>
    </w:p>
    <w:p w14:paraId="311B5CBC" w14:textId="77777777" w:rsidR="003407C0" w:rsidRDefault="00000000">
      <w:pPr>
        <w:spacing w:after="120" w:line="480" w:lineRule="auto"/>
      </w:pPr>
      <w:r>
        <w:rPr>
          <w:rFonts w:eastAsia="Times New Roman"/>
          <w:b/>
          <w:bCs/>
        </w:rPr>
        <w:t>Background.</w:t>
      </w:r>
      <w:r>
        <w:rPr>
          <w:rFonts w:eastAsia="Times New Roman"/>
        </w:rPr>
        <w:t xml:space="preserve"> Mechanical loading and calcium availability are the two levers most often invoked in skeletal health, but no model has been able to weigh them against each other, because </w:t>
      </w:r>
      <w:proofErr w:type="spellStart"/>
      <w:r>
        <w:rPr>
          <w:rFonts w:eastAsia="Times New Roman"/>
        </w:rPr>
        <w:t>mechanotransduction</w:t>
      </w:r>
      <w:proofErr w:type="spellEnd"/>
      <w:r>
        <w:rPr>
          <w:rFonts w:eastAsia="Times New Roman"/>
        </w:rPr>
        <w:t xml:space="preserve"> models terminate at the osteocyte and bone-</w:t>
      </w:r>
      <w:proofErr w:type="spellStart"/>
      <w:r>
        <w:rPr>
          <w:rFonts w:eastAsia="Times New Roman"/>
        </w:rPr>
        <w:t>remodelling</w:t>
      </w:r>
      <w:proofErr w:type="spellEnd"/>
      <w:r>
        <w:rPr>
          <w:rFonts w:eastAsia="Times New Roman"/>
        </w:rPr>
        <w:t xml:space="preserve"> models contain no mechanics.</w:t>
      </w:r>
    </w:p>
    <w:p w14:paraId="01C16600" w14:textId="77777777" w:rsidR="003407C0" w:rsidRDefault="00000000">
      <w:pPr>
        <w:spacing w:after="120" w:line="480" w:lineRule="auto"/>
      </w:pPr>
      <w:r>
        <w:rPr>
          <w:rFonts w:eastAsia="Times New Roman"/>
          <w:b/>
          <w:bCs/>
        </w:rPr>
        <w:lastRenderedPageBreak/>
        <w:t>Methods.</w:t>
      </w:r>
      <w:r>
        <w:rPr>
          <w:rFonts w:eastAsia="Times New Roman"/>
        </w:rPr>
        <w:t xml:space="preserve"> We built an eight-module multiscale model that carries a load continuously from organ-level bending, through </w:t>
      </w:r>
      <w:proofErr w:type="spellStart"/>
      <w:r>
        <w:rPr>
          <w:rFonts w:eastAsia="Times New Roman"/>
        </w:rPr>
        <w:t>poroelastic</w:t>
      </w:r>
      <w:proofErr w:type="spellEnd"/>
      <w:r>
        <w:rPr>
          <w:rFonts w:eastAsia="Times New Roman"/>
        </w:rPr>
        <w:t xml:space="preserve"> </w:t>
      </w:r>
      <w:proofErr w:type="spellStart"/>
      <w:r>
        <w:rPr>
          <w:rFonts w:eastAsia="Times New Roman"/>
        </w:rPr>
        <w:t>lacunocanalicular</w:t>
      </w:r>
      <w:proofErr w:type="spellEnd"/>
      <w:r>
        <w:rPr>
          <w:rFonts w:eastAsia="Times New Roman"/>
        </w:rPr>
        <w:t xml:space="preserve"> shear, through three-state mechanosensitive channel gating, through Piezo1–Ca²⁺–YAP/TAZ–sclerostin–</w:t>
      </w:r>
      <w:proofErr w:type="spellStart"/>
      <w:r>
        <w:rPr>
          <w:rFonts w:eastAsia="Times New Roman"/>
        </w:rPr>
        <w:t>Wnt</w:t>
      </w:r>
      <w:proofErr w:type="spellEnd"/>
      <w:r>
        <w:rPr>
          <w:rFonts w:eastAsia="Times New Roman"/>
        </w:rPr>
        <w:t xml:space="preserve"> </w:t>
      </w:r>
      <w:proofErr w:type="spellStart"/>
      <w:r>
        <w:rPr>
          <w:rFonts w:eastAsia="Times New Roman"/>
        </w:rPr>
        <w:t>signalling</w:t>
      </w:r>
      <w:proofErr w:type="spellEnd"/>
      <w:r>
        <w:rPr>
          <w:rFonts w:eastAsia="Times New Roman"/>
        </w:rPr>
        <w:t xml:space="preserve">, through the RANK/RANKL/OPG cell populations, to three-surface cortical geometry, </w:t>
      </w:r>
      <w:proofErr w:type="spellStart"/>
      <w:r>
        <w:rPr>
          <w:rFonts w:eastAsia="Times New Roman"/>
        </w:rPr>
        <w:t>mineralisation</w:t>
      </w:r>
      <w:proofErr w:type="spellEnd"/>
      <w:r>
        <w:rPr>
          <w:rFonts w:eastAsia="Times New Roman"/>
        </w:rPr>
        <w:t xml:space="preserve"> and areal bone mineral density, with systemic calcium–PTH–vitamin D coupled bidirectionally. Loading enters strictly as force; strain is a regulated output, preserving the </w:t>
      </w:r>
      <w:proofErr w:type="spellStart"/>
      <w:r>
        <w:rPr>
          <w:rFonts w:eastAsia="Times New Roman"/>
        </w:rPr>
        <w:t>mechanostat</w:t>
      </w:r>
      <w:proofErr w:type="spellEnd"/>
      <w:r>
        <w:rPr>
          <w:rFonts w:eastAsia="Times New Roman"/>
        </w:rPr>
        <w:t xml:space="preserve"> feedback loop. Five free parameters were fitted to five targets; eight further observations were held out and never entered the objective.</w:t>
      </w:r>
    </w:p>
    <w:p w14:paraId="7372CF56" w14:textId="77777777" w:rsidR="003407C0" w:rsidRDefault="00000000">
      <w:pPr>
        <w:spacing w:after="120" w:line="480" w:lineRule="auto"/>
      </w:pPr>
      <w:r>
        <w:rPr>
          <w:rFonts w:eastAsia="Times New Roman"/>
          <w:b/>
          <w:bCs/>
        </w:rPr>
        <w:t>Results.</w:t>
      </w:r>
      <w:r>
        <w:rPr>
          <w:rFonts w:eastAsia="Times New Roman"/>
        </w:rPr>
        <w:t xml:space="preserve"> The model reproduces adult turnover (7.33 %/yr), disuse loss (1.22 %/month), the non-progressive plateau of calcium supplementation, and </w:t>
      </w:r>
      <w:proofErr w:type="spellStart"/>
      <w:r>
        <w:rPr>
          <w:rFonts w:eastAsia="Times New Roman"/>
        </w:rPr>
        <w:t>romosozumab's</w:t>
      </w:r>
      <w:proofErr w:type="spellEnd"/>
      <w:r>
        <w:rPr>
          <w:rFonts w:eastAsia="Times New Roman"/>
        </w:rPr>
        <w:t xml:space="preserve"> spine response (+12.5 % at 12 months) and post-withdrawal loss (−8.7 %). Frost's </w:t>
      </w:r>
      <w:proofErr w:type="spellStart"/>
      <w:r>
        <w:rPr>
          <w:rFonts w:eastAsia="Times New Roman"/>
        </w:rPr>
        <w:t>mechanostat</w:t>
      </w:r>
      <w:proofErr w:type="spellEnd"/>
      <w:r>
        <w:rPr>
          <w:rFonts w:eastAsia="Times New Roman"/>
        </w:rPr>
        <w:t xml:space="preserve"> set point emerges at 787 </w:t>
      </w:r>
      <w:proofErr w:type="spellStart"/>
      <w:r>
        <w:rPr>
          <w:rFonts w:eastAsia="Times New Roman"/>
        </w:rPr>
        <w:t>με</w:t>
      </w:r>
      <w:proofErr w:type="spellEnd"/>
      <w:r>
        <w:rPr>
          <w:rFonts w:eastAsia="Times New Roman"/>
        </w:rPr>
        <w:t xml:space="preserve">, inside the lazy zone bracketed by the </w:t>
      </w:r>
      <w:proofErr w:type="spellStart"/>
      <w:r>
        <w:rPr>
          <w:rFonts w:eastAsia="Times New Roman"/>
        </w:rPr>
        <w:t>remodelling</w:t>
      </w:r>
      <w:proofErr w:type="spellEnd"/>
      <w:r>
        <w:rPr>
          <w:rFonts w:eastAsia="Times New Roman"/>
        </w:rPr>
        <w:t xml:space="preserve"> (100–300 </w:t>
      </w:r>
      <w:proofErr w:type="spellStart"/>
      <w:r>
        <w:rPr>
          <w:rFonts w:eastAsia="Times New Roman"/>
        </w:rPr>
        <w:t>με</w:t>
      </w:r>
      <w:proofErr w:type="spellEnd"/>
      <w:r>
        <w:rPr>
          <w:rFonts w:eastAsia="Times New Roman"/>
        </w:rPr>
        <w:t xml:space="preserve">) and modelling (1500–3000 </w:t>
      </w:r>
      <w:proofErr w:type="spellStart"/>
      <w:r>
        <w:rPr>
          <w:rFonts w:eastAsia="Times New Roman"/>
        </w:rPr>
        <w:t>με</w:t>
      </w:r>
      <w:proofErr w:type="spellEnd"/>
      <w:r>
        <w:rPr>
          <w:rFonts w:eastAsia="Times New Roman"/>
        </w:rPr>
        <w:t xml:space="preserve">) thresholds he inferred from observation, without being fitted. Loading raises bone mineral content 15.1-fold more than calcium, but only at a specified intensity (≈2900 </w:t>
      </w:r>
      <w:proofErr w:type="spellStart"/>
      <w:r>
        <w:rPr>
          <w:rFonts w:eastAsia="Times New Roman"/>
        </w:rPr>
        <w:t>με</w:t>
      </w:r>
      <w:proofErr w:type="spellEnd"/>
      <w:r>
        <w:rPr>
          <w:rFonts w:eastAsia="Times New Roman"/>
        </w:rPr>
        <w:t xml:space="preserve">) and in bone mass rather than areal density, which dilutes the response by 61 %. Unilateral loading reproduces all six </w:t>
      </w:r>
      <w:proofErr w:type="spellStart"/>
      <w:r>
        <w:rPr>
          <w:rFonts w:eastAsia="Times New Roman"/>
        </w:rPr>
        <w:t>pQCT</w:t>
      </w:r>
      <w:proofErr w:type="spellEnd"/>
      <w:r>
        <w:rPr>
          <w:rFonts w:eastAsia="Times New Roman"/>
        </w:rPr>
        <w:t xml:space="preserve"> indices of the tennis-player humerus, while systemic interventions produce side-to-side differences of 0.0000 %.</w:t>
      </w:r>
    </w:p>
    <w:p w14:paraId="1688FF12" w14:textId="77777777" w:rsidR="003407C0" w:rsidRDefault="00000000">
      <w:pPr>
        <w:spacing w:after="120" w:line="480" w:lineRule="auto"/>
      </w:pPr>
      <w:r>
        <w:rPr>
          <w:rFonts w:eastAsia="Times New Roman"/>
          <w:b/>
          <w:bCs/>
        </w:rPr>
        <w:t>Conclusions.</w:t>
      </w:r>
      <w:r>
        <w:rPr>
          <w:rFonts w:eastAsia="Times New Roman"/>
        </w:rPr>
        <w:t xml:space="preserve"> Our starting hypothesis that osteoporosis is an alternative stable state is falsified: the model is monostable, and a full withdrawal-and-recovery probe returns to 100.3 % of baseline with no hysteresis. Skeletal irreversibility must therefore arise from structural loss outside continuum porosity dynamics. One of the three clauses of our loading-versus-calcium prediction reverses sign under a different densitometric measure, which we report as a methodological </w:t>
      </w:r>
      <w:proofErr w:type="gramStart"/>
      <w:r>
        <w:rPr>
          <w:rFonts w:eastAsia="Times New Roman"/>
        </w:rPr>
        <w:t>result in its own right</w:t>
      </w:r>
      <w:proofErr w:type="gramEnd"/>
      <w:r>
        <w:rPr>
          <w:rFonts w:eastAsia="Times New Roman"/>
        </w:rPr>
        <w:t>.</w:t>
      </w:r>
    </w:p>
    <w:p w14:paraId="20AE2471" w14:textId="77777777" w:rsidR="003407C0" w:rsidRDefault="00000000">
      <w:pPr>
        <w:pStyle w:val="1"/>
        <w:spacing w:before="360" w:after="160" w:line="360" w:lineRule="auto"/>
      </w:pPr>
      <w:r>
        <w:rPr>
          <w:rFonts w:eastAsia="Times New Roman"/>
          <w:b/>
          <w:bCs/>
          <w:sz w:val="28"/>
          <w:szCs w:val="28"/>
        </w:rPr>
        <w:lastRenderedPageBreak/>
        <w:t>Introduction</w:t>
      </w:r>
    </w:p>
    <w:p w14:paraId="53B8C0CA" w14:textId="77777777" w:rsidR="003407C0" w:rsidRDefault="00000000">
      <w:pPr>
        <w:spacing w:after="120" w:line="480" w:lineRule="auto"/>
      </w:pPr>
      <w:r>
        <w:rPr>
          <w:rFonts w:eastAsia="Times New Roman"/>
        </w:rPr>
        <w:t xml:space="preserve">Bone is a structure that carries its own sensors. Frost's </w:t>
      </w:r>
      <w:proofErr w:type="spellStart"/>
      <w:r>
        <w:rPr>
          <w:rFonts w:eastAsia="Times New Roman"/>
        </w:rPr>
        <w:t>mechanostat</w:t>
      </w:r>
      <w:proofErr w:type="spellEnd"/>
      <w:r>
        <w:rPr>
          <w:rFonts w:eastAsia="Times New Roman"/>
        </w:rPr>
        <w:t xml:space="preserve"> [1] proposed that bone tissue holds strain near a set point by adding material when strain is high and removing it when strain is low, and the framework has </w:t>
      </w:r>
      <w:proofErr w:type="spellStart"/>
      <w:r>
        <w:rPr>
          <w:rFonts w:eastAsia="Times New Roman"/>
        </w:rPr>
        <w:t>organised</w:t>
      </w:r>
      <w:proofErr w:type="spellEnd"/>
      <w:r>
        <w:rPr>
          <w:rFonts w:eastAsia="Times New Roman"/>
        </w:rPr>
        <w:t xml:space="preserve"> four decades of skeletal physiology. What it has never had is a mechanism: the set point is inferred from observation, not derived, and the theory is silent on the molecular chain that would produce it.</w:t>
      </w:r>
    </w:p>
    <w:p w14:paraId="71C8F8FF" w14:textId="77777777" w:rsidR="003407C0" w:rsidRDefault="00000000">
      <w:pPr>
        <w:spacing w:after="120" w:line="480" w:lineRule="auto"/>
      </w:pPr>
      <w:r>
        <w:rPr>
          <w:rFonts w:eastAsia="Times New Roman"/>
        </w:rPr>
        <w:t xml:space="preserve">That chain is now largely known. Load deforms the bone matrix, driving interstitial fluid through the </w:t>
      </w:r>
      <w:proofErr w:type="spellStart"/>
      <w:r>
        <w:rPr>
          <w:rFonts w:eastAsia="Times New Roman"/>
        </w:rPr>
        <w:t>lacunocanalicular</w:t>
      </w:r>
      <w:proofErr w:type="spellEnd"/>
      <w:r>
        <w:rPr>
          <w:rFonts w:eastAsia="Times New Roman"/>
        </w:rPr>
        <w:t xml:space="preserve"> network; the resulting shear stress on osteocyte processes gates mechanosensitive ion channels including Piezo1 [22]; the calcium transient that follows shifts YAP/TAZ to the nucleus; sclerostin, the osteocyte-secreted </w:t>
      </w:r>
      <w:proofErr w:type="spellStart"/>
      <w:r>
        <w:rPr>
          <w:rFonts w:eastAsia="Times New Roman"/>
        </w:rPr>
        <w:t>Wnt</w:t>
      </w:r>
      <w:proofErr w:type="spellEnd"/>
      <w:r>
        <w:rPr>
          <w:rFonts w:eastAsia="Times New Roman"/>
        </w:rPr>
        <w:t xml:space="preserve"> antagonist encoded by </w:t>
      </w:r>
      <w:r>
        <w:rPr>
          <w:rFonts w:eastAsia="Times New Roman"/>
          <w:i/>
          <w:iCs/>
        </w:rPr>
        <w:t>SOST</w:t>
      </w:r>
      <w:r>
        <w:rPr>
          <w:rFonts w:eastAsia="Times New Roman"/>
        </w:rPr>
        <w:t xml:space="preserve">, falls; </w:t>
      </w:r>
      <w:proofErr w:type="spellStart"/>
      <w:r>
        <w:rPr>
          <w:rFonts w:eastAsia="Times New Roman"/>
        </w:rPr>
        <w:t>Wnt</w:t>
      </w:r>
      <w:proofErr w:type="spellEnd"/>
      <w:r>
        <w:rPr>
          <w:rFonts w:eastAsia="Times New Roman"/>
        </w:rPr>
        <w:t xml:space="preserve">/β-catenin </w:t>
      </w:r>
      <w:proofErr w:type="spellStart"/>
      <w:r>
        <w:rPr>
          <w:rFonts w:eastAsia="Times New Roman"/>
        </w:rPr>
        <w:t>signalling</w:t>
      </w:r>
      <w:proofErr w:type="spellEnd"/>
      <w:r>
        <w:rPr>
          <w:rFonts w:eastAsia="Times New Roman"/>
        </w:rPr>
        <w:t xml:space="preserve"> rises; and osteoblast and osteoclast populations respond. Each link is supported, and several are drug targets — </w:t>
      </w:r>
      <w:proofErr w:type="spellStart"/>
      <w:r>
        <w:rPr>
          <w:rFonts w:eastAsia="Times New Roman"/>
        </w:rPr>
        <w:t>romosozumab</w:t>
      </w:r>
      <w:proofErr w:type="spellEnd"/>
      <w:r>
        <w:rPr>
          <w:rFonts w:eastAsia="Times New Roman"/>
        </w:rPr>
        <w:t>, an anti-sclerostin antibody, is licensed on exactly this axis [14].</w:t>
      </w:r>
    </w:p>
    <w:p w14:paraId="460532E4" w14:textId="77777777" w:rsidR="003407C0" w:rsidRDefault="00000000">
      <w:pPr>
        <w:spacing w:after="120" w:line="480" w:lineRule="auto"/>
      </w:pPr>
      <w:r>
        <w:rPr>
          <w:rFonts w:eastAsia="Times New Roman"/>
        </w:rPr>
        <w:t>Computational work has advanced from both ends and met in the middle nowhere. On the sensing side, Fu and colleagues [2] built a whole bone–</w:t>
      </w:r>
      <w:proofErr w:type="spellStart"/>
      <w:r>
        <w:rPr>
          <w:rFonts w:eastAsia="Times New Roman"/>
        </w:rPr>
        <w:t>lacunocanalicular</w:t>
      </w:r>
      <w:proofErr w:type="spellEnd"/>
      <w:r>
        <w:rPr>
          <w:rFonts w:eastAsia="Times New Roman"/>
        </w:rPr>
        <w:t xml:space="preserve">–osteocyte model that reproduces the effects of loading magnitude, frequency, cycle number and recovery time, but stops at the osteocyte response. On the tissue side, the Lemaire [3] and Pivonka [4] families of models describe RANK/RANKL/OPG population dynamics and drug interventions in quantitative </w:t>
      </w:r>
      <w:proofErr w:type="gramStart"/>
      <w:r>
        <w:rPr>
          <w:rFonts w:eastAsia="Times New Roman"/>
        </w:rPr>
        <w:t>detail, but</w:t>
      </w:r>
      <w:proofErr w:type="gramEnd"/>
      <w:r>
        <w:rPr>
          <w:rFonts w:eastAsia="Times New Roman"/>
        </w:rPr>
        <w:t xml:space="preserve"> drive them with a phenomenological stimulus rather than mechanics; where mechanics appears at all it is as strain energy density imposed from outside [5]. The consequence is that no existing model can (</w:t>
      </w:r>
      <w:proofErr w:type="spellStart"/>
      <w:r>
        <w:rPr>
          <w:rFonts w:eastAsia="Times New Roman"/>
        </w:rPr>
        <w:t>i</w:t>
      </w:r>
      <w:proofErr w:type="spellEnd"/>
      <w:r>
        <w:rPr>
          <w:rFonts w:eastAsia="Times New Roman"/>
        </w:rPr>
        <w:t xml:space="preserve">) distinguish two loading protocols with identical energy but different waveform and report a bone mineral density trajectory, (ii) compare mechanical loading against an anti-sclerostin antibody in the same currency, or (iii) let calcium </w:t>
      </w:r>
      <w:r>
        <w:rPr>
          <w:rFonts w:eastAsia="Times New Roman"/>
        </w:rPr>
        <w:lastRenderedPageBreak/>
        <w:t>intake and mechanical loading compete for the same bone.</w:t>
      </w:r>
    </w:p>
    <w:p w14:paraId="507E3004" w14:textId="77777777" w:rsidR="003407C0" w:rsidRDefault="00000000">
      <w:pPr>
        <w:spacing w:after="120" w:line="480" w:lineRule="auto"/>
      </w:pPr>
      <w:r>
        <w:rPr>
          <w:rFonts w:eastAsia="Times New Roman"/>
        </w:rPr>
        <w:t xml:space="preserve">The third gap is the clinically loudest. Calcium supplementation produces a small, non-progressive increment in bone density — Tai and colleagues' meta-analysis [6] found +0.7 to +1.8 %, reached within one year and not continuing thereafter — while exercise interventions and, most starkly, the natural experiment of unilateral racquet sports [7] produce far larger and site-confined changes. The natural reading is that calcium is </w:t>
      </w:r>
      <w:r>
        <w:rPr>
          <w:rFonts w:eastAsia="Times New Roman"/>
          <w:i/>
          <w:iCs/>
        </w:rPr>
        <w:t>permissive</w:t>
      </w:r>
      <w:r>
        <w:rPr>
          <w:rFonts w:eastAsia="Times New Roman"/>
        </w:rPr>
        <w:t xml:space="preserve"> and loading is </w:t>
      </w:r>
      <w:r>
        <w:rPr>
          <w:rFonts w:eastAsia="Times New Roman"/>
          <w:i/>
          <w:iCs/>
        </w:rPr>
        <w:t>instructive</w:t>
      </w:r>
      <w:r>
        <w:rPr>
          <w:rFonts w:eastAsia="Times New Roman"/>
        </w:rPr>
        <w:t>: calcium determines whether bone can be built, loading determines whether it will be. That reading has never been tested inside a single mechanistic model, because no model has contained both.</w:t>
      </w:r>
    </w:p>
    <w:p w14:paraId="1404E578" w14:textId="77777777" w:rsidR="003407C0" w:rsidRDefault="00000000">
      <w:pPr>
        <w:spacing w:after="120" w:line="480" w:lineRule="auto"/>
      </w:pPr>
      <w:r>
        <w:rPr>
          <w:rFonts w:eastAsia="Times New Roman"/>
        </w:rPr>
        <w:t xml:space="preserve">We report such a model, and three falsifiable predictions. All three were written into the project plan before any parameter was fitted, and the dated plan and its decision log are in the archived repository, so the ordering can be checked; we make no claim of formal pre-registration in a public registry. </w:t>
      </w:r>
      <w:r>
        <w:rPr>
          <w:rFonts w:eastAsia="Times New Roman"/>
          <w:b/>
          <w:bCs/>
        </w:rPr>
        <w:t>P1</w:t>
      </w:r>
      <w:r>
        <w:rPr>
          <w:rFonts w:eastAsia="Times New Roman"/>
        </w:rPr>
        <w:t xml:space="preserve">: in the calcium-replete range, the marginal effect of calcium on bone density is small, while appropriate loading is large, and the two interact non-additively. </w:t>
      </w:r>
      <w:r>
        <w:rPr>
          <w:rFonts w:eastAsia="Times New Roman"/>
          <w:b/>
          <w:bCs/>
        </w:rPr>
        <w:t>P2</w:t>
      </w:r>
      <w:r>
        <w:rPr>
          <w:rFonts w:eastAsia="Times New Roman"/>
        </w:rPr>
        <w:t xml:space="preserve">: a two-compartment model sharing one systemic calcium pool reproduces the tennis-player asymmetry, and no systemic intervention can. </w:t>
      </w:r>
      <w:r>
        <w:rPr>
          <w:rFonts w:eastAsia="Times New Roman"/>
          <w:b/>
          <w:bCs/>
        </w:rPr>
        <w:t>P3</w:t>
      </w:r>
      <w:r>
        <w:rPr>
          <w:rFonts w:eastAsia="Times New Roman"/>
        </w:rPr>
        <w:t xml:space="preserve">: with </w:t>
      </w:r>
      <w:proofErr w:type="spellStart"/>
      <w:r>
        <w:rPr>
          <w:rFonts w:eastAsia="Times New Roman"/>
        </w:rPr>
        <w:t>mechanosensitivity</w:t>
      </w:r>
      <w:proofErr w:type="spellEnd"/>
      <w:r>
        <w:rPr>
          <w:rFonts w:eastAsia="Times New Roman"/>
        </w:rPr>
        <w:t xml:space="preserve">, sclerostin secretion or </w:t>
      </w:r>
      <w:proofErr w:type="spellStart"/>
      <w:r>
        <w:rPr>
          <w:rFonts w:eastAsia="Times New Roman"/>
        </w:rPr>
        <w:t>oestrogen</w:t>
      </w:r>
      <w:proofErr w:type="spellEnd"/>
      <w:r>
        <w:rPr>
          <w:rFonts w:eastAsia="Times New Roman"/>
        </w:rPr>
        <w:t xml:space="preserve"> as bifurcation parameters, the system exhibits a saddle-node bifurcation and </w:t>
      </w:r>
      <w:proofErr w:type="spellStart"/>
      <w:r>
        <w:rPr>
          <w:rFonts w:eastAsia="Times New Roman"/>
        </w:rPr>
        <w:t>bistability</w:t>
      </w:r>
      <w:proofErr w:type="spellEnd"/>
      <w:r>
        <w:rPr>
          <w:rFonts w:eastAsia="Times New Roman"/>
        </w:rPr>
        <w:t>, so that osteoporosis is an alternative stable state — which would explain why bone is lost quickly and regained slowly.</w:t>
      </w:r>
    </w:p>
    <w:p w14:paraId="1AE3E22C" w14:textId="77777777" w:rsidR="003407C0" w:rsidRDefault="00000000">
      <w:pPr>
        <w:spacing w:after="120" w:line="480" w:lineRule="auto"/>
      </w:pPr>
      <w:r>
        <w:rPr>
          <w:rFonts w:eastAsia="Times New Roman"/>
        </w:rPr>
        <w:t>Two of these survive. The third does not, and we report its falsification in the main text because it is the strongest available evidence that the model predicts rather than fits.</w:t>
      </w:r>
    </w:p>
    <w:p w14:paraId="33686097" w14:textId="77777777" w:rsidR="003407C0" w:rsidRDefault="00000000">
      <w:pPr>
        <w:pStyle w:val="1"/>
        <w:spacing w:before="360" w:after="160" w:line="360" w:lineRule="auto"/>
      </w:pPr>
      <w:r>
        <w:rPr>
          <w:rFonts w:eastAsia="Times New Roman"/>
          <w:b/>
          <w:bCs/>
          <w:sz w:val="28"/>
          <w:szCs w:val="28"/>
        </w:rPr>
        <w:t>Materials and methods</w:t>
      </w:r>
    </w:p>
    <w:p w14:paraId="464E59F2" w14:textId="77777777" w:rsidR="003407C0" w:rsidRDefault="00000000">
      <w:pPr>
        <w:pStyle w:val="2"/>
        <w:spacing w:before="240" w:after="120" w:line="360" w:lineRule="auto"/>
      </w:pPr>
      <w:r>
        <w:rPr>
          <w:rFonts w:eastAsia="Times New Roman"/>
          <w:b/>
          <w:bCs/>
          <w:i/>
          <w:iCs/>
          <w:sz w:val="24"/>
          <w:szCs w:val="24"/>
        </w:rPr>
        <w:lastRenderedPageBreak/>
        <w:t>Model structure</w:t>
      </w:r>
    </w:p>
    <w:p w14:paraId="46DD71A1" w14:textId="77777777" w:rsidR="003407C0" w:rsidRDefault="00000000">
      <w:pPr>
        <w:spacing w:after="120" w:line="480" w:lineRule="auto"/>
      </w:pPr>
      <w:r>
        <w:rPr>
          <w:rFonts w:eastAsia="Times New Roman"/>
        </w:rPr>
        <w:t xml:space="preserve">Eight modules; full equations in </w:t>
      </w:r>
      <w:r>
        <w:rPr>
          <w:rFonts w:eastAsia="Times New Roman"/>
          <w:b/>
          <w:bCs/>
        </w:rPr>
        <w:t>S1 Text</w:t>
      </w:r>
      <w:r>
        <w:rPr>
          <w:rFonts w:eastAsia="Times New Roman"/>
        </w:rPr>
        <w:t xml:space="preserve">. State vectors: 17 (single compartment), 30 (two compartments; 13 local states per site plus four shared systemic states). Integration with </w:t>
      </w:r>
      <w:r>
        <w:rPr>
          <w:rFonts w:ascii="Courier New" w:eastAsia="Courier New" w:hAnsi="Courier New" w:cs="Courier New"/>
        </w:rPr>
        <w:t>ode15s</w:t>
      </w:r>
      <w:r>
        <w:rPr>
          <w:rFonts w:eastAsia="Times New Roman"/>
        </w:rPr>
        <w:t>, relative tolerance 1 × 10⁻⁶, absolute tolerance 1 × 10⁻⁹, non-negativity enforced on all states.</w:t>
      </w:r>
    </w:p>
    <w:p w14:paraId="385D09BA" w14:textId="77777777" w:rsidR="003407C0" w:rsidRDefault="00000000">
      <w:pPr>
        <w:spacing w:after="120" w:line="480" w:lineRule="auto"/>
      </w:pPr>
      <w:r>
        <w:rPr>
          <w:rFonts w:eastAsia="Times New Roman"/>
        </w:rPr>
        <w:t xml:space="preserve">The per-site biology is implemented once and called by both the single- and two-compartment right-hand sides, so the two cannot diverge. Mechanosensitive channel gating exists in exactly one place; the interface between fast (sub-second) and slow (daily) timescales is a single scalar, the daily integral of channel open probability. An earlier version represented the same phenomena four times over and left that scalar with no downstream consumer, so mechanical </w:t>
      </w:r>
      <w:proofErr w:type="spellStart"/>
      <w:r>
        <w:rPr>
          <w:rFonts w:eastAsia="Times New Roman"/>
        </w:rPr>
        <w:t>signalling</w:t>
      </w:r>
      <w:proofErr w:type="spellEnd"/>
      <w:r>
        <w:rPr>
          <w:rFonts w:eastAsia="Times New Roman"/>
        </w:rPr>
        <w:t xml:space="preserve"> never actually crossed the timescale boundary.</w:t>
      </w:r>
    </w:p>
    <w:p w14:paraId="644AEF0C" w14:textId="77777777" w:rsidR="003407C0" w:rsidRDefault="00000000">
      <w:pPr>
        <w:pStyle w:val="2"/>
        <w:spacing w:before="240" w:after="120" w:line="360" w:lineRule="auto"/>
      </w:pPr>
      <w:r>
        <w:rPr>
          <w:rFonts w:eastAsia="Times New Roman"/>
          <w:b/>
          <w:bCs/>
          <w:i/>
          <w:iCs/>
          <w:sz w:val="24"/>
          <w:szCs w:val="24"/>
        </w:rPr>
        <w:t>Loading specification</w:t>
      </w:r>
    </w:p>
    <w:p w14:paraId="29C18E54" w14:textId="77777777" w:rsidR="003407C0" w:rsidRDefault="00000000">
      <w:pPr>
        <w:spacing w:after="120" w:line="480" w:lineRule="auto"/>
      </w:pPr>
      <w:r>
        <w:rPr>
          <w:rFonts w:eastAsia="Times New Roman"/>
        </w:rPr>
        <w:t xml:space="preserve">Scenarios specify peak bending moment and peak axial force per loading bout, with cycle count, frequency, inter-cycle rest, post-bout rest and days of week. </w:t>
      </w:r>
      <w:r>
        <w:rPr>
          <w:rFonts w:eastAsia="Times New Roman"/>
          <w:b/>
          <w:bCs/>
        </w:rPr>
        <w:t>Strain is never an input.</w:t>
      </w:r>
      <w:r>
        <w:rPr>
          <w:rFonts w:eastAsia="Times New Roman"/>
        </w:rPr>
        <w:t xml:space="preserve"> This is enforced by an automated check that rejects any scenario carrying a strain-like field.</w:t>
      </w:r>
    </w:p>
    <w:p w14:paraId="017E06BC" w14:textId="77777777" w:rsidR="003407C0" w:rsidRDefault="00000000">
      <w:pPr>
        <w:pStyle w:val="2"/>
        <w:spacing w:before="240" w:after="120" w:line="360" w:lineRule="auto"/>
      </w:pPr>
      <w:r>
        <w:rPr>
          <w:rFonts w:eastAsia="Times New Roman"/>
          <w:b/>
          <w:bCs/>
          <w:i/>
          <w:iCs/>
          <w:sz w:val="24"/>
          <w:szCs w:val="24"/>
        </w:rPr>
        <w:t>Calibration and validation</w:t>
      </w:r>
    </w:p>
    <w:p w14:paraId="5AD50215" w14:textId="77777777" w:rsidR="003407C0" w:rsidRDefault="00000000">
      <w:pPr>
        <w:spacing w:after="120" w:line="480" w:lineRule="auto"/>
      </w:pPr>
      <w:r>
        <w:rPr>
          <w:rFonts w:eastAsia="Times New Roman"/>
        </w:rPr>
        <w:t xml:space="preserve">Five free parameters fitted with </w:t>
      </w:r>
      <w:proofErr w:type="spellStart"/>
      <w:r>
        <w:rPr>
          <w:rFonts w:ascii="Courier New" w:eastAsia="Courier New" w:hAnsi="Courier New" w:cs="Courier New"/>
        </w:rPr>
        <w:t>surrogateopt</w:t>
      </w:r>
      <w:proofErr w:type="spellEnd"/>
      <w:r>
        <w:rPr>
          <w:rFonts w:eastAsia="Times New Roman"/>
        </w:rPr>
        <w:t xml:space="preserve"> (fixed seed) against five targets; </w:t>
      </w:r>
      <w:proofErr w:type="spellStart"/>
      <w:r>
        <w:rPr>
          <w:rFonts w:ascii="Courier New" w:eastAsia="Courier New" w:hAnsi="Courier New" w:cs="Courier New"/>
        </w:rPr>
        <w:t>k_form</w:t>
      </w:r>
      <w:proofErr w:type="spellEnd"/>
      <w:r>
        <w:rPr>
          <w:rFonts w:eastAsia="Times New Roman"/>
        </w:rPr>
        <w:t xml:space="preserve"> and </w:t>
      </w:r>
      <w:proofErr w:type="spellStart"/>
      <w:r>
        <w:rPr>
          <w:rFonts w:ascii="Courier New" w:eastAsia="Courier New" w:hAnsi="Courier New" w:cs="Courier New"/>
        </w:rPr>
        <w:t>k_ot</w:t>
      </w:r>
      <w:proofErr w:type="spellEnd"/>
      <w:r>
        <w:rPr>
          <w:rFonts w:eastAsia="Times New Roman"/>
        </w:rPr>
        <w:t xml:space="preserve"> derived at each evaluation, from bone-mass balance and from bone turnover respectively. Eight observations held out: the six </w:t>
      </w:r>
      <w:proofErr w:type="spellStart"/>
      <w:r>
        <w:rPr>
          <w:rFonts w:eastAsia="Times New Roman"/>
        </w:rPr>
        <w:t>pQCT</w:t>
      </w:r>
      <w:proofErr w:type="spellEnd"/>
      <w:r>
        <w:rPr>
          <w:rFonts w:eastAsia="Times New Roman"/>
        </w:rPr>
        <w:t xml:space="preserve"> indices of the loaded humerus, the post-withdrawal areal density change, and the emergent set point. Targets and tolerances are listed in </w:t>
      </w:r>
      <w:r>
        <w:rPr>
          <w:rFonts w:eastAsia="Times New Roman"/>
          <w:b/>
          <w:bCs/>
        </w:rPr>
        <w:t>S2 Table</w:t>
      </w:r>
      <w:r>
        <w:rPr>
          <w:rFonts w:eastAsia="Times New Roman"/>
        </w:rPr>
        <w:t xml:space="preserve">; all parameters, with source and confidence grading, in </w:t>
      </w:r>
      <w:r>
        <w:rPr>
          <w:rFonts w:eastAsia="Times New Roman"/>
          <w:b/>
          <w:bCs/>
        </w:rPr>
        <w:t>S1 Table</w:t>
      </w:r>
      <w:r>
        <w:rPr>
          <w:rFonts w:eastAsia="Times New Roman"/>
        </w:rPr>
        <w:t>. Hard-coded numerical constants in source are treated as defects and are caught by an automated check.</w:t>
      </w:r>
    </w:p>
    <w:p w14:paraId="38BDCAC7" w14:textId="77777777" w:rsidR="003407C0" w:rsidRDefault="00000000">
      <w:pPr>
        <w:pStyle w:val="2"/>
        <w:spacing w:before="240" w:after="120" w:line="360" w:lineRule="auto"/>
      </w:pPr>
      <w:r>
        <w:rPr>
          <w:rFonts w:eastAsia="Times New Roman"/>
          <w:b/>
          <w:bCs/>
          <w:i/>
          <w:iCs/>
          <w:sz w:val="24"/>
          <w:szCs w:val="24"/>
        </w:rPr>
        <w:lastRenderedPageBreak/>
        <w:t>Validity domain</w:t>
      </w:r>
    </w:p>
    <w:p w14:paraId="64190FDA" w14:textId="77777777" w:rsidR="003407C0" w:rsidRDefault="00000000">
      <w:pPr>
        <w:spacing w:after="120" w:line="480" w:lineRule="auto"/>
      </w:pPr>
      <w:r>
        <w:rPr>
          <w:rFonts w:eastAsia="Times New Roman"/>
        </w:rPr>
        <w:t xml:space="preserve">Every simulation </w:t>
      </w:r>
      <w:proofErr w:type="gramStart"/>
      <w:r>
        <w:rPr>
          <w:rFonts w:eastAsia="Times New Roman"/>
        </w:rPr>
        <w:t>reports</w:t>
      </w:r>
      <w:proofErr w:type="gramEnd"/>
      <w:r>
        <w:rPr>
          <w:rFonts w:eastAsia="Times New Roman"/>
        </w:rPr>
        <w:t xml:space="preserve"> whether peak strain remained below the yield strain of cortical bone (7000 </w:t>
      </w:r>
      <w:proofErr w:type="spellStart"/>
      <w:r>
        <w:rPr>
          <w:rFonts w:eastAsia="Times New Roman"/>
        </w:rPr>
        <w:t>με</w:t>
      </w:r>
      <w:proofErr w:type="spellEnd"/>
      <w:r>
        <w:rPr>
          <w:rFonts w:eastAsia="Times New Roman"/>
        </w:rPr>
        <w:t>), beyond which the linear elasticity assumed throughout the mechanics stack fails. Results from runs that leave this domain are not interpreted. This check is what identified the long-duration disuse scope limit and the extrapolated deep branch of the bifurcation diagram.</w:t>
      </w:r>
    </w:p>
    <w:p w14:paraId="30821D0D" w14:textId="77777777" w:rsidR="003407C0" w:rsidRDefault="00000000">
      <w:pPr>
        <w:pStyle w:val="2"/>
        <w:spacing w:before="240" w:after="120" w:line="360" w:lineRule="auto"/>
      </w:pPr>
      <w:r>
        <w:rPr>
          <w:rFonts w:eastAsia="Times New Roman"/>
          <w:b/>
          <w:bCs/>
          <w:i/>
          <w:iCs/>
          <w:sz w:val="24"/>
          <w:szCs w:val="24"/>
        </w:rPr>
        <w:t>Bifurcation analysis</w:t>
      </w:r>
    </w:p>
    <w:p w14:paraId="0AA1430F" w14:textId="77777777" w:rsidR="003407C0" w:rsidRDefault="00000000">
      <w:pPr>
        <w:spacing w:after="120" w:line="480" w:lineRule="auto"/>
      </w:pPr>
      <w:proofErr w:type="spellStart"/>
      <w:r>
        <w:rPr>
          <w:rFonts w:eastAsia="Times New Roman"/>
        </w:rPr>
        <w:t>Monostability</w:t>
      </w:r>
      <w:proofErr w:type="spellEnd"/>
      <w:r>
        <w:rPr>
          <w:rFonts w:eastAsia="Times New Roman"/>
        </w:rPr>
        <w:t xml:space="preserve"> was assessed two ways: by counting zeros of the bone-volume-fraction nullcline with envelope geometry frozen, and independently by a withdrawal-and-recovery trajectory in the full model with geometry free. Fixed-point stability from Jacobian eigenvalues.</w:t>
      </w:r>
    </w:p>
    <w:p w14:paraId="679646ED" w14:textId="77777777" w:rsidR="003407C0" w:rsidRDefault="00000000">
      <w:pPr>
        <w:pStyle w:val="2"/>
        <w:spacing w:before="240" w:after="120" w:line="360" w:lineRule="auto"/>
      </w:pPr>
      <w:r>
        <w:rPr>
          <w:rFonts w:eastAsia="Times New Roman"/>
          <w:b/>
          <w:bCs/>
          <w:i/>
          <w:iCs/>
          <w:sz w:val="24"/>
          <w:szCs w:val="24"/>
        </w:rPr>
        <w:t>Software and reproducibility</w:t>
      </w:r>
    </w:p>
    <w:p w14:paraId="0B2BDFF2" w14:textId="77777777" w:rsidR="003407C0" w:rsidRDefault="00000000">
      <w:pPr>
        <w:spacing w:after="120" w:line="480" w:lineRule="auto"/>
      </w:pPr>
      <w:r>
        <w:rPr>
          <w:rFonts w:eastAsia="Times New Roman"/>
        </w:rPr>
        <w:t xml:space="preserve">MATLAB R2026a. The model, the parameter and target tables, all seven experiment scripts and a 91-assertion automated test suite are available at https://github.com/myhsieh1002/bone-mechanostat and archived on </w:t>
      </w:r>
      <w:proofErr w:type="spellStart"/>
      <w:r>
        <w:rPr>
          <w:rFonts w:eastAsia="Times New Roman"/>
        </w:rPr>
        <w:t>Zenodo</w:t>
      </w:r>
      <w:proofErr w:type="spellEnd"/>
      <w:r>
        <w:rPr>
          <w:rFonts w:eastAsia="Times New Roman"/>
        </w:rPr>
        <w:t xml:space="preserve"> (concept DOI 10.5281/zenodo.21592303; this version 10.5281/zenodo.21784609). Every figure in this paper is regenerated by a single named script.</w:t>
      </w:r>
    </w:p>
    <w:p w14:paraId="2D3B0555" w14:textId="77777777" w:rsidR="003407C0" w:rsidRDefault="00000000">
      <w:pPr>
        <w:pStyle w:val="1"/>
        <w:spacing w:before="360" w:after="160" w:line="360" w:lineRule="auto"/>
      </w:pPr>
      <w:r>
        <w:rPr>
          <w:rFonts w:eastAsia="Times New Roman"/>
          <w:b/>
          <w:bCs/>
          <w:sz w:val="28"/>
          <w:szCs w:val="28"/>
        </w:rPr>
        <w:t>Results</w:t>
      </w:r>
    </w:p>
    <w:p w14:paraId="4C484D1E" w14:textId="77777777" w:rsidR="003407C0" w:rsidRDefault="00000000">
      <w:pPr>
        <w:pStyle w:val="2"/>
        <w:spacing w:before="240" w:after="120" w:line="360" w:lineRule="auto"/>
      </w:pPr>
      <w:r>
        <w:rPr>
          <w:rFonts w:eastAsia="Times New Roman"/>
          <w:b/>
          <w:bCs/>
          <w:i/>
          <w:iCs/>
          <w:sz w:val="24"/>
          <w:szCs w:val="24"/>
        </w:rPr>
        <w:t>An unbroken chain from force to bone mineral density</w:t>
      </w:r>
    </w:p>
    <w:p w14:paraId="0CC35D6E" w14:textId="77777777" w:rsidR="003407C0" w:rsidRDefault="00000000">
      <w:pPr>
        <w:spacing w:after="120" w:line="480" w:lineRule="auto"/>
      </w:pPr>
      <w:r>
        <w:rPr>
          <w:rFonts w:eastAsia="Times New Roman"/>
        </w:rPr>
        <w:t xml:space="preserve">The model comprises eight modules (M1–M8; </w:t>
      </w:r>
      <w:r>
        <w:rPr>
          <w:rFonts w:eastAsia="Times New Roman"/>
          <w:b/>
          <w:bCs/>
        </w:rPr>
        <w:t>S1 Text</w:t>
      </w:r>
      <w:r>
        <w:rPr>
          <w:rFonts w:eastAsia="Times New Roman"/>
        </w:rPr>
        <w:t xml:space="preserve">). M1 computes cross-sectional strain from a prescribed peak bending moment and axial force. M2 solves </w:t>
      </w:r>
      <w:proofErr w:type="spellStart"/>
      <w:r>
        <w:rPr>
          <w:rFonts w:eastAsia="Times New Roman"/>
        </w:rPr>
        <w:t>Biot</w:t>
      </w:r>
      <w:proofErr w:type="spellEnd"/>
      <w:r>
        <w:rPr>
          <w:rFonts w:eastAsia="Times New Roman"/>
        </w:rPr>
        <w:t xml:space="preserve"> </w:t>
      </w:r>
      <w:proofErr w:type="spellStart"/>
      <w:r>
        <w:rPr>
          <w:rFonts w:eastAsia="Times New Roman"/>
        </w:rPr>
        <w:t>poroelasticity</w:t>
      </w:r>
      <w:proofErr w:type="spellEnd"/>
      <w:r>
        <w:rPr>
          <w:rFonts w:eastAsia="Times New Roman"/>
        </w:rPr>
        <w:t xml:space="preserve"> for </w:t>
      </w:r>
      <w:proofErr w:type="spellStart"/>
      <w:r>
        <w:rPr>
          <w:rFonts w:eastAsia="Times New Roman"/>
        </w:rPr>
        <w:t>lacunocanalicular</w:t>
      </w:r>
      <w:proofErr w:type="spellEnd"/>
      <w:r>
        <w:rPr>
          <w:rFonts w:eastAsia="Times New Roman"/>
        </w:rPr>
        <w:t xml:space="preserve"> fluid shear [9]. M3 integrates three-state (open/closed/inactivated) mechanosensitive channel gating [2] over a day's loading to produce a single daily scalar dose. M4 and M5 carry Piezo1–Ca²⁺–YAP/TAZ–sclerostin–</w:t>
      </w:r>
      <w:proofErr w:type="spellStart"/>
      <w:r>
        <w:rPr>
          <w:rFonts w:eastAsia="Times New Roman"/>
        </w:rPr>
        <w:t>Wnt</w:t>
      </w:r>
      <w:proofErr w:type="spellEnd"/>
      <w:r>
        <w:rPr>
          <w:rFonts w:eastAsia="Times New Roman"/>
        </w:rPr>
        <w:t xml:space="preserve"> </w:t>
      </w:r>
      <w:proofErr w:type="spellStart"/>
      <w:r>
        <w:rPr>
          <w:rFonts w:eastAsia="Times New Roman"/>
        </w:rPr>
        <w:t>signalling</w:t>
      </w:r>
      <w:proofErr w:type="spellEnd"/>
      <w:r>
        <w:rPr>
          <w:rFonts w:eastAsia="Times New Roman"/>
        </w:rPr>
        <w:t xml:space="preserve">. M6 is a RANK/RANKL/OPG osteoblast–osteoclast population model [3,4]. M7 evolves periosteal, </w:t>
      </w:r>
      <w:r>
        <w:rPr>
          <w:rFonts w:eastAsia="Times New Roman"/>
        </w:rPr>
        <w:lastRenderedPageBreak/>
        <w:t>endocortical and intracortical surfaces plus mean tissue mineral density. M8 is systemic calcium–PTH–1,25(OH)₂D [8], coupled bidirectionally. The single-compartment state vector has 17 elements; the two-compartment version has 30.</w:t>
      </w:r>
    </w:p>
    <w:p w14:paraId="3DE3FD28" w14:textId="77777777" w:rsidR="003407C0" w:rsidRDefault="00000000">
      <w:pPr>
        <w:spacing w:after="120" w:line="480" w:lineRule="auto"/>
      </w:pPr>
      <w:r>
        <w:rPr>
          <w:rFonts w:eastAsia="Times New Roman"/>
        </w:rPr>
        <w:t xml:space="preserve">One interface decision determines whether the model is a </w:t>
      </w:r>
      <w:proofErr w:type="spellStart"/>
      <w:r>
        <w:rPr>
          <w:rFonts w:eastAsia="Times New Roman"/>
        </w:rPr>
        <w:t>mechanostat</w:t>
      </w:r>
      <w:proofErr w:type="spellEnd"/>
      <w:r>
        <w:rPr>
          <w:rFonts w:eastAsia="Times New Roman"/>
        </w:rPr>
        <w:t xml:space="preserve"> at all. </w:t>
      </w:r>
      <w:r>
        <w:rPr>
          <w:rFonts w:eastAsia="Times New Roman"/>
          <w:b/>
          <w:bCs/>
        </w:rPr>
        <w:t>Loading enters only as force</w:t>
      </w:r>
      <w:r>
        <w:rPr>
          <w:rFonts w:eastAsia="Times New Roman"/>
        </w:rPr>
        <w:t xml:space="preserve"> — peak bending moment and axial force — and strain is computed as an output of current geometry and material state. Prescribing strain, as an earlier version of this model did, silently severs the negative feedback: bone volume fraction becomes a pure integrator, the calcium plateau cannot appear, and there is no set point for bifurcation analysis to find. We verified the closed loop numerically: d ln </w:t>
      </w:r>
      <w:proofErr w:type="spellStart"/>
      <w:r>
        <w:rPr>
          <w:rFonts w:eastAsia="Times New Roman"/>
        </w:rPr>
        <w:t>ε_p</w:t>
      </w:r>
      <w:proofErr w:type="spellEnd"/>
      <w:r>
        <w:rPr>
          <w:rFonts w:eastAsia="Times New Roman"/>
        </w:rPr>
        <w:t xml:space="preserve"> / d ln </w:t>
      </w:r>
      <w:proofErr w:type="spellStart"/>
      <w:r>
        <w:rPr>
          <w:rFonts w:eastAsia="Times New Roman"/>
        </w:rPr>
        <w:t>f_bm</w:t>
      </w:r>
      <w:proofErr w:type="spellEnd"/>
      <w:r>
        <w:rPr>
          <w:rFonts w:eastAsia="Times New Roman"/>
        </w:rPr>
        <w:t xml:space="preserve"> = −3.1300 in cortex and −2.0000 in the vertebral compartment, each matching its own −</w:t>
      </w:r>
      <w:proofErr w:type="spellStart"/>
      <w:r>
        <w:rPr>
          <w:rFonts w:eastAsia="Times New Roman"/>
        </w:rPr>
        <w:t>κ_E</w:t>
      </w:r>
      <w:proofErr w:type="spellEnd"/>
      <w:r>
        <w:rPr>
          <w:rFonts w:eastAsia="Times New Roman"/>
        </w:rPr>
        <w:t xml:space="preserve"> to machine precision (4 × 10⁻¹⁶), so added bone does reduce strain. The two exponents differ because compact and trabecular bone are different materials; we return to this in </w:t>
      </w:r>
      <w:r>
        <w:rPr>
          <w:rFonts w:eastAsia="Times New Roman"/>
          <w:b/>
          <w:bCs/>
        </w:rPr>
        <w:t>S1 Text</w:t>
      </w:r>
      <w:r>
        <w:rPr>
          <w:rFonts w:eastAsia="Times New Roman"/>
        </w:rPr>
        <w:t>.</w:t>
      </w:r>
    </w:p>
    <w:p w14:paraId="6E73CA36" w14:textId="77777777" w:rsidR="003407C0" w:rsidRDefault="00000000">
      <w:pPr>
        <w:spacing w:after="120" w:line="480" w:lineRule="auto"/>
      </w:pPr>
      <w:r>
        <w:rPr>
          <w:rFonts w:eastAsia="Times New Roman"/>
        </w:rPr>
        <w:t xml:space="preserve">Two independent cross-validations support the mechanics. A Crank–Nicolson finite-difference solution of the </w:t>
      </w:r>
      <w:proofErr w:type="spellStart"/>
      <w:r>
        <w:rPr>
          <w:rFonts w:eastAsia="Times New Roman"/>
        </w:rPr>
        <w:t>poroelastic</w:t>
      </w:r>
      <w:proofErr w:type="spellEnd"/>
      <w:r>
        <w:rPr>
          <w:rFonts w:eastAsia="Times New Roman"/>
        </w:rPr>
        <w:t xml:space="preserve"> problem agrees with the closed-form </w:t>
      </w:r>
      <w:proofErr w:type="spellStart"/>
      <w:r>
        <w:rPr>
          <w:rFonts w:eastAsia="Times New Roman"/>
        </w:rPr>
        <w:t>Biot</w:t>
      </w:r>
      <w:proofErr w:type="spellEnd"/>
      <w:r>
        <w:rPr>
          <w:rFonts w:eastAsia="Times New Roman"/>
        </w:rPr>
        <w:t xml:space="preserve"> solution to a maximum relative error of 0.0029 %, and an affine per-cycle channel operator agrees with stepwise integration to 2.2 × 10⁻¹⁵.</w:t>
      </w:r>
    </w:p>
    <w:p w14:paraId="6B215BEC" w14:textId="77777777" w:rsidR="003407C0" w:rsidRDefault="00000000">
      <w:pPr>
        <w:pStyle w:val="2"/>
        <w:spacing w:before="240" w:after="120" w:line="360" w:lineRule="auto"/>
      </w:pPr>
      <w:r>
        <w:rPr>
          <w:rFonts w:eastAsia="Times New Roman"/>
          <w:b/>
          <w:bCs/>
          <w:i/>
          <w:iCs/>
          <w:sz w:val="24"/>
          <w:szCs w:val="24"/>
        </w:rPr>
        <w:t>Calibration, and what was withheld</w:t>
      </w:r>
    </w:p>
    <w:p w14:paraId="79D0528F" w14:textId="77777777" w:rsidR="003407C0" w:rsidRDefault="00000000">
      <w:pPr>
        <w:spacing w:after="120" w:line="480" w:lineRule="auto"/>
      </w:pPr>
      <w:r>
        <w:rPr>
          <w:rFonts w:eastAsia="Times New Roman"/>
        </w:rPr>
        <w:t>Five parameters were fitted (</w:t>
      </w:r>
      <w:proofErr w:type="spellStart"/>
      <w:r>
        <w:rPr>
          <w:rFonts w:ascii="Courier New" w:eastAsia="Courier New" w:hAnsi="Courier New" w:cs="Courier New"/>
        </w:rPr>
        <w:t>k_res</w:t>
      </w:r>
      <w:proofErr w:type="spellEnd"/>
      <w:r>
        <w:rPr>
          <w:rFonts w:eastAsia="Times New Roman"/>
        </w:rPr>
        <w:t xml:space="preserve">, </w:t>
      </w:r>
      <w:r>
        <w:rPr>
          <w:rFonts w:ascii="Courier New" w:eastAsia="Courier New" w:hAnsi="Courier New" w:cs="Courier New"/>
        </w:rPr>
        <w:t>K_S</w:t>
      </w:r>
      <w:r>
        <w:rPr>
          <w:rFonts w:eastAsia="Times New Roman"/>
        </w:rPr>
        <w:t xml:space="preserve">, </w:t>
      </w:r>
      <w:proofErr w:type="spellStart"/>
      <w:r>
        <w:rPr>
          <w:rFonts w:ascii="Courier New" w:eastAsia="Courier New" w:hAnsi="Courier New" w:cs="Courier New"/>
        </w:rPr>
        <w:t>K_P_sost</w:t>
      </w:r>
      <w:proofErr w:type="spellEnd"/>
      <w:r>
        <w:rPr>
          <w:rFonts w:eastAsia="Times New Roman"/>
        </w:rPr>
        <w:t xml:space="preserve">, </w:t>
      </w:r>
      <w:proofErr w:type="spellStart"/>
      <w:r>
        <w:rPr>
          <w:rFonts w:ascii="Courier New" w:eastAsia="Courier New" w:hAnsi="Courier New" w:cs="Courier New"/>
        </w:rPr>
        <w:t>lambda_P</w:t>
      </w:r>
      <w:proofErr w:type="spellEnd"/>
      <w:r>
        <w:rPr>
          <w:rFonts w:eastAsia="Times New Roman"/>
        </w:rPr>
        <w:t xml:space="preserve">, </w:t>
      </w:r>
      <w:proofErr w:type="spellStart"/>
      <w:r>
        <w:rPr>
          <w:rFonts w:ascii="Courier New" w:eastAsia="Courier New" w:hAnsi="Courier New" w:cs="Courier New"/>
        </w:rPr>
        <w:t>delta_ab</w:t>
      </w:r>
      <w:proofErr w:type="spellEnd"/>
      <w:r>
        <w:rPr>
          <w:rFonts w:eastAsia="Times New Roman"/>
        </w:rPr>
        <w:t xml:space="preserve">) against five targets: adult turnover, disuse loss, calcium effect size, calcium plateau slope, and the </w:t>
      </w:r>
      <w:proofErr w:type="spellStart"/>
      <w:r>
        <w:rPr>
          <w:rFonts w:eastAsia="Times New Roman"/>
        </w:rPr>
        <w:t>romosozumab</w:t>
      </w:r>
      <w:proofErr w:type="spellEnd"/>
      <w:r>
        <w:rPr>
          <w:rFonts w:eastAsia="Times New Roman"/>
        </w:rPr>
        <w:t xml:space="preserve"> spine response. Two constants are </w:t>
      </w:r>
      <w:r>
        <w:rPr>
          <w:rFonts w:eastAsia="Times New Roman"/>
          <w:b/>
          <w:bCs/>
        </w:rPr>
        <w:t>derived rather than fitted</w:t>
      </w:r>
      <w:r>
        <w:rPr>
          <w:rFonts w:eastAsia="Times New Roman"/>
        </w:rPr>
        <w:t xml:space="preserve">, because the baseline state already determines them: the formation rate constant </w:t>
      </w:r>
      <w:proofErr w:type="spellStart"/>
      <w:r>
        <w:rPr>
          <w:rFonts w:ascii="Courier New" w:eastAsia="Courier New" w:hAnsi="Courier New" w:cs="Courier New"/>
        </w:rPr>
        <w:t>k_form</w:t>
      </w:r>
      <w:proofErr w:type="spellEnd"/>
      <w:r>
        <w:rPr>
          <w:rFonts w:eastAsia="Times New Roman"/>
        </w:rPr>
        <w:t xml:space="preserve"> from bone-mass balance, since the three-surface geometry admits no stationary geometric fixed point, and the osteocyte burial constant </w:t>
      </w:r>
      <w:proofErr w:type="spellStart"/>
      <w:r>
        <w:rPr>
          <w:rFonts w:ascii="Courier New" w:eastAsia="Courier New" w:hAnsi="Courier New" w:cs="Courier New"/>
        </w:rPr>
        <w:t>k_ot</w:t>
      </w:r>
      <w:proofErr w:type="spellEnd"/>
      <w:r>
        <w:rPr>
          <w:rFonts w:eastAsia="Times New Roman"/>
        </w:rPr>
        <w:t xml:space="preserve"> from bone turnover, since osteocytes leave the tissue when the </w:t>
      </w:r>
      <w:r>
        <w:rPr>
          <w:rFonts w:eastAsia="Times New Roman"/>
        </w:rPr>
        <w:lastRenderedPageBreak/>
        <w:t xml:space="preserve">bone they occupy is resorbed (see Limitations for what happened while </w:t>
      </w:r>
      <w:proofErr w:type="spellStart"/>
      <w:r>
        <w:rPr>
          <w:rFonts w:ascii="Courier New" w:eastAsia="Courier New" w:hAnsi="Courier New" w:cs="Courier New"/>
        </w:rPr>
        <w:t>k_ot</w:t>
      </w:r>
      <w:proofErr w:type="spellEnd"/>
      <w:r>
        <w:rPr>
          <w:rFonts w:eastAsia="Times New Roman"/>
        </w:rPr>
        <w:t xml:space="preserve"> was free). Both are re-derived at every parameter set. All other parameters come from the literature (</w:t>
      </w:r>
      <w:r>
        <w:rPr>
          <w:rFonts w:eastAsia="Times New Roman"/>
          <w:b/>
          <w:bCs/>
        </w:rPr>
        <w:t>S1 Table</w:t>
      </w:r>
      <w:r>
        <w:rPr>
          <w:rFonts w:eastAsia="Times New Roman"/>
        </w:rPr>
        <w:t>).</w:t>
      </w:r>
    </w:p>
    <w:p w14:paraId="47FC3275" w14:textId="77777777" w:rsidR="003407C0" w:rsidRDefault="00000000">
      <w:pPr>
        <w:spacing w:after="120" w:line="480" w:lineRule="auto"/>
      </w:pPr>
      <w:r>
        <w:rPr>
          <w:rFonts w:eastAsia="Times New Roman"/>
        </w:rPr>
        <w:t xml:space="preserve">A sixth parameter, the compensatory sclerostin rebound plateau, was on the free list until we measured its leverage. It moves the resorption-marker overshoot it was supposed to identify by 0.04 across its entire admissible range, while moving the </w:t>
      </w:r>
      <w:proofErr w:type="spellStart"/>
      <w:r>
        <w:rPr>
          <w:rFonts w:eastAsia="Times New Roman"/>
        </w:rPr>
        <w:t>romosozumab</w:t>
      </w:r>
      <w:proofErr w:type="spellEnd"/>
      <w:r>
        <w:rPr>
          <w:rFonts w:eastAsia="Times New Roman"/>
        </w:rPr>
        <w:t xml:space="preserve"> response from 63.6 % to 0.47 % — so it is a second parameter acting on the target the antibody clearance constant already carries, with nothing in the target set to separate them. We fixed it rather than fit it. This is the kind of degree of freedom that buys agreement without content, and the check that caught it is one we recommend generally: before adding a parameter to a free list because some target is expected to identify it, measure whether that target can actually move it.</w:t>
      </w:r>
    </w:p>
    <w:p w14:paraId="31288BBF" w14:textId="77777777" w:rsidR="003407C0" w:rsidRDefault="00000000">
      <w:pPr>
        <w:spacing w:after="120" w:line="480" w:lineRule="auto"/>
      </w:pPr>
      <w:r>
        <w:rPr>
          <w:rFonts w:eastAsia="Times New Roman"/>
        </w:rPr>
        <w:t xml:space="preserve">Eight observations were </w:t>
      </w:r>
      <w:r>
        <w:rPr>
          <w:rFonts w:eastAsia="Times New Roman"/>
          <w:b/>
          <w:bCs/>
        </w:rPr>
        <w:t>held out</w:t>
      </w:r>
      <w:r>
        <w:rPr>
          <w:rFonts w:eastAsia="Times New Roman"/>
        </w:rPr>
        <w:t xml:space="preserve"> and never entered the objective: the six </w:t>
      </w:r>
      <w:proofErr w:type="spellStart"/>
      <w:r>
        <w:rPr>
          <w:rFonts w:eastAsia="Times New Roman"/>
        </w:rPr>
        <w:t>pQCT</w:t>
      </w:r>
      <w:proofErr w:type="spellEnd"/>
      <w:r>
        <w:rPr>
          <w:rFonts w:eastAsia="Times New Roman"/>
        </w:rPr>
        <w:t xml:space="preserve"> indices of the tennis-player humerus, the post-withdrawal bone density loss, and the emergent </w:t>
      </w:r>
      <w:proofErr w:type="spellStart"/>
      <w:r>
        <w:rPr>
          <w:rFonts w:eastAsia="Times New Roman"/>
        </w:rPr>
        <w:t>mechanostat</w:t>
      </w:r>
      <w:proofErr w:type="spellEnd"/>
      <w:r>
        <w:rPr>
          <w:rFonts w:eastAsia="Times New Roman"/>
        </w:rPr>
        <w:t xml:space="preserve"> set point. Their status as blind tests </w:t>
      </w:r>
      <w:proofErr w:type="gramStart"/>
      <w:r>
        <w:rPr>
          <w:rFonts w:eastAsia="Times New Roman"/>
        </w:rPr>
        <w:t>is</w:t>
      </w:r>
      <w:proofErr w:type="gramEnd"/>
      <w:r>
        <w:rPr>
          <w:rFonts w:eastAsia="Times New Roman"/>
        </w:rPr>
        <w:t xml:space="preserve"> what the rest of this section rests on.</w:t>
      </w:r>
    </w:p>
    <w:p w14:paraId="7B85DEAC" w14:textId="77777777" w:rsidR="003407C0" w:rsidRDefault="00000000">
      <w:pPr>
        <w:spacing w:after="120" w:line="480" w:lineRule="auto"/>
      </w:pPr>
      <w:r>
        <w:rPr>
          <w:rFonts w:eastAsia="Times New Roman"/>
        </w:rPr>
        <w:t>Identifiability analysis (</w:t>
      </w:r>
      <w:r>
        <w:rPr>
          <w:rFonts w:eastAsia="Times New Roman"/>
          <w:b/>
          <w:bCs/>
        </w:rPr>
        <w:t>S1 Fig</w:t>
      </w:r>
      <w:r>
        <w:rPr>
          <w:rFonts w:eastAsia="Times New Roman"/>
        </w:rPr>
        <w:t xml:space="preserve">) shows </w:t>
      </w:r>
      <w:proofErr w:type="spellStart"/>
      <w:r>
        <w:rPr>
          <w:rFonts w:ascii="Courier New" w:eastAsia="Courier New" w:hAnsi="Courier New" w:cs="Courier New"/>
        </w:rPr>
        <w:t>k_res</w:t>
      </w:r>
      <w:proofErr w:type="spellEnd"/>
      <w:r>
        <w:rPr>
          <w:rFonts w:eastAsia="Times New Roman"/>
        </w:rPr>
        <w:t xml:space="preserve"> and </w:t>
      </w:r>
      <w:r>
        <w:rPr>
          <w:rFonts w:ascii="Courier New" w:eastAsia="Courier New" w:hAnsi="Courier New" w:cs="Courier New"/>
        </w:rPr>
        <w:t>K_S</w:t>
      </w:r>
      <w:r>
        <w:rPr>
          <w:rFonts w:eastAsia="Times New Roman"/>
        </w:rPr>
        <w:t xml:space="preserve"> are individually identifiable, each pinned by one target with a clear single minimum. The antibody clearance constant </w:t>
      </w:r>
      <w:proofErr w:type="spellStart"/>
      <w:r>
        <w:rPr>
          <w:rFonts w:ascii="Courier New" w:eastAsia="Courier New" w:hAnsi="Courier New" w:cs="Courier New"/>
        </w:rPr>
        <w:t>delta_ab</w:t>
      </w:r>
      <w:proofErr w:type="spellEnd"/>
      <w:r>
        <w:rPr>
          <w:rFonts w:eastAsia="Times New Roman"/>
        </w:rPr>
        <w:t xml:space="preserve"> is </w:t>
      </w:r>
      <w:r>
        <w:rPr>
          <w:rFonts w:eastAsia="Times New Roman"/>
          <w:b/>
          <w:bCs/>
        </w:rPr>
        <w:t>not</w:t>
      </w:r>
      <w:r>
        <w:rPr>
          <w:rFonts w:eastAsia="Times New Roman"/>
        </w:rPr>
        <w:t xml:space="preserve">: its conditional χ² falls monotonically to its upper bound, because the objective's midpoint metric pulls the </w:t>
      </w:r>
      <w:proofErr w:type="spellStart"/>
      <w:r>
        <w:rPr>
          <w:rFonts w:eastAsia="Times New Roman"/>
        </w:rPr>
        <w:t>romosozumab</w:t>
      </w:r>
      <w:proofErr w:type="spellEnd"/>
      <w:r>
        <w:rPr>
          <w:rFonts w:eastAsia="Times New Roman"/>
        </w:rPr>
        <w:t xml:space="preserve"> response toward the </w:t>
      </w:r>
      <w:proofErr w:type="spellStart"/>
      <w:r>
        <w:rPr>
          <w:rFonts w:eastAsia="Times New Roman"/>
        </w:rPr>
        <w:t>centre</w:t>
      </w:r>
      <w:proofErr w:type="spellEnd"/>
      <w:r>
        <w:rPr>
          <w:rFonts w:eastAsia="Times New Roman"/>
        </w:rPr>
        <w:t xml:space="preserve"> of its band and the parameter cannot reach that far. The value we report satisfies the band; it is not a point estimate, and we do not treat it as one. The two PTH-pathway parameters, </w:t>
      </w:r>
      <w:proofErr w:type="spellStart"/>
      <w:r>
        <w:rPr>
          <w:rFonts w:ascii="Courier New" w:eastAsia="Courier New" w:hAnsi="Courier New" w:cs="Courier New"/>
        </w:rPr>
        <w:t>K_P_sost</w:t>
      </w:r>
      <w:proofErr w:type="spellEnd"/>
      <w:r>
        <w:rPr>
          <w:rFonts w:eastAsia="Times New Roman"/>
        </w:rPr>
        <w:t xml:space="preserve"> and </w:t>
      </w:r>
      <w:proofErr w:type="spellStart"/>
      <w:r>
        <w:rPr>
          <w:rFonts w:ascii="Courier New" w:eastAsia="Courier New" w:hAnsi="Courier New" w:cs="Courier New"/>
        </w:rPr>
        <w:t>lambda_P</w:t>
      </w:r>
      <w:proofErr w:type="spellEnd"/>
      <w:r>
        <w:rPr>
          <w:rFonts w:eastAsia="Times New Roman"/>
        </w:rPr>
        <w:t xml:space="preserve">, are </w:t>
      </w:r>
      <w:r>
        <w:rPr>
          <w:rFonts w:eastAsia="Times New Roman"/>
          <w:b/>
          <w:bCs/>
        </w:rPr>
        <w:t>practically non-identifiable</w:t>
      </w:r>
      <w:r>
        <w:rPr>
          <w:rFonts w:eastAsia="Times New Roman"/>
        </w:rPr>
        <w:t xml:space="preserve">: 76.9 % of the scanned grid lies inside the confidence region, and the ridge correlation is only −0.26, so they are not trading off along a ridge — both are simply weakly constrained. This is a weaker statement than we could make before the systemic calcium module was rebuilt, and for a straightforward reason: with serum calcium now properly defended, dietary </w:t>
      </w:r>
      <w:r>
        <w:rPr>
          <w:rFonts w:eastAsia="Times New Roman"/>
        </w:rPr>
        <w:lastRenderedPageBreak/>
        <w:t xml:space="preserve">calcium moves parathyroid hormone about half as far, so the targets that constrain these two parameters carry correspondingly less information. We report the joint region rather than marginal intervals, and we do not interpret either parameter's point value. </w:t>
      </w:r>
      <w:proofErr w:type="spellStart"/>
      <w:r>
        <w:rPr>
          <w:rFonts w:ascii="Courier New" w:eastAsia="Courier New" w:hAnsi="Courier New" w:cs="Courier New"/>
        </w:rPr>
        <w:t>K_P_sost</w:t>
      </w:r>
      <w:proofErr w:type="spellEnd"/>
      <w:r>
        <w:rPr>
          <w:rFonts w:eastAsia="Times New Roman"/>
        </w:rPr>
        <w:t xml:space="preserve"> no longer sits at its upper bound, as it did before the osteocyte turnover constant was corrected, but it remains high, and the interpretation is unchanged: large values mean PTH inhibition of </w:t>
      </w:r>
      <w:r>
        <w:rPr>
          <w:rFonts w:eastAsia="Times New Roman"/>
          <w:i/>
          <w:iCs/>
        </w:rPr>
        <w:t>SOST</w:t>
      </w:r>
      <w:r>
        <w:rPr>
          <w:rFonts w:eastAsia="Times New Roman"/>
        </w:rPr>
        <w:t xml:space="preserve"> is weak and the fit is asking for that pathway to be nearly absent, as Lemaire and Pivonka assume by omitting it.</w:t>
      </w:r>
    </w:p>
    <w:p w14:paraId="59BC66D7" w14:textId="77777777" w:rsidR="003407C0" w:rsidRDefault="00000000">
      <w:pPr>
        <w:pStyle w:val="2"/>
        <w:spacing w:before="240" w:after="120" w:line="360" w:lineRule="auto"/>
      </w:pPr>
      <w:r>
        <w:rPr>
          <w:rFonts w:eastAsia="Times New Roman"/>
          <w:b/>
          <w:bCs/>
          <w:i/>
          <w:iCs/>
          <w:sz w:val="24"/>
          <w:szCs w:val="24"/>
        </w:rPr>
        <w:t xml:space="preserve">The </w:t>
      </w:r>
      <w:proofErr w:type="spellStart"/>
      <w:r>
        <w:rPr>
          <w:rFonts w:eastAsia="Times New Roman"/>
          <w:b/>
          <w:bCs/>
          <w:i/>
          <w:iCs/>
          <w:sz w:val="24"/>
          <w:szCs w:val="24"/>
        </w:rPr>
        <w:t>mechanostat</w:t>
      </w:r>
      <w:proofErr w:type="spellEnd"/>
      <w:r>
        <w:rPr>
          <w:rFonts w:eastAsia="Times New Roman"/>
          <w:b/>
          <w:bCs/>
          <w:i/>
          <w:iCs/>
          <w:sz w:val="24"/>
          <w:szCs w:val="24"/>
        </w:rPr>
        <w:t xml:space="preserve"> set point is an output, and it lands where Frost put it</w:t>
      </w:r>
    </w:p>
    <w:p w14:paraId="2BC237C6" w14:textId="77777777" w:rsidR="003407C0" w:rsidRDefault="00000000">
      <w:pPr>
        <w:spacing w:after="120" w:line="480" w:lineRule="auto"/>
      </w:pPr>
      <w:r>
        <w:rPr>
          <w:rFonts w:eastAsia="Times New Roman"/>
        </w:rPr>
        <w:t>At baseline the model sits at a stable fixed point (max Re λ = −2.4 × 10⁻⁴), with 24-month areal bone mineral density drift of −0.015 % and turnover of 7.33 %/yr (</w:t>
      </w:r>
      <w:r>
        <w:rPr>
          <w:rFonts w:eastAsia="Times New Roman"/>
          <w:b/>
          <w:bCs/>
        </w:rPr>
        <w:t>Fig 1</w:t>
      </w:r>
      <w:r>
        <w:rPr>
          <w:rFonts w:eastAsia="Times New Roman"/>
        </w:rPr>
        <w:t>). The bar was 5–10 %/yr, the upper part of the 3–10 %/yr range conventionally quoted for cortical bone [25]; our value sits in the upper half of it, so this is a pass against a target we set at the fast end of what is quoted.</w:t>
      </w:r>
    </w:p>
    <w:p w14:paraId="54E26F76" w14:textId="77777777" w:rsidR="003407C0" w:rsidRDefault="00000000">
      <w:pPr>
        <w:spacing w:after="120" w:line="480" w:lineRule="auto"/>
      </w:pPr>
      <w:r>
        <w:rPr>
          <w:rFonts w:eastAsia="Times New Roman"/>
          <w:b/>
          <w:bCs/>
        </w:rPr>
        <w:t xml:space="preserve">Fig 1. Baseline steady state and the emergent </w:t>
      </w:r>
      <w:proofErr w:type="spellStart"/>
      <w:r>
        <w:rPr>
          <w:rFonts w:eastAsia="Times New Roman"/>
          <w:b/>
          <w:bCs/>
        </w:rPr>
        <w:t>mechanostat</w:t>
      </w:r>
      <w:proofErr w:type="spellEnd"/>
      <w:r>
        <w:rPr>
          <w:rFonts w:eastAsia="Times New Roman"/>
          <w:b/>
          <w:bCs/>
        </w:rPr>
        <w:t xml:space="preserve"> set point.</w:t>
      </w:r>
    </w:p>
    <w:p w14:paraId="0DDAD51E" w14:textId="77777777" w:rsidR="003407C0" w:rsidRDefault="00000000">
      <w:pPr>
        <w:spacing w:after="120" w:line="480" w:lineRule="auto"/>
      </w:pPr>
      <w:r>
        <w:rPr>
          <w:rFonts w:eastAsia="Times New Roman"/>
        </w:rPr>
        <w:t xml:space="preserve">(A) Areal bone mineral density over 24 months at baseline; drift −0.015 %. (B) Bone volume fraction over the same period. (C) The peak strain the closed loop settles at, 786.8 </w:t>
      </w:r>
      <w:proofErr w:type="spellStart"/>
      <w:r>
        <w:rPr>
          <w:rFonts w:eastAsia="Times New Roman"/>
        </w:rPr>
        <w:t>με</w:t>
      </w:r>
      <w:proofErr w:type="spellEnd"/>
      <w:r>
        <w:rPr>
          <w:rFonts w:eastAsia="Times New Roman"/>
        </w:rPr>
        <w:t xml:space="preserve">, against the 300–1500 </w:t>
      </w:r>
      <w:proofErr w:type="spellStart"/>
      <w:r>
        <w:rPr>
          <w:rFonts w:eastAsia="Times New Roman"/>
        </w:rPr>
        <w:t>με</w:t>
      </w:r>
      <w:proofErr w:type="spellEnd"/>
      <w:r>
        <w:rPr>
          <w:rFonts w:eastAsia="Times New Roman"/>
        </w:rPr>
        <w:t xml:space="preserve"> band Frost inferred from observation. This value is computed, not fitted, and was held out of calibration.</w:t>
      </w:r>
    </w:p>
    <w:p w14:paraId="1F2E8BCF" w14:textId="77777777" w:rsidR="003407C0" w:rsidRDefault="00000000">
      <w:pPr>
        <w:spacing w:after="120" w:line="480" w:lineRule="auto"/>
      </w:pPr>
      <w:r>
        <w:rPr>
          <w:rFonts w:eastAsia="Times New Roman"/>
        </w:rPr>
        <w:t xml:space="preserve">The peak strain the closed loop settles at is </w:t>
      </w:r>
      <w:r>
        <w:rPr>
          <w:rFonts w:eastAsia="Times New Roman"/>
          <w:b/>
          <w:bCs/>
        </w:rPr>
        <w:t xml:space="preserve">786.8 </w:t>
      </w:r>
      <w:proofErr w:type="spellStart"/>
      <w:r>
        <w:rPr>
          <w:rFonts w:eastAsia="Times New Roman"/>
          <w:b/>
          <w:bCs/>
        </w:rPr>
        <w:t>με</w:t>
      </w:r>
      <w:proofErr w:type="spellEnd"/>
      <w:r>
        <w:rPr>
          <w:rFonts w:eastAsia="Times New Roman"/>
        </w:rPr>
        <w:t xml:space="preserve">. Frost [1] inferred two separate thresholds from observation: strains at or above 1500–3000 </w:t>
      </w:r>
      <w:proofErr w:type="spellStart"/>
      <w:r>
        <w:rPr>
          <w:rFonts w:eastAsia="Times New Roman"/>
        </w:rPr>
        <w:t>με</w:t>
      </w:r>
      <w:proofErr w:type="spellEnd"/>
      <w:r>
        <w:rPr>
          <w:rFonts w:eastAsia="Times New Roman"/>
        </w:rPr>
        <w:t xml:space="preserve"> drive modelling that adds cortical bone, and strains below 100–300 </w:t>
      </w:r>
      <w:proofErr w:type="spellStart"/>
      <w:r>
        <w:rPr>
          <w:rFonts w:eastAsia="Times New Roman"/>
        </w:rPr>
        <w:t>με</w:t>
      </w:r>
      <w:proofErr w:type="spellEnd"/>
      <w:r>
        <w:rPr>
          <w:rFonts w:eastAsia="Times New Roman"/>
        </w:rPr>
        <w:t xml:space="preserve"> release </w:t>
      </w:r>
      <w:proofErr w:type="spellStart"/>
      <w:r>
        <w:rPr>
          <w:rFonts w:eastAsia="Times New Roman"/>
        </w:rPr>
        <w:t>remodelling</w:t>
      </w:r>
      <w:proofErr w:type="spellEnd"/>
      <w:r>
        <w:rPr>
          <w:rFonts w:eastAsia="Times New Roman"/>
        </w:rPr>
        <w:t xml:space="preserve"> that removes it. The emergent value sits inside the lazy zone those thresholds bracket — above the </w:t>
      </w:r>
      <w:proofErr w:type="spellStart"/>
      <w:r>
        <w:rPr>
          <w:rFonts w:eastAsia="Times New Roman"/>
        </w:rPr>
        <w:t>remodelling</w:t>
      </w:r>
      <w:proofErr w:type="spellEnd"/>
      <w:r>
        <w:rPr>
          <w:rFonts w:eastAsia="Times New Roman"/>
        </w:rPr>
        <w:t xml:space="preserve"> threshold, below the modelling </w:t>
      </w:r>
      <w:r>
        <w:rPr>
          <w:rFonts w:eastAsia="Times New Roman"/>
        </w:rPr>
        <w:lastRenderedPageBreak/>
        <w:t xml:space="preserve">threshold — and it is computed here from channel gating kinetics and </w:t>
      </w:r>
      <w:proofErr w:type="spellStart"/>
      <w:r>
        <w:rPr>
          <w:rFonts w:eastAsia="Times New Roman"/>
        </w:rPr>
        <w:t>signalling</w:t>
      </w:r>
      <w:proofErr w:type="spellEnd"/>
      <w:r>
        <w:rPr>
          <w:rFonts w:eastAsia="Times New Roman"/>
        </w:rPr>
        <w:t xml:space="preserve"> Hill coefficients, without ever being fitted. This is the model's most direct evidence that a phenomenological law can be reduced to molecular mechanism, and it costs no free parameter.</w:t>
      </w:r>
    </w:p>
    <w:p w14:paraId="57B6489C" w14:textId="77777777" w:rsidR="003407C0" w:rsidRDefault="00000000">
      <w:pPr>
        <w:spacing w:after="120" w:line="480" w:lineRule="auto"/>
      </w:pPr>
      <w:r>
        <w:rPr>
          <w:rFonts w:eastAsia="Times New Roman"/>
        </w:rPr>
        <w:t xml:space="preserve">The same run also shows why cortical bone gains size rather than density: at </w:t>
      </w:r>
      <w:proofErr w:type="spellStart"/>
      <w:r>
        <w:rPr>
          <w:rFonts w:eastAsia="Times New Roman"/>
        </w:rPr>
        <w:t>f_bm</w:t>
      </w:r>
      <w:proofErr w:type="spellEnd"/>
      <w:r>
        <w:rPr>
          <w:rFonts w:eastAsia="Times New Roman"/>
        </w:rPr>
        <w:t xml:space="preserve"> ≈ 0.95 the cortex is within 5 % of its densification ceiling, and d ln ε / d ln </w:t>
      </w:r>
      <w:proofErr w:type="spellStart"/>
      <w:r>
        <w:rPr>
          <w:rFonts w:eastAsia="Times New Roman"/>
        </w:rPr>
        <w:t>r_p</w:t>
      </w:r>
      <w:proofErr w:type="spellEnd"/>
      <w:r>
        <w:rPr>
          <w:rFonts w:eastAsia="Times New Roman"/>
        </w:rPr>
        <w:t xml:space="preserve"> = −4.27 is stronger than d ln ε / d ln </w:t>
      </w:r>
      <w:proofErr w:type="spellStart"/>
      <w:r>
        <w:rPr>
          <w:rFonts w:eastAsia="Times New Roman"/>
        </w:rPr>
        <w:t>f_bm</w:t>
      </w:r>
      <w:proofErr w:type="spellEnd"/>
      <w:r>
        <w:rPr>
          <w:rFonts w:eastAsia="Times New Roman"/>
        </w:rPr>
        <w:t xml:space="preserve"> = −3.13. Growing outward is simply the cheaper way to reduce strain — an emergent consequence of parameter values, not an imposed rule.</w:t>
      </w:r>
    </w:p>
    <w:p w14:paraId="070C5C4C" w14:textId="77777777" w:rsidR="003407C0" w:rsidRDefault="00000000">
      <w:pPr>
        <w:pStyle w:val="2"/>
        <w:spacing w:before="240" w:after="120" w:line="360" w:lineRule="auto"/>
      </w:pPr>
      <w:r>
        <w:rPr>
          <w:rFonts w:eastAsia="Times New Roman"/>
          <w:b/>
          <w:bCs/>
          <w:i/>
          <w:iCs/>
          <w:sz w:val="24"/>
          <w:szCs w:val="24"/>
        </w:rPr>
        <w:t>Loading waveform: two targets recovered, one sign disagreement</w:t>
      </w:r>
    </w:p>
    <w:p w14:paraId="003D7800" w14:textId="77777777" w:rsidR="003407C0" w:rsidRDefault="00000000">
      <w:pPr>
        <w:spacing w:after="120" w:line="480" w:lineRule="auto"/>
      </w:pPr>
      <w:r>
        <w:rPr>
          <w:rFonts w:eastAsia="Times New Roman"/>
          <w:b/>
          <w:bCs/>
        </w:rPr>
        <w:t>Fig 2</w:t>
      </w:r>
      <w:r>
        <w:rPr>
          <w:rFonts w:eastAsia="Times New Roman"/>
        </w:rPr>
        <w:t xml:space="preserve"> shows three orthogonal slices through loading-waveform space.</w:t>
      </w:r>
    </w:p>
    <w:p w14:paraId="513147CE" w14:textId="77777777" w:rsidR="003407C0" w:rsidRDefault="00000000">
      <w:pPr>
        <w:spacing w:after="120" w:line="480" w:lineRule="auto"/>
      </w:pPr>
      <w:r>
        <w:rPr>
          <w:rFonts w:eastAsia="Times New Roman"/>
          <w:b/>
          <w:bCs/>
        </w:rPr>
        <w:t>Fig 2. Mechanical dose–response.</w:t>
      </w:r>
    </w:p>
    <w:p w14:paraId="6A9C7F54" w14:textId="77777777" w:rsidR="003407C0" w:rsidRDefault="00000000">
      <w:pPr>
        <w:spacing w:after="120" w:line="480" w:lineRule="auto"/>
      </w:pPr>
      <w:r>
        <w:rPr>
          <w:rFonts w:eastAsia="Times New Roman"/>
        </w:rPr>
        <w:t xml:space="preserve">(A) Cycle number against 12-month areal density change; marginal return falls 33-fold from 18 to 1200 cycles. The saturation is a downstream property — at the channel level the dose is linear in cycle number. (B) Frequency at both levels: fluid shear (grey, left axis) rises with ln f as </w:t>
      </w:r>
      <w:proofErr w:type="spellStart"/>
      <w:r>
        <w:rPr>
          <w:rFonts w:eastAsia="Times New Roman"/>
        </w:rPr>
        <w:t>poroelasticity</w:t>
      </w:r>
      <w:proofErr w:type="spellEnd"/>
      <w:r>
        <w:rPr>
          <w:rFonts w:eastAsia="Times New Roman"/>
        </w:rPr>
        <w:t xml:space="preserve"> requires, while the bone-level response (teal, right axis) falls. The logarithmic form survives to bone; the sign does not. (C) Rest insertion at three amplitudes. The gain falls with amplitude, matching experiment, and reverses the direction seen at the channel level.</w:t>
      </w:r>
    </w:p>
    <w:p w14:paraId="10CDAB69" w14:textId="77777777" w:rsidR="003407C0" w:rsidRDefault="00000000">
      <w:pPr>
        <w:spacing w:after="120" w:line="480" w:lineRule="auto"/>
      </w:pPr>
      <w:r>
        <w:rPr>
          <w:rFonts w:eastAsia="Times New Roman"/>
          <w:i/>
          <w:iCs/>
        </w:rPr>
        <w:t>Cycle number.</w:t>
      </w:r>
      <w:r>
        <w:rPr>
          <w:rFonts w:eastAsia="Times New Roman"/>
        </w:rPr>
        <w:t xml:space="preserve"> Increasing cycles from 18 to 1200 raises the 12-month response from +0.503 % to +2.286 %, with marginal return falling 33-fold and monotonically. This reproduces the saturation of the osteogenic response beyond a few dozen cycles [21]. Notably, the saturation is </w:t>
      </w:r>
      <w:r>
        <w:rPr>
          <w:rFonts w:eastAsia="Times New Roman"/>
          <w:b/>
          <w:bCs/>
        </w:rPr>
        <w:t>not</w:t>
      </w:r>
      <w:r>
        <w:rPr>
          <w:rFonts w:eastAsia="Times New Roman"/>
        </w:rPr>
        <w:t xml:space="preserve"> in the channel: at the channel level the dose is asymptotically linear in cycle number across four orders of magnitude of gating rate constants, because periodic driving puts the three-state system on a limit cycle where every subsequent cycle contributes identically. The saturation is a downstream </w:t>
      </w:r>
      <w:r>
        <w:rPr>
          <w:rFonts w:eastAsia="Times New Roman"/>
        </w:rPr>
        <w:lastRenderedPageBreak/>
        <w:t>property of the sclerostin–</w:t>
      </w:r>
      <w:proofErr w:type="spellStart"/>
      <w:r>
        <w:rPr>
          <w:rFonts w:eastAsia="Times New Roman"/>
        </w:rPr>
        <w:t>Wnt</w:t>
      </w:r>
      <w:proofErr w:type="spellEnd"/>
      <w:r>
        <w:rPr>
          <w:rFonts w:eastAsia="Times New Roman"/>
        </w:rPr>
        <w:t xml:space="preserve">–cell </w:t>
      </w:r>
      <w:proofErr w:type="gramStart"/>
      <w:r>
        <w:rPr>
          <w:rFonts w:eastAsia="Times New Roman"/>
        </w:rPr>
        <w:t>cascade, and</w:t>
      </w:r>
      <w:proofErr w:type="gramEnd"/>
      <w:r>
        <w:rPr>
          <w:rFonts w:eastAsia="Times New Roman"/>
        </w:rPr>
        <w:t xml:space="preserve"> can only be seen at the bone level.</w:t>
      </w:r>
    </w:p>
    <w:p w14:paraId="3D359238" w14:textId="77777777" w:rsidR="003407C0" w:rsidRDefault="00000000">
      <w:pPr>
        <w:spacing w:after="120" w:line="480" w:lineRule="auto"/>
      </w:pPr>
      <w:r>
        <w:rPr>
          <w:rFonts w:eastAsia="Times New Roman"/>
          <w:i/>
          <w:iCs/>
        </w:rPr>
        <w:t>Rest insertion.</w:t>
      </w:r>
      <w:r>
        <w:rPr>
          <w:rFonts w:eastAsia="Times New Roman"/>
        </w:rPr>
        <w:t xml:space="preserve"> The target here is conditional: a substantial gain at low amplitude that fades as amplitude rises. Inserting 10 s between cycles amplifies the response 4.60-fold at low amplitude, 1.66-fold at moderate and 1.45-fold at high. The </w:t>
      </w:r>
      <w:r>
        <w:rPr>
          <w:rFonts w:eastAsia="Times New Roman"/>
          <w:b/>
          <w:bCs/>
        </w:rPr>
        <w:t>direction</w:t>
      </w:r>
      <w:r>
        <w:rPr>
          <w:rFonts w:eastAsia="Times New Roman"/>
        </w:rPr>
        <w:t xml:space="preserve"> matches Srinivasan and colleagues [10</w:t>
      </w:r>
      <w:proofErr w:type="gramStart"/>
      <w:r>
        <w:rPr>
          <w:rFonts w:eastAsia="Times New Roman"/>
        </w:rPr>
        <w:t>]</w:t>
      </w:r>
      <w:proofErr w:type="gramEnd"/>
      <w:r>
        <w:rPr>
          <w:rFonts w:eastAsia="Times New Roman"/>
        </w:rPr>
        <w:t xml:space="preserve"> and the </w:t>
      </w:r>
      <w:r>
        <w:rPr>
          <w:rFonts w:eastAsia="Times New Roman"/>
          <w:b/>
          <w:bCs/>
        </w:rPr>
        <w:t>magnitude is now short of it</w:t>
      </w:r>
      <w:r>
        <w:rPr>
          <w:rFonts w:eastAsia="Times New Roman"/>
        </w:rPr>
        <w:t xml:space="preserve">: we obtain 4.60-fold against their measured 5.8-fold — labelled periosteal surface of 21.9 % with rest insertion against 3.8 % without, at a matched 820–830 </w:t>
      </w:r>
      <w:proofErr w:type="spellStart"/>
      <w:r>
        <w:rPr>
          <w:rFonts w:eastAsia="Times New Roman"/>
        </w:rPr>
        <w:t>με</w:t>
      </w:r>
      <w:proofErr w:type="spellEnd"/>
      <w:r>
        <w:rPr>
          <w:rFonts w:eastAsia="Times New Roman"/>
        </w:rPr>
        <w:t xml:space="preserve"> — a shortfall of 21 %. We report the history because it is a caution against reading close agreement as validation: this quantity read 13.99-fold before the elastic-law exponents were taken from Currey [16], 6.02-fold after that, and 4.60-fold once the osteocyte turnover constant was corrected (see Limitations). Three successive corrections, none of them aimed at this target, moved it past the measured value and out the other side. The conditional </w:t>
      </w:r>
      <w:r>
        <w:rPr>
          <w:rFonts w:eastAsia="Times New Roman"/>
          <w:i/>
          <w:iCs/>
        </w:rPr>
        <w:t>shape</w:t>
      </w:r>
      <w:r>
        <w:rPr>
          <w:rFonts w:eastAsia="Times New Roman"/>
        </w:rPr>
        <w:t xml:space="preserve"> the target is </w:t>
      </w:r>
      <w:proofErr w:type="gramStart"/>
      <w:r>
        <w:rPr>
          <w:rFonts w:eastAsia="Times New Roman"/>
        </w:rPr>
        <w:t>really about</w:t>
      </w:r>
      <w:proofErr w:type="gramEnd"/>
      <w:r>
        <w:rPr>
          <w:rFonts w:eastAsia="Times New Roman"/>
        </w:rPr>
        <w:t xml:space="preserve"> — a large gain at low amplitude that fades as amplitude rises — has survived all three. We flag that this agreement is recent and was not engineered: until the elastic-law exponents were taken from Currey [16] the same quantity was 13.99-fold, and the band we had been scoring against, 2–5-fold, was one we invented rather than read off the source. This too reverses between levels: at the channel level our gain rose with amplitude, contradicting experiment. Downstream saturation flips it to the observed direction, which is a non-trivial success for the cascade structure.</w:t>
      </w:r>
    </w:p>
    <w:p w14:paraId="4B37353A" w14:textId="77777777" w:rsidR="003407C0" w:rsidRDefault="00000000">
      <w:pPr>
        <w:spacing w:after="120" w:line="480" w:lineRule="auto"/>
      </w:pPr>
      <w:r>
        <w:rPr>
          <w:rFonts w:eastAsia="Times New Roman"/>
          <w:i/>
          <w:iCs/>
        </w:rPr>
        <w:t>Frequency.</w:t>
      </w:r>
      <w:r>
        <w:rPr>
          <w:rFonts w:eastAsia="Times New Roman"/>
        </w:rPr>
        <w:t xml:space="preserve"> Here the model disagrees with experiment, and we state it plainly. Fluid shear rises with frequency exactly as </w:t>
      </w:r>
      <w:proofErr w:type="spellStart"/>
      <w:r>
        <w:rPr>
          <w:rFonts w:eastAsia="Times New Roman"/>
        </w:rPr>
        <w:t>poroelasticity</w:t>
      </w:r>
      <w:proofErr w:type="spellEnd"/>
      <w:r>
        <w:rPr>
          <w:rFonts w:eastAsia="Times New Roman"/>
        </w:rPr>
        <w:t xml:space="preserve"> requires (τ 4.62 → 20.02 Pa over 1–10 Hz; r against ln f = +0.999, with no fitted parameter). The logarithmic </w:t>
      </w:r>
      <w:r>
        <w:rPr>
          <w:rFonts w:eastAsia="Times New Roman"/>
          <w:b/>
          <w:bCs/>
        </w:rPr>
        <w:t>form</w:t>
      </w:r>
      <w:r>
        <w:rPr>
          <w:rFonts w:eastAsia="Times New Roman"/>
        </w:rPr>
        <w:t xml:space="preserve"> survives to the bone level, but the </w:t>
      </w:r>
      <w:r>
        <w:rPr>
          <w:rFonts w:eastAsia="Times New Roman"/>
          <w:b/>
          <w:bCs/>
        </w:rPr>
        <w:t>sign does not</w:t>
      </w:r>
      <w:r>
        <w:rPr>
          <w:rFonts w:eastAsia="Times New Roman"/>
        </w:rPr>
        <w:t xml:space="preserve">: areal density change falls from +0.715 % to +0.560 % (r = −0.997). A duration-matched control, holding bout length fixed while cycle number scales with frequency, gives the </w:t>
      </w:r>
      <w:r>
        <w:rPr>
          <w:rFonts w:eastAsia="Times New Roman"/>
        </w:rPr>
        <w:lastRenderedPageBreak/>
        <w:t>same sign, so this is not a session-length artefact. The mechanism is that the channel opening rate saturates in shear, so the shorter loaded interval per cycle at high frequency costs more than the higher peak shear gains. Experimentally, higher frequency within this range is more osteogenic [11]. This is the sharpest falsifiable consequence of our placeholder channel rate constants and the first thing to re-examine when better values are available.</w:t>
      </w:r>
    </w:p>
    <w:p w14:paraId="2001C578" w14:textId="77777777" w:rsidR="003407C0" w:rsidRDefault="00000000">
      <w:pPr>
        <w:pStyle w:val="2"/>
        <w:spacing w:before="240" w:after="120" w:line="360" w:lineRule="auto"/>
      </w:pPr>
      <w:r>
        <w:rPr>
          <w:rFonts w:eastAsia="Times New Roman"/>
          <w:b/>
          <w:bCs/>
          <w:i/>
          <w:iCs/>
          <w:sz w:val="24"/>
          <w:szCs w:val="24"/>
        </w:rPr>
        <w:t>P1: calcium is permissive, loading is instructive — under stated measures</w:t>
      </w:r>
    </w:p>
    <w:p w14:paraId="7F01466F" w14:textId="77777777" w:rsidR="003407C0" w:rsidRDefault="00000000">
      <w:pPr>
        <w:spacing w:after="120" w:line="480" w:lineRule="auto"/>
      </w:pPr>
      <w:r>
        <w:rPr>
          <w:rFonts w:eastAsia="Times New Roman"/>
          <w:b/>
          <w:bCs/>
        </w:rPr>
        <w:t>Fig 3</w:t>
      </w:r>
      <w:r>
        <w:rPr>
          <w:rFonts w:eastAsia="Times New Roman"/>
        </w:rPr>
        <w:t xml:space="preserve"> shows a factorial of four calcium intakes against three loading levels over 24 months. P1 has three clauses, and we state the bar for each before giving the numbers. </w:t>
      </w:r>
      <w:r>
        <w:rPr>
          <w:rFonts w:eastAsia="Times New Roman"/>
          <w:b/>
          <w:bCs/>
        </w:rPr>
        <w:t>Clause 1</w:t>
      </w:r>
      <w:r>
        <w:rPr>
          <w:rFonts w:eastAsia="Times New Roman"/>
        </w:rPr>
        <w:t xml:space="preserve">: within the calcium-replete range, the marginal effect of calcium on 24-month bone density is under 1 %. </w:t>
      </w:r>
      <w:r>
        <w:rPr>
          <w:rFonts w:eastAsia="Times New Roman"/>
          <w:b/>
          <w:bCs/>
        </w:rPr>
        <w:t>Clause 2</w:t>
      </w:r>
      <w:r>
        <w:rPr>
          <w:rFonts w:eastAsia="Times New Roman"/>
        </w:rPr>
        <w:t xml:space="preserve">: an appropriate loading </w:t>
      </w:r>
      <w:proofErr w:type="spellStart"/>
      <w:r>
        <w:rPr>
          <w:rFonts w:eastAsia="Times New Roman"/>
        </w:rPr>
        <w:t>programme</w:t>
      </w:r>
      <w:proofErr w:type="spellEnd"/>
      <w:r>
        <w:rPr>
          <w:rFonts w:eastAsia="Times New Roman"/>
        </w:rPr>
        <w:t xml:space="preserve"> exceeds 4 % over the same period. </w:t>
      </w:r>
      <w:r>
        <w:rPr>
          <w:rFonts w:eastAsia="Times New Roman"/>
          <w:b/>
          <w:bCs/>
        </w:rPr>
        <w:t>Clause 3</w:t>
      </w:r>
      <w:r>
        <w:rPr>
          <w:rFonts w:eastAsia="Times New Roman"/>
        </w:rPr>
        <w:t>: the two interact non-additively, calcium deficiency truncating what loading can build.</w:t>
      </w:r>
    </w:p>
    <w:p w14:paraId="6EF81937" w14:textId="77777777" w:rsidR="003407C0" w:rsidRDefault="00000000">
      <w:pPr>
        <w:spacing w:after="120" w:line="480" w:lineRule="auto"/>
      </w:pPr>
      <w:r>
        <w:rPr>
          <w:rFonts w:eastAsia="Times New Roman"/>
          <w:b/>
          <w:bCs/>
        </w:rPr>
        <w:t>Fig 3. Calcium against loading (P1).</w:t>
      </w:r>
    </w:p>
    <w:p w14:paraId="3EEC4DCA" w14:textId="77777777" w:rsidR="003407C0" w:rsidRDefault="00000000">
      <w:pPr>
        <w:spacing w:after="120" w:line="480" w:lineRule="auto"/>
      </w:pPr>
      <w:r>
        <w:rPr>
          <w:rFonts w:eastAsia="Times New Roman"/>
        </w:rPr>
        <w:t xml:space="preserve">(A) 24-month bone mineral content change across four calcium intakes and three loading levels; dashed line marks P1's 4 % threshold. Only the vigorous </w:t>
      </w:r>
      <w:proofErr w:type="spellStart"/>
      <w:r>
        <w:rPr>
          <w:rFonts w:eastAsia="Times New Roman"/>
        </w:rPr>
        <w:t>programme</w:t>
      </w:r>
      <w:proofErr w:type="spellEnd"/>
      <w:r>
        <w:rPr>
          <w:rFonts w:eastAsia="Times New Roman"/>
        </w:rPr>
        <w:t xml:space="preserve"> (2949 </w:t>
      </w:r>
      <w:proofErr w:type="spellStart"/>
      <w:r>
        <w:rPr>
          <w:rFonts w:eastAsia="Times New Roman"/>
        </w:rPr>
        <w:t>με</w:t>
      </w:r>
      <w:proofErr w:type="spellEnd"/>
      <w:r>
        <w:rPr>
          <w:rFonts w:eastAsia="Times New Roman"/>
        </w:rPr>
        <w:t>) clears it. (B) The same vigorous-loading contrast in bone mineral content and in areal density: dual-energy X-ray absorptiometry dilutes the loading response by 61 %, because loading moves the periosteal surface outward and areal density divides by projected width.</w:t>
      </w:r>
    </w:p>
    <w:p w14:paraId="0A710D23" w14:textId="77777777" w:rsidR="003407C0" w:rsidRDefault="00000000">
      <w:pPr>
        <w:spacing w:after="120" w:line="480" w:lineRule="auto"/>
      </w:pPr>
      <w:r>
        <w:rPr>
          <w:rFonts w:eastAsia="Times New Roman"/>
          <w:i/>
          <w:iCs/>
        </w:rPr>
        <w:t>Clause 1.</w:t>
      </w:r>
      <w:r>
        <w:rPr>
          <w:rFonts w:eastAsia="Times New Roman"/>
        </w:rPr>
        <w:t xml:space="preserve"> Raising calcium from 800 to 1500 mg/day — the replete range the clause is about — changes 24-month areal density by </w:t>
      </w:r>
      <w:r>
        <w:rPr>
          <w:rFonts w:eastAsia="Times New Roman"/>
          <w:b/>
          <w:bCs/>
        </w:rPr>
        <w:t>+0.304 %</w:t>
      </w:r>
      <w:r>
        <w:rPr>
          <w:rFonts w:eastAsia="Times New Roman"/>
        </w:rPr>
        <w:t xml:space="preserve">, under the 1 % bar. Across the wider 400 to 1500 mg/day contrast against which calibration target V7 is defined, the change is </w:t>
      </w:r>
      <w:r>
        <w:rPr>
          <w:rFonts w:eastAsia="Times New Roman"/>
          <w:b/>
          <w:bCs/>
        </w:rPr>
        <w:t>+0.663 %, just below the +0.7 to +1.8 % band</w:t>
      </w:r>
      <w:r>
        <w:rPr>
          <w:rFonts w:eastAsia="Times New Roman"/>
        </w:rPr>
        <w:t xml:space="preserve"> Tai and colleagues report [6] — a miss of 0.037 against a declared tolerance of 0.8, and one we report rather than fit away. It arrived when the osteocyte </w:t>
      </w:r>
      <w:r>
        <w:rPr>
          <w:rFonts w:eastAsia="Times New Roman"/>
        </w:rPr>
        <w:lastRenderedPageBreak/>
        <w:t xml:space="preserve">turnover constant was corrected (see Limitations), and its direction is the informative part: the calcium arm had been riding on an artefact, and removing the artefact made calcium </w:t>
      </w:r>
      <w:r>
        <w:rPr>
          <w:rFonts w:eastAsia="Times New Roman"/>
          <w:i/>
          <w:iCs/>
        </w:rPr>
        <w:t>less</w:t>
      </w:r>
      <w:r>
        <w:rPr>
          <w:rFonts w:eastAsia="Times New Roman"/>
        </w:rPr>
        <w:t xml:space="preserve"> effective. That is the second time in this work that repairing something unrelated has shrunk the calcium effect, and both times it has strengthened P1's permissive half rather than weakened it. In both contrasts the increment reaches a plateau within the first year rather than accumulating. That non-progressive </w:t>
      </w:r>
      <w:r>
        <w:rPr>
          <w:rFonts w:eastAsia="Times New Roman"/>
          <w:i/>
          <w:iCs/>
        </w:rPr>
        <w:t>shape</w:t>
      </w:r>
      <w:r>
        <w:rPr>
          <w:rFonts w:eastAsia="Times New Roman"/>
        </w:rPr>
        <w:t xml:space="preserve"> is the discriminating feature rather than the magnitude, and it is a fitted target in its own right with its own bar: the slope of the increment over the second half of the run must be under 0.3 %/yr in absolute value, and it is −0.131 %/yr — flat, and if </w:t>
      </w:r>
      <w:proofErr w:type="gramStart"/>
      <w:r>
        <w:rPr>
          <w:rFonts w:eastAsia="Times New Roman"/>
        </w:rPr>
        <w:t>anything</w:t>
      </w:r>
      <w:proofErr w:type="gramEnd"/>
      <w:r>
        <w:rPr>
          <w:rFonts w:eastAsia="Times New Roman"/>
        </w:rPr>
        <w:t xml:space="preserve"> very slightly declining.</w:t>
      </w:r>
    </w:p>
    <w:p w14:paraId="2E11A785" w14:textId="77777777" w:rsidR="003407C0" w:rsidRDefault="00000000">
      <w:pPr>
        <w:spacing w:after="120" w:line="480" w:lineRule="auto"/>
      </w:pPr>
      <w:r>
        <w:rPr>
          <w:rFonts w:eastAsia="Times New Roman"/>
          <w:i/>
          <w:iCs/>
        </w:rPr>
        <w:t>Clause 2.</w:t>
      </w:r>
      <w:r>
        <w:rPr>
          <w:rFonts w:eastAsia="Times New Roman"/>
        </w:rPr>
        <w:t xml:space="preserve"> An appropriate loading </w:t>
      </w:r>
      <w:proofErr w:type="spellStart"/>
      <w:r>
        <w:rPr>
          <w:rFonts w:eastAsia="Times New Roman"/>
        </w:rPr>
        <w:t>programme</w:t>
      </w:r>
      <w:proofErr w:type="spellEnd"/>
      <w:r>
        <w:rPr>
          <w:rFonts w:eastAsia="Times New Roman"/>
        </w:rPr>
        <w:t xml:space="preserve"> — which we define explicitly as peak strain ≈2900 </w:t>
      </w:r>
      <w:proofErr w:type="spellStart"/>
      <w:r>
        <w:rPr>
          <w:rFonts w:eastAsia="Times New Roman"/>
        </w:rPr>
        <w:t>με</w:t>
      </w:r>
      <w:proofErr w:type="spellEnd"/>
      <w:r>
        <w:rPr>
          <w:rFonts w:eastAsia="Times New Roman"/>
        </w:rPr>
        <w:t xml:space="preserve">, still below the 3000 </w:t>
      </w:r>
      <w:proofErr w:type="spellStart"/>
      <w:r>
        <w:rPr>
          <w:rFonts w:eastAsia="Times New Roman"/>
        </w:rPr>
        <w:t>με</w:t>
      </w:r>
      <w:proofErr w:type="spellEnd"/>
      <w:r>
        <w:rPr>
          <w:rFonts w:eastAsia="Times New Roman"/>
        </w:rPr>
        <w:t xml:space="preserve"> physiological ceiling and comparable to an elite tennis player's humerus — raises bone mineral content by </w:t>
      </w:r>
      <w:r>
        <w:rPr>
          <w:rFonts w:eastAsia="Times New Roman"/>
          <w:b/>
          <w:bCs/>
        </w:rPr>
        <w:t>+4.582 %</w:t>
      </w:r>
      <w:r>
        <w:rPr>
          <w:rFonts w:eastAsia="Times New Roman"/>
        </w:rPr>
        <w:t xml:space="preserve">, over the 4 % bar. The ratio to calcium is </w:t>
      </w:r>
      <w:r>
        <w:rPr>
          <w:rFonts w:eastAsia="Times New Roman"/>
          <w:b/>
          <w:bCs/>
        </w:rPr>
        <w:t>15.1-fold</w:t>
      </w:r>
      <w:r>
        <w:rPr>
          <w:rFonts w:eastAsia="Times New Roman"/>
        </w:rPr>
        <w:t>.</w:t>
      </w:r>
    </w:p>
    <w:p w14:paraId="76546ECE" w14:textId="77777777" w:rsidR="003407C0" w:rsidRDefault="00000000">
      <w:pPr>
        <w:spacing w:after="120" w:line="480" w:lineRule="auto"/>
      </w:pPr>
      <w:r>
        <w:rPr>
          <w:rFonts w:eastAsia="Times New Roman"/>
        </w:rPr>
        <w:t>Two qualifications are not caveats but results.</w:t>
      </w:r>
    </w:p>
    <w:p w14:paraId="202BDEB5" w14:textId="77777777" w:rsidR="003407C0" w:rsidRDefault="00000000">
      <w:pPr>
        <w:spacing w:after="120" w:line="480" w:lineRule="auto"/>
      </w:pPr>
      <w:r>
        <w:rPr>
          <w:rFonts w:eastAsia="Times New Roman"/>
          <w:b/>
          <w:bCs/>
        </w:rPr>
        <w:t>The measure changes the answer.</w:t>
      </w:r>
      <w:r>
        <w:rPr>
          <w:rFonts w:eastAsia="Times New Roman"/>
        </w:rPr>
        <w:t xml:space="preserve"> The same loading contrast measured as areal density is +1.778 %, not +4.582 %: areal density divides bone mass by projected width, and loading moves the periosteal surface outward, so </w:t>
      </w:r>
      <w:r>
        <w:rPr>
          <w:rFonts w:eastAsia="Times New Roman"/>
          <w:b/>
          <w:bCs/>
        </w:rPr>
        <w:t>dual-energy X-ray absorptiometry dilutes the loading response by 61 %</w:t>
      </w:r>
      <w:r>
        <w:rPr>
          <w:rFonts w:eastAsia="Times New Roman"/>
        </w:rPr>
        <w:t>. Our model retains this size artefact deliberately, because it is what allows one model to be read against both the densitometry literature and the peripheral quantitative computed tomography literature. Reporting clause P1-2 in areal density would report a measurement artefact as biology.</w:t>
      </w:r>
    </w:p>
    <w:p w14:paraId="4E0B819F" w14:textId="77777777" w:rsidR="003407C0" w:rsidRDefault="00000000">
      <w:pPr>
        <w:spacing w:after="120" w:line="480" w:lineRule="auto"/>
      </w:pPr>
      <w:r>
        <w:rPr>
          <w:rFonts w:eastAsia="Times New Roman"/>
          <w:b/>
          <w:bCs/>
        </w:rPr>
        <w:t>The intensity changes the answer.</w:t>
      </w:r>
      <w:r>
        <w:rPr>
          <w:rFonts w:eastAsia="Times New Roman"/>
        </w:rPr>
        <w:t xml:space="preserve"> Moderate resistance loading (2236 </w:t>
      </w:r>
      <w:proofErr w:type="spellStart"/>
      <w:r>
        <w:rPr>
          <w:rFonts w:eastAsia="Times New Roman"/>
        </w:rPr>
        <w:t>με</w:t>
      </w:r>
      <w:proofErr w:type="spellEnd"/>
      <w:r>
        <w:rPr>
          <w:rFonts w:eastAsia="Times New Roman"/>
        </w:rPr>
        <w:t xml:space="preserve">) gives only +3.118 % and does not support the claim. "Appropriate loading", left undefined, makes the prediction </w:t>
      </w:r>
      <w:r>
        <w:rPr>
          <w:rFonts w:eastAsia="Times New Roman"/>
        </w:rPr>
        <w:lastRenderedPageBreak/>
        <w:t>unfalsifiable, since any shortfall can be attributed to insufficiently appropriate loading.</w:t>
      </w:r>
    </w:p>
    <w:p w14:paraId="2A788F9F" w14:textId="77777777" w:rsidR="003407C0" w:rsidRDefault="00000000">
      <w:pPr>
        <w:spacing w:after="120" w:line="480" w:lineRule="auto"/>
      </w:pPr>
      <w:r>
        <w:rPr>
          <w:rFonts w:eastAsia="Times New Roman"/>
          <w:i/>
          <w:iCs/>
        </w:rPr>
        <w:t>Clause 3</w:t>
      </w:r>
      <w:r>
        <w:rPr>
          <w:rFonts w:eastAsia="Times New Roman"/>
        </w:rPr>
        <w:t xml:space="preserve"> is supported on both framings, and we flag that this was not true of an earlier version of the model. Calcium deficiency truncates what loading can build: under vigorous loading, severe deficiency achieves +3.994 % against +4.756 % when supplemented, so deficiency costs 16 % of the gain. The </w:t>
      </w:r>
      <w:r>
        <w:rPr>
          <w:rFonts w:eastAsia="Times New Roman"/>
          <w:i/>
          <w:iCs/>
        </w:rPr>
        <w:t>difference-in-differences</w:t>
      </w:r>
      <w:r>
        <w:rPr>
          <w:rFonts w:eastAsia="Times New Roman"/>
        </w:rPr>
        <w:t xml:space="preserve"> interaction — loaded minus sedentary, compared across calcium levels — is </w:t>
      </w:r>
      <w:r>
        <w:rPr>
          <w:rFonts w:eastAsia="Times New Roman"/>
          <w:b/>
          <w:bCs/>
        </w:rPr>
        <w:t>+0.085</w:t>
      </w:r>
      <w:r>
        <w:rPr>
          <w:rFonts w:eastAsia="Times New Roman"/>
        </w:rPr>
        <w:t xml:space="preserve"> percentage points, the same sign, so loading's marginal benefit really is larger when calcium is adequate.</w:t>
      </w:r>
    </w:p>
    <w:p w14:paraId="6E2A9EF3" w14:textId="77777777" w:rsidR="003407C0" w:rsidRDefault="00000000">
      <w:pPr>
        <w:spacing w:after="120" w:line="480" w:lineRule="auto"/>
      </w:pPr>
      <w:r>
        <w:rPr>
          <w:rFonts w:eastAsia="Times New Roman"/>
        </w:rPr>
        <w:t xml:space="preserve">We report the history because it bears on how much weight this clause can carry. Before the systemic calcium module was rebuilt (see Limitations), the same quantity was </w:t>
      </w:r>
      <w:r>
        <w:rPr>
          <w:rFonts w:eastAsia="Times New Roman"/>
          <w:b/>
          <w:bCs/>
        </w:rPr>
        <w:t>−0.536</w:t>
      </w:r>
      <w:r>
        <w:rPr>
          <w:rFonts w:eastAsia="Times New Roman"/>
        </w:rPr>
        <w:t xml:space="preserve"> percentage points — the opposite sign — because deficiency dragged the sedentary comparator down faster than the loaded arm, a floor effect in the comparator rather than synergy. The correction that removed a supraphysiological swing in serum calcium also flipped this interaction. A conclusion that changes sign when an unrelated module is repaired is one to hold loosely.</w:t>
      </w:r>
    </w:p>
    <w:p w14:paraId="7420C876" w14:textId="77777777" w:rsidR="003407C0" w:rsidRDefault="00000000">
      <w:pPr>
        <w:spacing w:after="120" w:line="480" w:lineRule="auto"/>
      </w:pPr>
      <w:r>
        <w:rPr>
          <w:rFonts w:eastAsia="Times New Roman"/>
          <w:b/>
          <w:bCs/>
        </w:rPr>
        <w:t>One of P1's three clauses therefore reverses sign under a different but equally reasonable measure</w:t>
      </w:r>
      <w:r>
        <w:rPr>
          <w:rFonts w:eastAsia="Times New Roman"/>
        </w:rPr>
        <w:t>, and a second did so until a module elsewhere in the model was corrected. We regard this as a substantive finding about how such claims must be reported, not a weakness of the model, and we return to it in the Discussion.</w:t>
      </w:r>
    </w:p>
    <w:p w14:paraId="28B73E32" w14:textId="77777777" w:rsidR="003407C0" w:rsidRDefault="00000000">
      <w:pPr>
        <w:pStyle w:val="2"/>
        <w:spacing w:before="240" w:after="120" w:line="360" w:lineRule="auto"/>
      </w:pPr>
      <w:r>
        <w:rPr>
          <w:rFonts w:eastAsia="Times New Roman"/>
          <w:b/>
          <w:bCs/>
          <w:i/>
          <w:iCs/>
          <w:sz w:val="24"/>
          <w:szCs w:val="24"/>
        </w:rPr>
        <w:t>P2: only local loading can produce a local difference</w:t>
      </w:r>
    </w:p>
    <w:p w14:paraId="18D9CA3A" w14:textId="77777777" w:rsidR="003407C0" w:rsidRDefault="00000000">
      <w:pPr>
        <w:spacing w:after="120" w:line="480" w:lineRule="auto"/>
      </w:pPr>
      <w:r>
        <w:rPr>
          <w:rFonts w:eastAsia="Times New Roman"/>
          <w:b/>
          <w:bCs/>
        </w:rPr>
        <w:t>Fig 4</w:t>
      </w:r>
      <w:r>
        <w:rPr>
          <w:rFonts w:eastAsia="Times New Roman"/>
        </w:rPr>
        <w:t xml:space="preserve"> shows the two-compartment result: one humerus loaded, one not, sharing a single systemic calcium and PTH pool, over five years. P2 has two halves, and the second is the one that can fail cleanly. </w:t>
      </w:r>
      <w:r>
        <w:rPr>
          <w:rFonts w:eastAsia="Times New Roman"/>
          <w:b/>
          <w:bCs/>
        </w:rPr>
        <w:t>First</w:t>
      </w:r>
      <w:r>
        <w:rPr>
          <w:rFonts w:eastAsia="Times New Roman"/>
        </w:rPr>
        <w:t xml:space="preserve">, unilateral loading should reproduce the racquet-sport humerus. </w:t>
      </w:r>
      <w:r>
        <w:rPr>
          <w:rFonts w:eastAsia="Times New Roman"/>
          <w:b/>
          <w:bCs/>
        </w:rPr>
        <w:t>Second</w:t>
      </w:r>
      <w:r>
        <w:rPr>
          <w:rFonts w:eastAsia="Times New Roman"/>
        </w:rPr>
        <w:t xml:space="preserve">, no systemic intervention should produce a side-to-side difference at all — a single non-zero </w:t>
      </w:r>
      <w:r>
        <w:rPr>
          <w:rFonts w:eastAsia="Times New Roman"/>
        </w:rPr>
        <w:lastRenderedPageBreak/>
        <w:t>asymmetry under a systemic agent would falsify it.</w:t>
      </w:r>
    </w:p>
    <w:p w14:paraId="762FC02D" w14:textId="77777777" w:rsidR="003407C0" w:rsidRDefault="00000000">
      <w:pPr>
        <w:spacing w:after="120" w:line="480" w:lineRule="auto"/>
      </w:pPr>
      <w:r>
        <w:rPr>
          <w:rFonts w:eastAsia="Times New Roman"/>
          <w:b/>
          <w:bCs/>
        </w:rPr>
        <w:t>Fig 4. Site specificity (P2).</w:t>
      </w:r>
    </w:p>
    <w:p w14:paraId="20EC6587" w14:textId="77777777" w:rsidR="003407C0" w:rsidRDefault="00000000">
      <w:pPr>
        <w:spacing w:after="120" w:line="480" w:lineRule="auto"/>
      </w:pPr>
      <w:r>
        <w:rPr>
          <w:rFonts w:eastAsia="Times New Roman"/>
        </w:rPr>
        <w:t xml:space="preserve">(A) The six </w:t>
      </w:r>
      <w:proofErr w:type="spellStart"/>
      <w:r>
        <w:rPr>
          <w:rFonts w:eastAsia="Times New Roman"/>
        </w:rPr>
        <w:t>pQCT</w:t>
      </w:r>
      <w:proofErr w:type="spellEnd"/>
      <w:r>
        <w:rPr>
          <w:rFonts w:eastAsia="Times New Roman"/>
        </w:rPr>
        <w:t xml:space="preserve"> indices of the loaded humerus against Haapasalo's measured ranges (grey bands). All six fall within tolerance, and all six were held out of calibration. (B) Side-to-side difference by intervention type: only unilateral loading produces one; systemic calcium and systemic </w:t>
      </w:r>
      <w:proofErr w:type="spellStart"/>
      <w:r>
        <w:rPr>
          <w:rFonts w:eastAsia="Times New Roman"/>
        </w:rPr>
        <w:t>romosozumab</w:t>
      </w:r>
      <w:proofErr w:type="spellEnd"/>
      <w:r>
        <w:rPr>
          <w:rFonts w:eastAsia="Times New Roman"/>
        </w:rPr>
        <w:t xml:space="preserve"> produce 0.0000 %.</w:t>
      </w:r>
    </w:p>
    <w:p w14:paraId="27FFA42B" w14:textId="77777777" w:rsidR="003407C0" w:rsidRDefault="00000000">
      <w:pPr>
        <w:spacing w:after="120" w:line="480" w:lineRule="auto"/>
      </w:pPr>
      <w:r>
        <w:rPr>
          <w:rFonts w:eastAsia="Times New Roman"/>
        </w:rPr>
        <w:t xml:space="preserve">All six </w:t>
      </w:r>
      <w:proofErr w:type="spellStart"/>
      <w:r>
        <w:rPr>
          <w:rFonts w:eastAsia="Times New Roman"/>
        </w:rPr>
        <w:t>pQCT</w:t>
      </w:r>
      <w:proofErr w:type="spellEnd"/>
      <w:r>
        <w:rPr>
          <w:rFonts w:eastAsia="Times New Roman"/>
        </w:rPr>
        <w:t xml:space="preserve"> indices reported by Haapasalo and colleagues [7] fall within tolerance, model against measured range: bone mineral content +12.38 % against 14–27 %, total area +12.17 % against 16–21 %, cortical area +10.40 % against 12–32 %, maximal second moment of area +24.48 % against 27–67 %, medullary cavity +13.93 % against 19 %, and cortical volumetric density +1.79 % against −2 to 0 %. Per-index tolerances are listed in </w:t>
      </w:r>
      <w:r>
        <w:rPr>
          <w:rFonts w:eastAsia="Times New Roman"/>
          <w:b/>
          <w:bCs/>
        </w:rPr>
        <w:t>S2 Table</w:t>
      </w:r>
      <w:r>
        <w:rPr>
          <w:rFonts w:eastAsia="Times New Roman"/>
        </w:rPr>
        <w:t xml:space="preserve">. These are </w:t>
      </w:r>
      <w:r>
        <w:rPr>
          <w:rFonts w:eastAsia="Times New Roman"/>
          <w:b/>
          <w:bCs/>
        </w:rPr>
        <w:t>hold-out</w:t>
      </w:r>
      <w:r>
        <w:rPr>
          <w:rFonts w:eastAsia="Times New Roman"/>
        </w:rPr>
        <w:t xml:space="preserve"> values. The discriminating one is the last: the playing arm's gain is geometric, with volumetric density essentially unchanged, and the model was never fitted to that constraint.</w:t>
      </w:r>
    </w:p>
    <w:p w14:paraId="1549BAF9" w14:textId="77777777" w:rsidR="003407C0" w:rsidRDefault="00000000">
      <w:pPr>
        <w:spacing w:after="120" w:line="480" w:lineRule="auto"/>
      </w:pPr>
      <w:r>
        <w:rPr>
          <w:rFonts w:eastAsia="Times New Roman"/>
        </w:rPr>
        <w:t xml:space="preserve">The complementary claim is the sharper one. With both arms loaded identically and a systemic intervention applied — 1500 mg/day calcium, or </w:t>
      </w:r>
      <w:proofErr w:type="spellStart"/>
      <w:r>
        <w:rPr>
          <w:rFonts w:eastAsia="Times New Roman"/>
        </w:rPr>
        <w:t>romosozumab</w:t>
      </w:r>
      <w:proofErr w:type="spellEnd"/>
      <w:r>
        <w:rPr>
          <w:rFonts w:eastAsia="Times New Roman"/>
        </w:rPr>
        <w:t xml:space="preserve"> — the side-to-side difference is </w:t>
      </w:r>
      <w:r>
        <w:rPr>
          <w:rFonts w:eastAsia="Times New Roman"/>
          <w:b/>
          <w:bCs/>
        </w:rPr>
        <w:t>+12.38 %</w:t>
      </w:r>
      <w:r>
        <w:rPr>
          <w:rFonts w:eastAsia="Times New Roman"/>
        </w:rPr>
        <w:t xml:space="preserve"> for loading against </w:t>
      </w:r>
      <w:r>
        <w:rPr>
          <w:rFonts w:eastAsia="Times New Roman"/>
          <w:b/>
          <w:bCs/>
        </w:rPr>
        <w:t>−0.0000 %</w:t>
      </w:r>
      <w:r>
        <w:rPr>
          <w:rFonts w:eastAsia="Times New Roman"/>
        </w:rPr>
        <w:t xml:space="preserve"> and </w:t>
      </w:r>
      <w:r>
        <w:rPr>
          <w:rFonts w:eastAsia="Times New Roman"/>
          <w:b/>
          <w:bCs/>
        </w:rPr>
        <w:t>−0.0000 %</w:t>
      </w:r>
      <w:r>
        <w:rPr>
          <w:rFonts w:eastAsia="Times New Roman"/>
        </w:rPr>
        <w:t xml:space="preserve"> respectively. Because both compartments see the identical shared PTH, no systemic agent can manufacture a local difference. The tennis-player asymmetry is not reproducible by any pill, in this framework as a matter of structure rather than of parameter values.</w:t>
      </w:r>
    </w:p>
    <w:p w14:paraId="4896A285" w14:textId="77777777" w:rsidR="003407C0" w:rsidRDefault="00000000">
      <w:pPr>
        <w:pStyle w:val="2"/>
        <w:spacing w:before="240" w:after="120" w:line="360" w:lineRule="auto"/>
      </w:pPr>
      <w:r>
        <w:rPr>
          <w:rFonts w:eastAsia="Times New Roman"/>
          <w:b/>
          <w:bCs/>
          <w:i/>
          <w:iCs/>
          <w:sz w:val="24"/>
          <w:szCs w:val="24"/>
        </w:rPr>
        <w:t>Disuse and the minimum effective countermeasure</w:t>
      </w:r>
    </w:p>
    <w:p w14:paraId="55E5ADC5" w14:textId="77777777" w:rsidR="003407C0" w:rsidRDefault="00000000">
      <w:pPr>
        <w:spacing w:after="120" w:line="480" w:lineRule="auto"/>
      </w:pPr>
      <w:r>
        <w:rPr>
          <w:rFonts w:eastAsia="Times New Roman"/>
        </w:rPr>
        <w:t>Unloading produces 1.220 %/month bone loss over the 180-day window (</w:t>
      </w:r>
      <w:r>
        <w:rPr>
          <w:rFonts w:eastAsia="Times New Roman"/>
          <w:b/>
          <w:bCs/>
        </w:rPr>
        <w:t>Fig 5</w:t>
      </w:r>
      <w:r>
        <w:rPr>
          <w:rFonts w:eastAsia="Times New Roman"/>
        </w:rPr>
        <w:t xml:space="preserve">). The bar was the 1.0–1.5 %/month band, which sits inside the 1–2 %/month decline reported at weight-bearing </w:t>
      </w:r>
      <w:r>
        <w:rPr>
          <w:rFonts w:eastAsia="Times New Roman"/>
        </w:rPr>
        <w:lastRenderedPageBreak/>
        <w:t>sites over 90 days of head-down bed rest [24]. The quantity we compute is bone mineral content rather than areal density; in disuse the periosteum barely moves (−0.002 mm over 180 days) and the two agree to 0.003 percentage points per month, unlike the loading contrast above where they differ by 61 %.</w:t>
      </w:r>
    </w:p>
    <w:p w14:paraId="67483628" w14:textId="77777777" w:rsidR="003407C0" w:rsidRDefault="00000000">
      <w:pPr>
        <w:spacing w:after="120" w:line="480" w:lineRule="auto"/>
      </w:pPr>
      <w:r>
        <w:rPr>
          <w:rFonts w:eastAsia="Times New Roman"/>
          <w:b/>
          <w:bCs/>
        </w:rPr>
        <w:t>Fig 5. Disuse and the minimum effective countermeasure.</w:t>
      </w:r>
    </w:p>
    <w:p w14:paraId="58528355" w14:textId="77777777" w:rsidR="003407C0" w:rsidRDefault="00000000">
      <w:pPr>
        <w:spacing w:after="120" w:line="480" w:lineRule="auto"/>
      </w:pPr>
      <w:r>
        <w:rPr>
          <w:rFonts w:eastAsia="Times New Roman"/>
        </w:rPr>
        <w:t>(A) Bone mineral content over 180 days of unloading, unprotected and with the best in-budget countermeasure. (B) Monthly loss across the countermeasure grid; blank cells exceed the 30 min/day budget. No in-budget regimen holds loss below 0.25 %/month.</w:t>
      </w:r>
    </w:p>
    <w:p w14:paraId="708535CF" w14:textId="77777777" w:rsidR="003407C0" w:rsidRDefault="00000000">
      <w:pPr>
        <w:spacing w:after="120" w:line="480" w:lineRule="auto"/>
      </w:pPr>
      <w:r>
        <w:rPr>
          <w:rFonts w:eastAsia="Times New Roman"/>
        </w:rPr>
        <w:t xml:space="preserve">Sclerostin rises, which is the direction the target requires, but the </w:t>
      </w:r>
      <w:r>
        <w:rPr>
          <w:rFonts w:eastAsia="Times New Roman"/>
          <w:i/>
          <w:iCs/>
        </w:rPr>
        <w:t>shape</w:t>
      </w:r>
      <w:r>
        <w:rPr>
          <w:rFonts w:eastAsia="Times New Roman"/>
        </w:rPr>
        <w:t xml:space="preserve"> is wrong and we report this as a partial match. Serum sclerostin in the model reaches +58.0 % and then stays there, essentially flat from day 28 onward. Measured in men over 90 days of bed rest it rises to +29 % at day 28, peaks at +42 % at day 60, and has fallen back to +22 % by day 90 [24]. We reproduce the rise but overshoot its peak by half again, and we do not reproduce the attenuation at all: sclerostin here equilibrates within days to the new mechanical dose and has no adaptive decline.</w:t>
      </w:r>
    </w:p>
    <w:p w14:paraId="416E2F8C" w14:textId="77777777" w:rsidR="003407C0" w:rsidRDefault="00000000">
      <w:pPr>
        <w:spacing w:after="120" w:line="480" w:lineRule="auto"/>
      </w:pPr>
      <w:r>
        <w:rPr>
          <w:rFonts w:eastAsia="Times New Roman"/>
        </w:rPr>
        <w:t xml:space="preserve">The same experiment supplies a second check, on the systemic arm, and it is one the model failed until we repaired it. In those </w:t>
      </w:r>
      <w:proofErr w:type="gramStart"/>
      <w:r>
        <w:rPr>
          <w:rFonts w:eastAsia="Times New Roman"/>
        </w:rPr>
        <w:t>subjects</w:t>
      </w:r>
      <w:proofErr w:type="gramEnd"/>
      <w:r>
        <w:rPr>
          <w:rFonts w:eastAsia="Times New Roman"/>
        </w:rPr>
        <w:t xml:space="preserve"> parathyroid hormone fell 17 % by day 28 and 24 % by day 60, with urinary calcium significantly elevated throughout [24] — the classic </w:t>
      </w:r>
      <w:proofErr w:type="spellStart"/>
      <w:r>
        <w:rPr>
          <w:rFonts w:eastAsia="Times New Roman"/>
        </w:rPr>
        <w:t>immobilisation</w:t>
      </w:r>
      <w:proofErr w:type="spellEnd"/>
      <w:r>
        <w:rPr>
          <w:rFonts w:eastAsia="Times New Roman"/>
        </w:rPr>
        <w:t xml:space="preserve"> picture, in which calcium released from unloaded bone suppresses the parathyroid. The model now reproduces it: parathyroid hormone falls </w:t>
      </w:r>
      <w:r>
        <w:rPr>
          <w:rFonts w:eastAsia="Times New Roman"/>
          <w:b/>
          <w:bCs/>
        </w:rPr>
        <w:t>21.2 %</w:t>
      </w:r>
      <w:r>
        <w:rPr>
          <w:rFonts w:eastAsia="Times New Roman"/>
        </w:rPr>
        <w:t xml:space="preserve"> by day 28 and </w:t>
      </w:r>
      <w:r>
        <w:rPr>
          <w:rFonts w:eastAsia="Times New Roman"/>
          <w:b/>
          <w:bCs/>
        </w:rPr>
        <w:t>21.3 %</w:t>
      </w:r>
      <w:r>
        <w:rPr>
          <w:rFonts w:eastAsia="Times New Roman"/>
        </w:rPr>
        <w:t xml:space="preserve"> by day 60, on a serum calcium rise of 2.8 %.</w:t>
      </w:r>
    </w:p>
    <w:p w14:paraId="3B22F689" w14:textId="77777777" w:rsidR="003407C0" w:rsidRDefault="00000000">
      <w:pPr>
        <w:spacing w:after="120" w:line="480" w:lineRule="auto"/>
      </w:pPr>
      <w:r>
        <w:rPr>
          <w:rFonts w:eastAsia="Times New Roman"/>
        </w:rPr>
        <w:t xml:space="preserve">It did not before. In the version of this module we first built, the same run moved parathyroid hormone by 0.01 % — the coefficients carrying skeletal calcium into the serum pool were three </w:t>
      </w:r>
      <w:r>
        <w:rPr>
          <w:rFonts w:eastAsia="Times New Roman"/>
        </w:rPr>
        <w:lastRenderedPageBreak/>
        <w:t xml:space="preserve">orders of magnitude below the flux they were </w:t>
      </w:r>
      <w:proofErr w:type="spellStart"/>
      <w:r>
        <w:rPr>
          <w:rFonts w:eastAsia="Times New Roman"/>
        </w:rPr>
        <w:t>normalised</w:t>
      </w:r>
      <w:proofErr w:type="spellEnd"/>
      <w:r>
        <w:rPr>
          <w:rFonts w:eastAsia="Times New Roman"/>
        </w:rPr>
        <w:t xml:space="preserve"> against, so bone could not move serum calcium at all, and the coupling we describe as bidirectional was in practice one-way. We report this because the failure was invisible to every target we </w:t>
      </w:r>
      <w:proofErr w:type="gramStart"/>
      <w:r>
        <w:rPr>
          <w:rFonts w:eastAsia="Times New Roman"/>
        </w:rPr>
        <w:t>had:</w:t>
      </w:r>
      <w:proofErr w:type="gramEnd"/>
      <w:r>
        <w:rPr>
          <w:rFonts w:eastAsia="Times New Roman"/>
        </w:rPr>
        <w:t xml:space="preserve"> nothing in the validation set asked the model to move systemic calcium from bone, so nothing caught it until we tested a fact the literature had recorded and we had not.</w:t>
      </w:r>
    </w:p>
    <w:p w14:paraId="4758B618" w14:textId="77777777" w:rsidR="003407C0" w:rsidRDefault="00000000">
      <w:pPr>
        <w:spacing w:after="120" w:line="480" w:lineRule="auto"/>
      </w:pPr>
      <w:r>
        <w:rPr>
          <w:rFonts w:eastAsia="Times New Roman"/>
        </w:rPr>
        <w:t xml:space="preserve">Searching loading prescriptions under a ≤30 min/day constraint, the best regimen within budget (peak moment ×4.5, 80 cycles, 0.5 Hz, 10 s inter-cycle rest, 16.0 min/day) reduces loss to 0.771 %/month — preventing 37 % of it. </w:t>
      </w:r>
      <w:r>
        <w:rPr>
          <w:rFonts w:eastAsia="Times New Roman"/>
          <w:b/>
          <w:bCs/>
        </w:rPr>
        <w:t>No regimen within the time budget holds loss below 0.25 %/month.</w:t>
      </w:r>
      <w:r>
        <w:rPr>
          <w:rFonts w:eastAsia="Times New Roman"/>
        </w:rPr>
        <w:t xml:space="preserve"> We report this negative result because it is clinically relevant: in this model, time-efficient loading alone does not arrest disuse osteopenia.</w:t>
      </w:r>
    </w:p>
    <w:p w14:paraId="314E85C5" w14:textId="77777777" w:rsidR="003407C0" w:rsidRDefault="00000000">
      <w:pPr>
        <w:spacing w:after="120" w:line="480" w:lineRule="auto"/>
      </w:pPr>
      <w:r>
        <w:rPr>
          <w:rFonts w:eastAsia="Times New Roman"/>
        </w:rPr>
        <w:t xml:space="preserve">We also flag a scope limit that our validity </w:t>
      </w:r>
      <w:proofErr w:type="gramStart"/>
      <w:r>
        <w:rPr>
          <w:rFonts w:eastAsia="Times New Roman"/>
        </w:rPr>
        <w:t>check</w:t>
      </w:r>
      <w:proofErr w:type="gramEnd"/>
      <w:r>
        <w:rPr>
          <w:rFonts w:eastAsia="Times New Roman"/>
        </w:rPr>
        <w:t xml:space="preserve"> surfaced. Beyond about 7.5 months, complete unloading drives the model to its porosity floor and out of the linear-elastic domain the entire mechanics stack assumes. Real bed rest decelerates and plateaus at 30–50 % loss. All disuse results here are confined to the 180-day window on which the target is defined, and every run reports whether it stayed inside the elastic domain.</w:t>
      </w:r>
    </w:p>
    <w:p w14:paraId="2C6EA23F" w14:textId="77777777" w:rsidR="003407C0" w:rsidRDefault="00000000">
      <w:pPr>
        <w:pStyle w:val="2"/>
        <w:spacing w:before="240" w:after="120" w:line="360" w:lineRule="auto"/>
      </w:pPr>
      <w:r>
        <w:rPr>
          <w:rFonts w:eastAsia="Times New Roman"/>
          <w:b/>
          <w:bCs/>
          <w:i/>
          <w:iCs/>
          <w:sz w:val="24"/>
          <w:szCs w:val="24"/>
        </w:rPr>
        <w:t>Pharmacology: self-limitation, withdrawal rebound, and a shared node</w:t>
      </w:r>
    </w:p>
    <w:p w14:paraId="2B530FE6" w14:textId="77777777" w:rsidR="003407C0" w:rsidRDefault="00000000">
      <w:pPr>
        <w:spacing w:after="120" w:line="480" w:lineRule="auto"/>
      </w:pPr>
      <w:r>
        <w:rPr>
          <w:rFonts w:eastAsia="Times New Roman"/>
          <w:b/>
          <w:bCs/>
        </w:rPr>
        <w:t>Fig 6</w:t>
      </w:r>
      <w:r>
        <w:rPr>
          <w:rFonts w:eastAsia="Times New Roman"/>
        </w:rPr>
        <w:t xml:space="preserve"> shows four arms over 24 months with </w:t>
      </w:r>
      <w:proofErr w:type="spellStart"/>
      <w:r>
        <w:rPr>
          <w:rFonts w:eastAsia="Times New Roman"/>
        </w:rPr>
        <w:t>romosozumab</w:t>
      </w:r>
      <w:proofErr w:type="spellEnd"/>
      <w:r>
        <w:rPr>
          <w:rFonts w:eastAsia="Times New Roman"/>
        </w:rPr>
        <w:t xml:space="preserve"> stopped at month 12.</w:t>
      </w:r>
    </w:p>
    <w:p w14:paraId="2C95A932" w14:textId="77777777" w:rsidR="003407C0" w:rsidRDefault="00000000">
      <w:pPr>
        <w:spacing w:after="120" w:line="480" w:lineRule="auto"/>
      </w:pPr>
      <w:r>
        <w:rPr>
          <w:rFonts w:eastAsia="Times New Roman"/>
          <w:b/>
          <w:bCs/>
        </w:rPr>
        <w:t xml:space="preserve">Fig 6. </w:t>
      </w:r>
      <w:proofErr w:type="spellStart"/>
      <w:r>
        <w:rPr>
          <w:rFonts w:eastAsia="Times New Roman"/>
          <w:b/>
          <w:bCs/>
        </w:rPr>
        <w:t>Romosozumab</w:t>
      </w:r>
      <w:proofErr w:type="spellEnd"/>
      <w:r>
        <w:rPr>
          <w:rFonts w:eastAsia="Times New Roman"/>
          <w:b/>
          <w:bCs/>
        </w:rPr>
        <w:t>, withdrawal and loading.</w:t>
      </w:r>
    </w:p>
    <w:p w14:paraId="0488B750" w14:textId="77777777" w:rsidR="003407C0" w:rsidRDefault="00000000">
      <w:pPr>
        <w:spacing w:after="120" w:line="480" w:lineRule="auto"/>
      </w:pPr>
      <w:r>
        <w:rPr>
          <w:rFonts w:eastAsia="Times New Roman"/>
        </w:rPr>
        <w:t xml:space="preserve">(A) Four arms over 24 months, drug stopped at month 12. (B) The osteoblast population on drug: it peaks early and declines while dosing continues, because compensatory </w:t>
      </w:r>
      <w:r>
        <w:rPr>
          <w:rFonts w:eastAsia="Times New Roman"/>
          <w:i/>
          <w:iCs/>
        </w:rPr>
        <w:t>SOST</w:t>
      </w:r>
      <w:r>
        <w:rPr>
          <w:rFonts w:eastAsia="Times New Roman"/>
        </w:rPr>
        <w:t xml:space="preserve"> transcription progressively offsets the antibody. (C) Trabecular against cortical response, with the +11–14 % spine target band shaded; the 5.3-fold amplification comes from structure alone.</w:t>
      </w:r>
    </w:p>
    <w:p w14:paraId="0BED2ADE" w14:textId="77777777" w:rsidR="003407C0" w:rsidRDefault="00000000">
      <w:pPr>
        <w:spacing w:after="120" w:line="480" w:lineRule="auto"/>
      </w:pPr>
      <w:r>
        <w:rPr>
          <w:rFonts w:eastAsia="Times New Roman"/>
        </w:rPr>
        <w:lastRenderedPageBreak/>
        <w:t xml:space="preserve">Because the +11–14 % </w:t>
      </w:r>
      <w:proofErr w:type="spellStart"/>
      <w:r>
        <w:rPr>
          <w:rFonts w:eastAsia="Times New Roman"/>
        </w:rPr>
        <w:t>romosozumab</w:t>
      </w:r>
      <w:proofErr w:type="spellEnd"/>
      <w:r>
        <w:rPr>
          <w:rFonts w:eastAsia="Times New Roman"/>
        </w:rPr>
        <w:t xml:space="preserve"> target is a </w:t>
      </w:r>
      <w:r>
        <w:rPr>
          <w:rFonts w:eastAsia="Times New Roman"/>
          <w:i/>
          <w:iCs/>
        </w:rPr>
        <w:t>lumbar spine</w:t>
      </w:r>
      <w:r>
        <w:rPr>
          <w:rFonts w:eastAsia="Times New Roman"/>
        </w:rPr>
        <w:t xml:space="preserve"> number [14] and the spine is trabecular, we evaluate it in a trabecular vertebral compartment derived from the cortical parameter set by changing only structure, geometry and load — the biology is shared. One consistency check does not come </w:t>
      </w:r>
      <w:proofErr w:type="gramStart"/>
      <w:r>
        <w:rPr>
          <w:rFonts w:eastAsia="Times New Roman"/>
        </w:rPr>
        <w:t>free, and</w:t>
      </w:r>
      <w:proofErr w:type="gramEnd"/>
      <w:r>
        <w:rPr>
          <w:rFonts w:eastAsia="Times New Roman"/>
        </w:rPr>
        <w:t xml:space="preserve"> saying why is more useful than the check. Until v2.16 a single exponent served both compartments; taking the measured value shows that agreement was a compromise, not a validation. Currey's power law over compact bone [16] gives 3.13, which at a bone volume fraction of 0.12 puts the vertebra at 26 MPa — below the measured 50–300 MPa range. Trabecular bone is a cellular solid, and Gibson–Ashby open-cell scaling gives 2. Using 3.13 in cortex and 2.00 here gives an apparent modulus of 288.0 MPa, inside the measured range, on a measurement at each end rather than one value split between them.</w:t>
      </w:r>
    </w:p>
    <w:p w14:paraId="24923FF8" w14:textId="77777777" w:rsidR="003407C0" w:rsidRDefault="00000000">
      <w:pPr>
        <w:spacing w:after="120" w:line="480" w:lineRule="auto"/>
      </w:pPr>
      <w:r>
        <w:rPr>
          <w:rFonts w:eastAsia="Times New Roman"/>
        </w:rPr>
        <w:t xml:space="preserve">In that compartment </w:t>
      </w:r>
      <w:proofErr w:type="spellStart"/>
      <w:r>
        <w:rPr>
          <w:rFonts w:eastAsia="Times New Roman"/>
        </w:rPr>
        <w:t>romosozumab</w:t>
      </w:r>
      <w:proofErr w:type="spellEnd"/>
      <w:r>
        <w:rPr>
          <w:rFonts w:eastAsia="Times New Roman"/>
        </w:rPr>
        <w:t xml:space="preserve"> gives </w:t>
      </w:r>
      <w:r>
        <w:rPr>
          <w:rFonts w:eastAsia="Times New Roman"/>
          <w:b/>
          <w:bCs/>
        </w:rPr>
        <w:t>+12.459 %</w:t>
      </w:r>
      <w:r>
        <w:rPr>
          <w:rFonts w:eastAsia="Times New Roman"/>
        </w:rPr>
        <w:t xml:space="preserve"> at 12 months, inside the 11–14 % target band, against +2.334 % in cortex — a 5.3-fold amplification arising from structure alone. This is a </w:t>
      </w:r>
      <w:r>
        <w:rPr>
          <w:rFonts w:eastAsia="Times New Roman"/>
          <w:b/>
          <w:bCs/>
        </w:rPr>
        <w:t>calibration</w:t>
      </w:r>
      <w:r>
        <w:rPr>
          <w:rFonts w:eastAsia="Times New Roman"/>
        </w:rPr>
        <w:t xml:space="preserve"> target, not a prediction: </w:t>
      </w:r>
      <w:proofErr w:type="spellStart"/>
      <w:r>
        <w:rPr>
          <w:rFonts w:ascii="Courier New" w:eastAsia="Courier New" w:hAnsi="Courier New" w:cs="Courier New"/>
        </w:rPr>
        <w:t>delta_ab</w:t>
      </w:r>
      <w:proofErr w:type="spellEnd"/>
      <w:r>
        <w:rPr>
          <w:rFonts w:eastAsia="Times New Roman"/>
        </w:rPr>
        <w:t xml:space="preserve"> was fitted to it. The amplification factor, by contrast, has no direct empirical counterpart and we do not present it as validated. The nearest clinical comparison is the spine-to-hip contrast, +15.1 % against +5.4 % at 24 months on the 210 mg monthly regimen [23], about threefold — but the total hip is a mixed cortical–trabecular site whereas our cortical compartment is a pure diaphysis, so a larger ratio is expected and the two numbers are not like for like. Building the compartment also forced a general constraint into the open: because the </w:t>
      </w:r>
      <w:proofErr w:type="spellStart"/>
      <w:r>
        <w:rPr>
          <w:rFonts w:eastAsia="Times New Roman"/>
        </w:rPr>
        <w:t>signalling</w:t>
      </w:r>
      <w:proofErr w:type="spellEnd"/>
      <w:r>
        <w:rPr>
          <w:rFonts w:eastAsia="Times New Roman"/>
        </w:rPr>
        <w:t xml:space="preserve"> chain is shared, both compartments must sit at the same emergent shear set point, which a vertebra at realistic load and bone volume fraction does not do at the same tissue strain. The </w:t>
      </w:r>
      <w:proofErr w:type="spellStart"/>
      <w:r>
        <w:rPr>
          <w:rFonts w:eastAsia="Times New Roman"/>
        </w:rPr>
        <w:t>poroelastic</w:t>
      </w:r>
      <w:proofErr w:type="spellEnd"/>
      <w:r>
        <w:rPr>
          <w:rFonts w:eastAsia="Times New Roman"/>
        </w:rPr>
        <w:t xml:space="preserve"> transfer coefficient must therefore differ between trabecular and </w:t>
      </w:r>
      <w:proofErr w:type="spellStart"/>
      <w:r>
        <w:rPr>
          <w:rFonts w:eastAsia="Times New Roman"/>
        </w:rPr>
        <w:t>osteonal</w:t>
      </w:r>
      <w:proofErr w:type="spellEnd"/>
      <w:r>
        <w:rPr>
          <w:rFonts w:eastAsia="Times New Roman"/>
        </w:rPr>
        <w:t xml:space="preserve"> bone — defensible, since it is a microstructural property, and set here by matching baseline shear rather than by fitting any outcome.</w:t>
      </w:r>
    </w:p>
    <w:p w14:paraId="19ACE536" w14:textId="77777777" w:rsidR="003407C0" w:rsidRDefault="00000000">
      <w:pPr>
        <w:spacing w:after="120" w:line="480" w:lineRule="auto"/>
      </w:pPr>
      <w:r>
        <w:rPr>
          <w:rFonts w:eastAsia="Times New Roman"/>
          <w:i/>
          <w:iCs/>
        </w:rPr>
        <w:lastRenderedPageBreak/>
        <w:t>Self-limitation.</w:t>
      </w:r>
      <w:r>
        <w:rPr>
          <w:rFonts w:eastAsia="Times New Roman"/>
        </w:rPr>
        <w:t xml:space="preserve"> The formation marker rises, peaks, and then declines while dosing continues (rise +0.421 in the first half of the course against −0.259 in the second), which is the shape the marker data show. The </w:t>
      </w:r>
      <w:r>
        <w:rPr>
          <w:rFonts w:eastAsia="Times New Roman"/>
          <w:b/>
          <w:bCs/>
        </w:rPr>
        <w:t>timing does not match</w:t>
      </w:r>
      <w:r>
        <w:rPr>
          <w:rFonts w:eastAsia="Times New Roman"/>
        </w:rPr>
        <w:t xml:space="preserve">: our marker peaks at about month 0.2 and reaches 3.169-fold baseline, whereas formation markers clinically peak near month 1 and decline towards baseline over 6–12 months. We reproduce the self-limitation but compress its onset. The mechanism is explicit: compensatory up-regulation of </w:t>
      </w:r>
      <w:r>
        <w:rPr>
          <w:rFonts w:eastAsia="Times New Roman"/>
          <w:i/>
          <w:iCs/>
        </w:rPr>
        <w:t>SOST</w:t>
      </w:r>
      <w:r>
        <w:rPr>
          <w:rFonts w:eastAsia="Times New Roman"/>
        </w:rPr>
        <w:t xml:space="preserve"> transcription accumulates under antibody exposure and progressively offsets it, so free sclerostin climbs back toward baseline by month 9 while treatment is still running.</w:t>
      </w:r>
    </w:p>
    <w:p w14:paraId="18E21379" w14:textId="77777777" w:rsidR="003407C0" w:rsidRDefault="00000000">
      <w:pPr>
        <w:spacing w:after="120" w:line="480" w:lineRule="auto"/>
      </w:pPr>
      <w:r>
        <w:rPr>
          <w:rFonts w:eastAsia="Times New Roman"/>
          <w:i/>
          <w:iCs/>
        </w:rPr>
        <w:t>Withdrawal.</w:t>
      </w:r>
      <w:r>
        <w:rPr>
          <w:rFonts w:eastAsia="Times New Roman"/>
        </w:rPr>
        <w:t xml:space="preserve"> That same compensation decays on its own clock rather than the antibody's, so when clearance stops the raised production does not, sclerostin overshoots, and resorption surges through the RANKL-dependent arm of sclerostin action [15]. We calibrated this mechanism against the post-withdrawal </w:t>
      </w:r>
      <w:r>
        <w:rPr>
          <w:rFonts w:eastAsia="Times New Roman"/>
          <w:b/>
          <w:bCs/>
        </w:rPr>
        <w:t>resorption marker</w:t>
      </w:r>
      <w:r>
        <w:rPr>
          <w:rFonts w:eastAsia="Times New Roman"/>
        </w:rPr>
        <w:t xml:space="preserve"> overshoot (1.124 × baseline, </w:t>
      </w:r>
      <w:r>
        <w:rPr>
          <w:rFonts w:eastAsia="Times New Roman"/>
          <w:b/>
          <w:bCs/>
        </w:rPr>
        <w:t>outside</w:t>
      </w:r>
      <w:r>
        <w:rPr>
          <w:rFonts w:eastAsia="Times New Roman"/>
        </w:rPr>
        <w:t xml:space="preserve"> the 1.2–1.4 range corresponding to the rise of β-CTX above baseline after transition to placebo [23] — see below), deliberately not against bone density — which leaves the density fall a blind prediction.</w:t>
      </w:r>
    </w:p>
    <w:p w14:paraId="3411CE0B" w14:textId="77777777" w:rsidR="003407C0" w:rsidRDefault="00000000">
      <w:pPr>
        <w:spacing w:after="120" w:line="480" w:lineRule="auto"/>
      </w:pPr>
      <w:r>
        <w:rPr>
          <w:rFonts w:eastAsia="Times New Roman"/>
        </w:rPr>
        <w:t xml:space="preserve">The bar we set for that prediction was </w:t>
      </w:r>
      <w:r>
        <w:rPr>
          <w:rFonts w:eastAsia="Times New Roman"/>
          <w:b/>
          <w:bCs/>
        </w:rPr>
        <w:t>direction only</w:t>
      </w:r>
      <w:r>
        <w:rPr>
          <w:rFonts w:eastAsia="Times New Roman"/>
        </w:rPr>
        <w:t xml:space="preserve">: bone density must fall over the washout. It does, by </w:t>
      </w:r>
      <w:r>
        <w:rPr>
          <w:rFonts w:eastAsia="Times New Roman"/>
          <w:b/>
          <w:bCs/>
        </w:rPr>
        <w:t>−8.70 %</w:t>
      </w:r>
      <w:r>
        <w:rPr>
          <w:rFonts w:eastAsia="Times New Roman"/>
        </w:rPr>
        <w:t xml:space="preserve"> over the 12 months after the last dose, and we state plainly that a directional bar is a weak one. Judged on magnitude rather than sign, this hold-out is now the closest it has been. The model gives back </w:t>
      </w:r>
      <w:r>
        <w:rPr>
          <w:rFonts w:eastAsia="Times New Roman"/>
          <w:b/>
          <w:bCs/>
        </w:rPr>
        <w:t>78.5 %</w:t>
      </w:r>
      <w:r>
        <w:rPr>
          <w:rFonts w:eastAsia="Times New Roman"/>
        </w:rPr>
        <w:t xml:space="preserve"> of the treatment gain and finishes </w:t>
      </w:r>
      <w:r>
        <w:rPr>
          <w:rFonts w:eastAsia="Times New Roman"/>
          <w:b/>
          <w:bCs/>
        </w:rPr>
        <w:t>2.68 % above</w:t>
      </w:r>
      <w:r>
        <w:rPr>
          <w:rFonts w:eastAsia="Times New Roman"/>
        </w:rPr>
        <w:t xml:space="preserve"> pre-treatment baseline at 24 months, against the observation that bone density "returned toward pretreatment levels" on placebo [23] — toward baseline, not through it, which is what the model now does. We note that this improved when the osteocyte turnover constant was corrected and no drug parameter was touched: before that correction the same run overshot, finishing 0.75 % </w:t>
      </w:r>
      <w:r>
        <w:rPr>
          <w:rFonts w:eastAsia="Times New Roman"/>
          <w:i/>
          <w:iCs/>
        </w:rPr>
        <w:t>below</w:t>
      </w:r>
      <w:r>
        <w:rPr>
          <w:rFonts w:eastAsia="Times New Roman"/>
        </w:rPr>
        <w:t xml:space="preserve"> baseline. A hold-out moving toward the data under a change made for an unrelated reason </w:t>
      </w:r>
      <w:r>
        <w:rPr>
          <w:rFonts w:eastAsia="Times New Roman"/>
        </w:rPr>
        <w:lastRenderedPageBreak/>
        <w:t>is the kind of evidence we weight most heavily, and we flag equally that the remaining discrepancy runs the other way — real washout is slower than a step function, because the antibody has a pharmacokinetic profile the model does not.</w:t>
      </w:r>
    </w:p>
    <w:p w14:paraId="2A1A419B" w14:textId="77777777" w:rsidR="003407C0" w:rsidRDefault="00000000">
      <w:pPr>
        <w:spacing w:after="120" w:line="480" w:lineRule="auto"/>
      </w:pPr>
      <w:r>
        <w:rPr>
          <w:rFonts w:eastAsia="Times New Roman"/>
        </w:rPr>
        <w:t xml:space="preserve">The resorption-marker target itself is </w:t>
      </w:r>
      <w:r>
        <w:rPr>
          <w:rFonts w:eastAsia="Times New Roman"/>
          <w:b/>
          <w:bCs/>
        </w:rPr>
        <w:t>missed</w:t>
      </w:r>
      <w:r>
        <w:rPr>
          <w:rFonts w:eastAsia="Times New Roman"/>
        </w:rPr>
        <w:t xml:space="preserve">, at 1.124 against a band of 1.2–1.4 — but we must qualify what that means, because the band is ours rather than the </w:t>
      </w:r>
      <w:proofErr w:type="gramStart"/>
      <w:r>
        <w:rPr>
          <w:rFonts w:eastAsia="Times New Roman"/>
        </w:rPr>
        <w:t>literature's</w:t>
      </w:r>
      <w:proofErr w:type="gramEnd"/>
      <w:r>
        <w:rPr>
          <w:rFonts w:eastAsia="Times New Roman"/>
        </w:rPr>
        <w:t xml:space="preserve">. McClung and colleagues report only that β-CTX "increased above baseline" after transition to placebo [23], a direction with no magnitude, and the FRAME trial cannot supply one because its patients transitioned to denosumab rather than placebo [14]. The sourced content of this target is therefore ratio &gt; 1, which the model meets. What follows concerns the band we set ourselves, and we still report the shortfall because the underlying conflict is real regardless of where the band sits. Rebuilding the systemic calcium module (see Limitations) made skeletal calcium flux large enough to move the parathyroid, and that creates a conflict: the same PTH→RANKL gain that lets dietary calcium protect bone — which target V7 requires to be strong — also lets the calcium flood released after withdrawal suppress PTH and damp the very resorption overshoot V16 is measuring. Across the admissible range of that gain, V7 needs it high and V16 needs it low, and no value satisfies both. We chose the midpoint, and both targets now sit outside their bands — V7 short by 0.037 against a tolerance of 0.8, V16 short by 0.076 against a tolerance of 0.15. That both fall on the same side is worth stating: the conflict is not a trade we won on one side, it is a constraint neither side satisfies. The decoupled module we used previously could not have exposed this conflict, because in </w:t>
      </w:r>
      <w:proofErr w:type="gramStart"/>
      <w:r>
        <w:rPr>
          <w:rFonts w:eastAsia="Times New Roman"/>
        </w:rPr>
        <w:t>it</w:t>
      </w:r>
      <w:proofErr w:type="gramEnd"/>
      <w:r>
        <w:rPr>
          <w:rFonts w:eastAsia="Times New Roman"/>
        </w:rPr>
        <w:t xml:space="preserve"> bone could not move serum calcium at all.</w:t>
      </w:r>
    </w:p>
    <w:p w14:paraId="4C53A755" w14:textId="77777777" w:rsidR="003407C0" w:rsidRDefault="00000000">
      <w:pPr>
        <w:spacing w:after="120" w:line="480" w:lineRule="auto"/>
      </w:pPr>
      <w:r>
        <w:rPr>
          <w:rFonts w:eastAsia="Times New Roman"/>
          <w:i/>
          <w:iCs/>
        </w:rPr>
        <w:t>Interaction.</w:t>
      </w:r>
      <w:r>
        <w:rPr>
          <w:rFonts w:eastAsia="Times New Roman"/>
        </w:rPr>
        <w:t xml:space="preserve"> Loading combined with the antibody gives +2.826 % at 12 months against +2.334 % and +0.765 % alone: positive and larger than either, but </w:t>
      </w:r>
      <w:r>
        <w:rPr>
          <w:rFonts w:eastAsia="Times New Roman"/>
          <w:b/>
          <w:bCs/>
        </w:rPr>
        <w:t>8.8 % sub-additive</w:t>
      </w:r>
      <w:r>
        <w:rPr>
          <w:rFonts w:eastAsia="Times New Roman"/>
        </w:rPr>
        <w:t>, because both act through the same sclerostin–</w:t>
      </w:r>
      <w:proofErr w:type="spellStart"/>
      <w:r>
        <w:rPr>
          <w:rFonts w:eastAsia="Times New Roman"/>
        </w:rPr>
        <w:t>Wnt</w:t>
      </w:r>
      <w:proofErr w:type="spellEnd"/>
      <w:r>
        <w:rPr>
          <w:rFonts w:eastAsia="Times New Roman"/>
        </w:rPr>
        <w:t xml:space="preserve"> node and partly compete for it. Schulte and colleagues [13] </w:t>
      </w:r>
      <w:r>
        <w:rPr>
          <w:rFonts w:eastAsia="Times New Roman"/>
        </w:rPr>
        <w:lastRenderedPageBreak/>
        <w:t xml:space="preserve">report loading to be additive and synergistic with anabolic agents and not with </w:t>
      </w:r>
      <w:proofErr w:type="spellStart"/>
      <w:r>
        <w:rPr>
          <w:rFonts w:eastAsia="Times New Roman"/>
        </w:rPr>
        <w:t>antiresorptives</w:t>
      </w:r>
      <w:proofErr w:type="spellEnd"/>
      <w:r>
        <w:rPr>
          <w:rFonts w:eastAsia="Times New Roman"/>
        </w:rPr>
        <w:t xml:space="preserve">. Our qualitative direction agrees for the anabolic arm; our strict additivity does not. </w:t>
      </w:r>
      <w:r>
        <w:rPr>
          <w:rFonts w:eastAsia="Times New Roman"/>
          <w:b/>
          <w:bCs/>
        </w:rPr>
        <w:t>The antiresorptive half of that contrast is untested here</w:t>
      </w:r>
      <w:r>
        <w:rPr>
          <w:rFonts w:eastAsia="Times New Roman"/>
        </w:rPr>
        <w:t>: the model carries no bisphosphonate mechanism, so we make no claim about it.</w:t>
      </w:r>
    </w:p>
    <w:p w14:paraId="4047416B" w14:textId="77777777" w:rsidR="003407C0" w:rsidRDefault="00000000">
      <w:pPr>
        <w:pStyle w:val="2"/>
        <w:spacing w:before="240" w:after="120" w:line="360" w:lineRule="auto"/>
      </w:pPr>
      <w:r>
        <w:rPr>
          <w:rFonts w:eastAsia="Times New Roman"/>
          <w:b/>
          <w:bCs/>
          <w:i/>
          <w:iCs/>
          <w:sz w:val="24"/>
          <w:szCs w:val="24"/>
        </w:rPr>
        <w:t>Four targets we had specified but never run</w:t>
      </w:r>
    </w:p>
    <w:p w14:paraId="08A58209" w14:textId="77777777" w:rsidR="003407C0" w:rsidRDefault="00000000">
      <w:pPr>
        <w:spacing w:after="120" w:line="480" w:lineRule="auto"/>
      </w:pPr>
      <w:r>
        <w:rPr>
          <w:rFonts w:eastAsia="Times New Roman"/>
        </w:rPr>
        <w:t xml:space="preserve">Preparing this report we found that four of the twenty targets registered in </w:t>
      </w:r>
      <w:r>
        <w:rPr>
          <w:rFonts w:eastAsia="Times New Roman"/>
          <w:b/>
          <w:bCs/>
        </w:rPr>
        <w:t>S2 Table</w:t>
      </w:r>
      <w:r>
        <w:rPr>
          <w:rFonts w:eastAsia="Times New Roman"/>
        </w:rPr>
        <w:t xml:space="preserve"> — the Mendelian-</w:t>
      </w:r>
      <w:proofErr w:type="spellStart"/>
      <w:r>
        <w:rPr>
          <w:rFonts w:eastAsia="Times New Roman"/>
        </w:rPr>
        <w:t>randomisation</w:t>
      </w:r>
      <w:proofErr w:type="spellEnd"/>
      <w:r>
        <w:rPr>
          <w:rFonts w:eastAsia="Times New Roman"/>
        </w:rPr>
        <w:t xml:space="preserve"> constraint on serum calcium (V7b), the loss–recovery asymmetry (V11), the dual action of sclerostin on resorption (V13), and the geometry of the postmenopausal cortex (V15) — had mechanisms built for them, and commented in the source as existing for them, but had never been evaluated by any experiment. We ran them. One passes and three do not, and we report all four, because a validation table listing targets nobody checked is worse than a shorter table.</w:t>
      </w:r>
    </w:p>
    <w:p w14:paraId="507A56C7" w14:textId="77777777" w:rsidR="003407C0" w:rsidRDefault="00000000">
      <w:pPr>
        <w:spacing w:after="120" w:line="480" w:lineRule="auto"/>
      </w:pPr>
      <w:r>
        <w:rPr>
          <w:rFonts w:eastAsia="Times New Roman"/>
          <w:i/>
          <w:iCs/>
        </w:rPr>
        <w:t>The loss–recovery asymmetry (V11) passes, and comfortably.</w:t>
      </w:r>
      <w:r>
        <w:rPr>
          <w:rFonts w:eastAsia="Times New Roman"/>
        </w:rPr>
        <w:t xml:space="preserve"> After 180 days of unloading, half the lost bone mineral content accrues in 140 days but takes 2014 days to win back once loading resumes — a ratio of 14.4 against a target of 3 — and ten years of </w:t>
      </w:r>
      <w:proofErr w:type="spellStart"/>
      <w:r>
        <w:rPr>
          <w:rFonts w:eastAsia="Times New Roman"/>
        </w:rPr>
        <w:t>reambulation</w:t>
      </w:r>
      <w:proofErr w:type="spellEnd"/>
      <w:r>
        <w:rPr>
          <w:rFonts w:eastAsia="Times New Roman"/>
        </w:rPr>
        <w:t xml:space="preserve"> recovers all of it and then some, ending 146.5 % of the loss recovered. This is a </w:t>
      </w:r>
      <w:r>
        <w:rPr>
          <w:rFonts w:eastAsia="Times New Roman"/>
          <w:b/>
          <w:bCs/>
        </w:rPr>
        <w:t>rate</w:t>
      </w:r>
      <w:r>
        <w:rPr>
          <w:rFonts w:eastAsia="Times New Roman"/>
        </w:rPr>
        <w:t xml:space="preserve"> asymmetry and not </w:t>
      </w:r>
      <w:proofErr w:type="spellStart"/>
      <w:r>
        <w:rPr>
          <w:rFonts w:eastAsia="Times New Roman"/>
        </w:rPr>
        <w:t>bistability</w:t>
      </w:r>
      <w:proofErr w:type="spellEnd"/>
      <w:r>
        <w:rPr>
          <w:rFonts w:eastAsia="Times New Roman"/>
        </w:rPr>
        <w:t>: recovery is monotone and still proceeding, which is consistent with, not in tension with, the falsification of P3 below.</w:t>
      </w:r>
    </w:p>
    <w:p w14:paraId="00600363" w14:textId="77777777" w:rsidR="003407C0" w:rsidRDefault="00000000">
      <w:pPr>
        <w:spacing w:after="120" w:line="480" w:lineRule="auto"/>
      </w:pPr>
      <w:r>
        <w:rPr>
          <w:rFonts w:eastAsia="Times New Roman"/>
          <w:i/>
          <w:iCs/>
        </w:rPr>
        <w:t>The Mendelian-</w:t>
      </w:r>
      <w:proofErr w:type="spellStart"/>
      <w:r>
        <w:rPr>
          <w:rFonts w:eastAsia="Times New Roman"/>
          <w:i/>
          <w:iCs/>
        </w:rPr>
        <w:t>randomisation</w:t>
      </w:r>
      <w:proofErr w:type="spellEnd"/>
      <w:r>
        <w:rPr>
          <w:rFonts w:eastAsia="Times New Roman"/>
          <w:i/>
          <w:iCs/>
        </w:rPr>
        <w:t xml:space="preserve"> constraint (V7b) fails on sign.</w:t>
      </w:r>
      <w:r>
        <w:rPr>
          <w:rFonts w:eastAsia="Times New Roman"/>
        </w:rPr>
        <w:t xml:space="preserve"> Clamping serum calcium 2 % above baseline at fixed intake raises 24-month areal density by +0.668 %, where the human genetic evidence requires no increase. The magnitude is an order of magnitude below the loading response, so P1's permissive-versus-instructive contrast survives; the sign does not. The same run exposed a defect no target had been written to catch, and it was serious enough that we </w:t>
      </w:r>
      <w:r>
        <w:rPr>
          <w:rFonts w:eastAsia="Times New Roman"/>
        </w:rPr>
        <w:lastRenderedPageBreak/>
        <w:t xml:space="preserve">rebuilt the module rather than report around it. Across 400 to 1500 mg/day of intake, serum </w:t>
      </w:r>
      <w:proofErr w:type="spellStart"/>
      <w:r>
        <w:rPr>
          <w:rFonts w:eastAsia="Times New Roman"/>
        </w:rPr>
        <w:t>ionised</w:t>
      </w:r>
      <w:proofErr w:type="spellEnd"/>
      <w:r>
        <w:rPr>
          <w:rFonts w:eastAsia="Times New Roman"/>
        </w:rPr>
        <w:t xml:space="preserve"> calcium in the model moved by 15 %, where physiology defends it within about 2 %: the transcellular absorption arm had been written as a fraction rather than a flux and so contributed under 0.1 % of absorption, leaving the unregulated paracellular route to dominate, and renal excretion was a bare power law rather than the saturable tubular reabsorption it had been specified as. Our regression suite missed it because the test guarding it was written as a runaway check with a 15 % bar and was thereafter read as a homeostasis check. After rebuilding both </w:t>
      </w:r>
      <w:proofErr w:type="gramStart"/>
      <w:r>
        <w:rPr>
          <w:rFonts w:eastAsia="Times New Roman"/>
        </w:rPr>
        <w:t>arms</w:t>
      </w:r>
      <w:proofErr w:type="gramEnd"/>
      <w:r>
        <w:rPr>
          <w:rFonts w:eastAsia="Times New Roman"/>
        </w:rPr>
        <w:t xml:space="preserve"> the excursion is </w:t>
      </w:r>
      <w:r>
        <w:rPr>
          <w:rFonts w:eastAsia="Times New Roman"/>
          <w:b/>
          <w:bCs/>
        </w:rPr>
        <w:t>1.6 %</w:t>
      </w:r>
      <w:r>
        <w:rPr>
          <w:rFonts w:eastAsia="Times New Roman"/>
        </w:rPr>
        <w:t>, and the V7b sign failure above is measured on the repaired module. The episode is why we now report V7's effect size as sitting at the low edge of the meta-analytic band rather than comfortably inside it: the earlier, larger value was riding on a serum-calcium swing that cannot occur.</w:t>
      </w:r>
    </w:p>
    <w:p w14:paraId="7E6EA070" w14:textId="77777777" w:rsidR="003407C0" w:rsidRDefault="00000000">
      <w:pPr>
        <w:spacing w:after="120" w:line="480" w:lineRule="auto"/>
      </w:pPr>
      <w:r>
        <w:rPr>
          <w:rFonts w:eastAsia="Times New Roman"/>
          <w:i/>
          <w:iCs/>
        </w:rPr>
        <w:t>The dual action of sclerostin (V13) is right in direction and short in magnitude.</w:t>
      </w:r>
      <w:r>
        <w:rPr>
          <w:rFonts w:eastAsia="Times New Roman"/>
        </w:rPr>
        <w:t xml:space="preserve"> Over a twelve-fold sclerostin sweep, RANKL rises (1.00 to 1.29) and OPG falls (1.00 to 0.44) as required, and the RANKL:OPG ratio therefore rises </w:t>
      </w:r>
      <w:r>
        <w:rPr>
          <w:rFonts w:eastAsia="Times New Roman"/>
          <w:b/>
          <w:bCs/>
        </w:rPr>
        <w:t>2.9-fold</w:t>
      </w:r>
      <w:r>
        <w:rPr>
          <w:rFonts w:eastAsia="Times New Roman"/>
        </w:rPr>
        <w:t>, which is the quantity the source reports rising dose-dependently [15].</w:t>
      </w:r>
    </w:p>
    <w:p w14:paraId="750DE0B9" w14:textId="77777777" w:rsidR="003407C0" w:rsidRDefault="00000000">
      <w:pPr>
        <w:spacing w:after="120" w:line="480" w:lineRule="auto"/>
      </w:pPr>
      <w:r>
        <w:rPr>
          <w:rFonts w:eastAsia="Times New Roman"/>
        </w:rPr>
        <w:t xml:space="preserve">We had originally scored this target against the roughly 7-fold figure in the same paper and recorded it as a failure. Reading the full text shows that was our error, not the model's: the 7-fold is osteoclastic </w:t>
      </w:r>
      <w:r>
        <w:rPr>
          <w:rFonts w:eastAsia="Times New Roman"/>
          <w:b/>
          <w:bCs/>
        </w:rPr>
        <w:t>resorption</w:t>
      </w:r>
      <w:r>
        <w:rPr>
          <w:rFonts w:eastAsia="Times New Roman"/>
        </w:rPr>
        <w:t xml:space="preserve"> — pit area in a 14-day osteocyte–splenocyte co-culture at 100 ng/ml recombinant sclerostin — and not the instantaneous activation term we were comparing it against. It is the same </w:t>
      </w:r>
      <w:proofErr w:type="gramStart"/>
      <w:r>
        <w:rPr>
          <w:rFonts w:eastAsia="Times New Roman"/>
        </w:rPr>
        <w:t>wrong-contrast</w:t>
      </w:r>
      <w:proofErr w:type="gramEnd"/>
      <w:r>
        <w:rPr>
          <w:rFonts w:eastAsia="Times New Roman"/>
        </w:rPr>
        <w:t xml:space="preserve"> mistake this section exists to expose, committed by us. The activation term does carry a hard ceiling of 1.42-fold, because its Hill constant sits below baseline sclerostin, but that ceiling answers a question the source never asked. Scoring V13 properly means running the co-culture's downstream resorption output, which we have not done.</w:t>
      </w:r>
    </w:p>
    <w:p w14:paraId="307300FC" w14:textId="77777777" w:rsidR="003407C0" w:rsidRDefault="00000000">
      <w:pPr>
        <w:spacing w:after="120" w:line="480" w:lineRule="auto"/>
      </w:pPr>
      <w:r>
        <w:rPr>
          <w:rFonts w:eastAsia="Times New Roman"/>
          <w:i/>
          <w:iCs/>
        </w:rPr>
        <w:lastRenderedPageBreak/>
        <w:t>The postmenopausal geometry (V15) fails on its second half, and the way it fails is instructive.</w:t>
      </w:r>
      <w:r>
        <w:rPr>
          <w:rFonts w:eastAsia="Times New Roman"/>
        </w:rPr>
        <w:t xml:space="preserve"> At severely reduced </w:t>
      </w:r>
      <w:proofErr w:type="spellStart"/>
      <w:r>
        <w:rPr>
          <w:rFonts w:eastAsia="Times New Roman"/>
        </w:rPr>
        <w:t>oestrogen</w:t>
      </w:r>
      <w:proofErr w:type="spellEnd"/>
      <w:r>
        <w:rPr>
          <w:rFonts w:eastAsia="Times New Roman"/>
        </w:rPr>
        <w:t xml:space="preserve"> the endocortical radius expands (+0.0752 mm) and the cortex thins (−0.0773 mm) as required, but the periosteal radius drifts very slightly </w:t>
      </w:r>
      <w:r>
        <w:rPr>
          <w:rFonts w:eastAsia="Times New Roman"/>
          <w:b/>
          <w:bCs/>
        </w:rPr>
        <w:t>inward</w:t>
      </w:r>
      <w:r>
        <w:rPr>
          <w:rFonts w:eastAsia="Times New Roman"/>
        </w:rPr>
        <w:t xml:space="preserve"> (−0.0021 mm) rather than outward, so the model does not reproduce the widening that accompanies postmenopausal thinning. A ten-year run appears to pass this target spectacularly, with 4.62 mm of periosteal expansion — but it leaves the linear-elastic domain on day </w:t>
      </w:r>
      <w:proofErr w:type="gramStart"/>
      <w:r>
        <w:rPr>
          <w:rFonts w:eastAsia="Times New Roman"/>
        </w:rPr>
        <w:t>511, and</w:t>
      </w:r>
      <w:proofErr w:type="gramEnd"/>
      <w:r>
        <w:rPr>
          <w:rFonts w:eastAsia="Times New Roman"/>
        </w:rPr>
        <w:t xml:space="preserve"> is the same class of artefact that the modelling saturation bound was introduced to remove. Read inside the valid domain, the target fails.</w:t>
      </w:r>
    </w:p>
    <w:p w14:paraId="46F98D0D" w14:textId="77777777" w:rsidR="003407C0" w:rsidRDefault="00000000">
      <w:pPr>
        <w:pStyle w:val="2"/>
        <w:spacing w:before="240" w:after="120" w:line="360" w:lineRule="auto"/>
      </w:pPr>
      <w:r>
        <w:rPr>
          <w:rFonts w:eastAsia="Times New Roman"/>
          <w:b/>
          <w:bCs/>
          <w:i/>
          <w:iCs/>
          <w:sz w:val="24"/>
          <w:szCs w:val="24"/>
        </w:rPr>
        <w:t>P3 is falsified: the model is monostable</w:t>
      </w:r>
    </w:p>
    <w:p w14:paraId="6EA50CD4" w14:textId="77777777" w:rsidR="003407C0" w:rsidRDefault="00000000">
      <w:pPr>
        <w:spacing w:after="120" w:line="480" w:lineRule="auto"/>
      </w:pPr>
      <w:r>
        <w:rPr>
          <w:rFonts w:eastAsia="Times New Roman"/>
        </w:rPr>
        <w:t xml:space="preserve">P3 held that osteoporosis is an </w:t>
      </w:r>
      <w:r>
        <w:rPr>
          <w:rFonts w:eastAsia="Times New Roman"/>
          <w:b/>
          <w:bCs/>
        </w:rPr>
        <w:t>alternative stable state</w:t>
      </w:r>
      <w:r>
        <w:rPr>
          <w:rFonts w:eastAsia="Times New Roman"/>
        </w:rPr>
        <w:t xml:space="preserve">: that past some critical loss of </w:t>
      </w:r>
      <w:proofErr w:type="spellStart"/>
      <w:r>
        <w:rPr>
          <w:rFonts w:eastAsia="Times New Roman"/>
        </w:rPr>
        <w:t>oestrogen</w:t>
      </w:r>
      <w:proofErr w:type="spellEnd"/>
      <w:r>
        <w:rPr>
          <w:rFonts w:eastAsia="Times New Roman"/>
        </w:rPr>
        <w:t xml:space="preserve"> the skeleton settles into a second, self-sustaining low-bone-mass equilibrium, and that removing the original insult does not bring it back. That is what a saddle-node bifurcation produces, and it is an attractive account of the clinical asymmetry between rapid loss and slow, incomplete regain. Two positive </w:t>
      </w:r>
      <w:proofErr w:type="gramStart"/>
      <w:r>
        <w:rPr>
          <w:rFonts w:eastAsia="Times New Roman"/>
        </w:rPr>
        <w:t>feedbacks</w:t>
      </w:r>
      <w:proofErr w:type="gramEnd"/>
      <w:r>
        <w:rPr>
          <w:rFonts w:eastAsia="Times New Roman"/>
        </w:rPr>
        <w:t xml:space="preserve"> were built into the model specifically because they could generate it: </w:t>
      </w:r>
      <w:proofErr w:type="spellStart"/>
      <w:r>
        <w:rPr>
          <w:rFonts w:eastAsia="Times New Roman"/>
        </w:rPr>
        <w:t>remodelling</w:t>
      </w:r>
      <w:proofErr w:type="spellEnd"/>
      <w:r>
        <w:rPr>
          <w:rFonts w:eastAsia="Times New Roman"/>
        </w:rPr>
        <w:t xml:space="preserve"> surface is lost as bone disappears, and sensing capacity is lost as osteocytes die.</w:t>
      </w:r>
    </w:p>
    <w:p w14:paraId="4CEA0A70" w14:textId="77777777" w:rsidR="003407C0" w:rsidRDefault="00000000">
      <w:pPr>
        <w:spacing w:after="120" w:line="480" w:lineRule="auto"/>
      </w:pPr>
      <w:r>
        <w:rPr>
          <w:rFonts w:eastAsia="Times New Roman"/>
        </w:rPr>
        <w:t xml:space="preserve">Confirmation would have required three things: two stable equilibria coexisting at the same </w:t>
      </w:r>
      <w:proofErr w:type="spellStart"/>
      <w:r>
        <w:rPr>
          <w:rFonts w:eastAsia="Times New Roman"/>
        </w:rPr>
        <w:t>oestrogen</w:t>
      </w:r>
      <w:proofErr w:type="spellEnd"/>
      <w:r>
        <w:rPr>
          <w:rFonts w:eastAsia="Times New Roman"/>
        </w:rPr>
        <w:t xml:space="preserve"> level, a fold at which one of them vanishes, and hysteresis — a path down that the system cannot retrace on the way back up. We find none of the three (</w:t>
      </w:r>
      <w:r>
        <w:rPr>
          <w:rFonts w:eastAsia="Times New Roman"/>
          <w:b/>
          <w:bCs/>
        </w:rPr>
        <w:t>Fig 7</w:t>
      </w:r>
      <w:r>
        <w:rPr>
          <w:rFonts w:eastAsia="Times New Roman"/>
        </w:rPr>
        <w:t>).</w:t>
      </w:r>
    </w:p>
    <w:p w14:paraId="499F5A68" w14:textId="77777777" w:rsidR="003407C0" w:rsidRDefault="00000000">
      <w:pPr>
        <w:spacing w:after="120" w:line="480" w:lineRule="auto"/>
      </w:pPr>
      <w:r>
        <w:rPr>
          <w:rFonts w:eastAsia="Times New Roman"/>
          <w:b/>
          <w:bCs/>
        </w:rPr>
        <w:t>Fig 7. Osteoporosis is a steep continuous shift, not a second stable state (P3).</w:t>
      </w:r>
    </w:p>
    <w:p w14:paraId="015C1AF5" w14:textId="77777777" w:rsidR="003407C0" w:rsidRDefault="00000000">
      <w:pPr>
        <w:spacing w:after="120" w:line="480" w:lineRule="auto"/>
      </w:pPr>
      <w:r>
        <w:rPr>
          <w:rFonts w:eastAsia="Times New Roman"/>
        </w:rPr>
        <w:t xml:space="preserve">(A) The </w:t>
      </w:r>
      <w:proofErr w:type="spellStart"/>
      <w:r>
        <w:rPr>
          <w:rFonts w:eastAsia="Times New Roman"/>
        </w:rPr>
        <w:t>oestrogen</w:t>
      </w:r>
      <w:proofErr w:type="spellEnd"/>
      <w:r>
        <w:rPr>
          <w:rFonts w:eastAsia="Times New Roman"/>
        </w:rPr>
        <w:t xml:space="preserve"> continuation with envelope geometry frozen: a single branch throughout, sliding steeply but continuously, with no fold. Shading marks bone volume fractions below the </w:t>
      </w:r>
      <w:r>
        <w:rPr>
          <w:rFonts w:eastAsia="Times New Roman"/>
        </w:rPr>
        <w:lastRenderedPageBreak/>
        <w:t xml:space="preserve">linear-elastic validity floor, where the branch is extrapolation. (B) The independent full-model probe with geometry free: driving </w:t>
      </w:r>
      <w:proofErr w:type="spellStart"/>
      <w:r>
        <w:rPr>
          <w:rFonts w:eastAsia="Times New Roman"/>
        </w:rPr>
        <w:t>oestrogen</w:t>
      </w:r>
      <w:proofErr w:type="spellEnd"/>
      <w:r>
        <w:rPr>
          <w:rFonts w:eastAsia="Times New Roman"/>
        </w:rPr>
        <w:t xml:space="preserve"> down and restoring it recovers 100.3 % of baseline with no hysteresis.</w:t>
      </w:r>
    </w:p>
    <w:p w14:paraId="4582CDF2" w14:textId="77777777" w:rsidR="003407C0" w:rsidRDefault="00000000">
      <w:pPr>
        <w:spacing w:after="120" w:line="480" w:lineRule="auto"/>
      </w:pPr>
      <w:r>
        <w:rPr>
          <w:rFonts w:eastAsia="Times New Roman"/>
        </w:rPr>
        <w:t xml:space="preserve">Freezing the </w:t>
      </w:r>
      <w:proofErr w:type="gramStart"/>
      <w:r>
        <w:rPr>
          <w:rFonts w:eastAsia="Times New Roman"/>
        </w:rPr>
        <w:t>slowly-evolving</w:t>
      </w:r>
      <w:proofErr w:type="gramEnd"/>
      <w:r>
        <w:rPr>
          <w:rFonts w:eastAsia="Times New Roman"/>
        </w:rPr>
        <w:t xml:space="preserve"> envelope geometry to isolate porosity </w:t>
      </w:r>
      <w:proofErr w:type="gramStart"/>
      <w:r>
        <w:rPr>
          <w:rFonts w:eastAsia="Times New Roman"/>
        </w:rPr>
        <w:t>dynamics, and</w:t>
      </w:r>
      <w:proofErr w:type="gramEnd"/>
      <w:r>
        <w:rPr>
          <w:rFonts w:eastAsia="Times New Roman"/>
        </w:rPr>
        <w:t xml:space="preserve"> counting zeros of the bone-volume-fraction nullcline as </w:t>
      </w:r>
      <w:proofErr w:type="spellStart"/>
      <w:r>
        <w:rPr>
          <w:rFonts w:eastAsia="Times New Roman"/>
        </w:rPr>
        <w:t>oestrogen</w:t>
      </w:r>
      <w:proofErr w:type="spellEnd"/>
      <w:r>
        <w:rPr>
          <w:rFonts w:eastAsia="Times New Roman"/>
        </w:rPr>
        <w:t xml:space="preserve"> falls, gives </w:t>
      </w:r>
      <w:r>
        <w:rPr>
          <w:rFonts w:eastAsia="Times New Roman"/>
          <w:b/>
          <w:bCs/>
        </w:rPr>
        <w:t>one</w:t>
      </w:r>
      <w:r>
        <w:rPr>
          <w:rFonts w:eastAsia="Times New Roman"/>
        </w:rPr>
        <w:t xml:space="preserve"> fixed point throughout. It slides continuously and gently from </w:t>
      </w:r>
      <w:proofErr w:type="spellStart"/>
      <w:r>
        <w:rPr>
          <w:rFonts w:eastAsia="Times New Roman"/>
        </w:rPr>
        <w:t>f_bm</w:t>
      </w:r>
      <w:proofErr w:type="spellEnd"/>
      <w:r>
        <w:rPr>
          <w:rFonts w:eastAsia="Times New Roman"/>
        </w:rPr>
        <w:t xml:space="preserve">* = 0.078 at full </w:t>
      </w:r>
      <w:proofErr w:type="spellStart"/>
      <w:r>
        <w:rPr>
          <w:rFonts w:eastAsia="Times New Roman"/>
        </w:rPr>
        <w:t>oestrogen</w:t>
      </w:r>
      <w:proofErr w:type="spellEnd"/>
      <w:r>
        <w:rPr>
          <w:rFonts w:eastAsia="Times New Roman"/>
        </w:rPr>
        <w:t xml:space="preserve"> to 0.059 at E₂ = 0.65, with no fold anywhere along the path. </w:t>
      </w:r>
      <w:proofErr w:type="spellStart"/>
      <w:r>
        <w:rPr>
          <w:rFonts w:eastAsia="Times New Roman"/>
        </w:rPr>
        <w:t>Mechanosensitivity</w:t>
      </w:r>
      <w:proofErr w:type="spellEnd"/>
      <w:r>
        <w:rPr>
          <w:rFonts w:eastAsia="Times New Roman"/>
        </w:rPr>
        <w:t xml:space="preserve"> and basal sclerostin secretion give the same answer, as does scanning the strength of the osteocyte-density positive feedback. There is no fold, no </w:t>
      </w:r>
      <w:proofErr w:type="spellStart"/>
      <w:r>
        <w:rPr>
          <w:rFonts w:eastAsia="Times New Roman"/>
        </w:rPr>
        <w:t>bistability</w:t>
      </w:r>
      <w:proofErr w:type="spellEnd"/>
      <w:r>
        <w:rPr>
          <w:rFonts w:eastAsia="Times New Roman"/>
        </w:rPr>
        <w:t xml:space="preserve"> and no hysteresis.</w:t>
      </w:r>
    </w:p>
    <w:p w14:paraId="46238572" w14:textId="77777777" w:rsidR="003407C0" w:rsidRDefault="00000000">
      <w:pPr>
        <w:spacing w:after="120" w:line="480" w:lineRule="auto"/>
      </w:pPr>
      <w:r>
        <w:rPr>
          <w:rFonts w:eastAsia="Times New Roman"/>
        </w:rPr>
        <w:t xml:space="preserve">One caveat belongs with that result rather than after it. With the envelope frozen, the fixed point this construction finds lies </w:t>
      </w:r>
      <w:r>
        <w:rPr>
          <w:rFonts w:eastAsia="Times New Roman"/>
          <w:b/>
          <w:bCs/>
        </w:rPr>
        <w:t>below the linear-elastic floor</w:t>
      </w:r>
      <w:r>
        <w:rPr>
          <w:rFonts w:eastAsia="Times New Roman"/>
        </w:rPr>
        <w:t xml:space="preserve"> (bone volume fraction 0.468) at every </w:t>
      </w:r>
      <w:proofErr w:type="spellStart"/>
      <w:r>
        <w:rPr>
          <w:rFonts w:eastAsia="Times New Roman"/>
        </w:rPr>
        <w:t>oestrogen</w:t>
      </w:r>
      <w:proofErr w:type="spellEnd"/>
      <w:r>
        <w:rPr>
          <w:rFonts w:eastAsia="Times New Roman"/>
        </w:rPr>
        <w:t xml:space="preserve"> level, so it is a fixed point of the porosity dynamics but not a state the mechanics stack is entitled to describe. It can support the negative claim — no fold is found — and not a positive one about where the skeleton would settle. The weight therefore falls on the second route below, which stays inside the valid domain end to end. We note that this construction's numbers moved substantially when the osteocyte turnover constant was corrected, while its verdict did not.</w:t>
      </w:r>
    </w:p>
    <w:p w14:paraId="5BC3451F" w14:textId="77777777" w:rsidR="003407C0" w:rsidRDefault="00000000">
      <w:pPr>
        <w:spacing w:after="120" w:line="480" w:lineRule="auto"/>
      </w:pPr>
      <w:r>
        <w:rPr>
          <w:rFonts w:eastAsia="Times New Roman"/>
        </w:rPr>
        <w:t xml:space="preserve">A second, independent route agrees. Driving </w:t>
      </w:r>
      <w:proofErr w:type="spellStart"/>
      <w:r>
        <w:rPr>
          <w:rFonts w:eastAsia="Times New Roman"/>
        </w:rPr>
        <w:t>oestrogen</w:t>
      </w:r>
      <w:proofErr w:type="spellEnd"/>
      <w:r>
        <w:rPr>
          <w:rFonts w:eastAsia="Times New Roman"/>
        </w:rPr>
        <w:t xml:space="preserve"> down and then restoring it in the </w:t>
      </w:r>
      <w:r>
        <w:rPr>
          <w:rFonts w:eastAsia="Times New Roman"/>
          <w:b/>
          <w:bCs/>
        </w:rPr>
        <w:t>full model with geometry free</w:t>
      </w:r>
      <w:r>
        <w:rPr>
          <w:rFonts w:eastAsia="Times New Roman"/>
        </w:rPr>
        <w:t xml:space="preserve"> — a trajectory that stays inside the linear-elastic domain end to end — takes bone volume fraction from 0.950 down to 0.836 and back to </w:t>
      </w:r>
      <w:r>
        <w:rPr>
          <w:rFonts w:eastAsia="Times New Roman"/>
          <w:b/>
          <w:bCs/>
        </w:rPr>
        <w:t>0.953, that is 100.3 % of baseline</w:t>
      </w:r>
      <w:r>
        <w:rPr>
          <w:rFonts w:eastAsia="Times New Roman"/>
        </w:rPr>
        <w:t>, with no hysteresis.</w:t>
      </w:r>
    </w:p>
    <w:p w14:paraId="6D3FA6E0" w14:textId="77777777" w:rsidR="003407C0" w:rsidRDefault="00000000">
      <w:pPr>
        <w:spacing w:after="120" w:line="480" w:lineRule="auto"/>
      </w:pPr>
      <w:r>
        <w:rPr>
          <w:rFonts w:eastAsia="Times New Roman"/>
        </w:rPr>
        <w:t xml:space="preserve">The mechanism of </w:t>
      </w:r>
      <w:proofErr w:type="spellStart"/>
      <w:r>
        <w:rPr>
          <w:rFonts w:eastAsia="Times New Roman"/>
        </w:rPr>
        <w:t>monostability</w:t>
      </w:r>
      <w:proofErr w:type="spellEnd"/>
      <w:r>
        <w:rPr>
          <w:rFonts w:eastAsia="Times New Roman"/>
        </w:rPr>
        <w:t xml:space="preserve"> is instructive. Falling bone volume fraction collapses the apparent modulus, strain rises steeply, mechanical dose and modelling drift both </w:t>
      </w:r>
      <w:proofErr w:type="gramStart"/>
      <w:r>
        <w:rPr>
          <w:rFonts w:eastAsia="Times New Roman"/>
        </w:rPr>
        <w:t>increase</w:t>
      </w:r>
      <w:proofErr w:type="gramEnd"/>
      <w:r>
        <w:rPr>
          <w:rFonts w:eastAsia="Times New Roman"/>
        </w:rPr>
        <w:t xml:space="preserve">, and the resulting recovery drive overwhelms the two positive </w:t>
      </w:r>
      <w:proofErr w:type="gramStart"/>
      <w:r>
        <w:rPr>
          <w:rFonts w:eastAsia="Times New Roman"/>
        </w:rPr>
        <w:t>feedbacks</w:t>
      </w:r>
      <w:proofErr w:type="gramEnd"/>
      <w:r>
        <w:rPr>
          <w:rFonts w:eastAsia="Times New Roman"/>
        </w:rPr>
        <w:t xml:space="preserve"> we built in specifically to </w:t>
      </w:r>
      <w:r>
        <w:rPr>
          <w:rFonts w:eastAsia="Times New Roman"/>
        </w:rPr>
        <w:lastRenderedPageBreak/>
        <w:t xml:space="preserve">produce </w:t>
      </w:r>
      <w:proofErr w:type="spellStart"/>
      <w:r>
        <w:rPr>
          <w:rFonts w:eastAsia="Times New Roman"/>
        </w:rPr>
        <w:t>bistability</w:t>
      </w:r>
      <w:proofErr w:type="spellEnd"/>
      <w:r>
        <w:rPr>
          <w:rFonts w:eastAsia="Times New Roman"/>
        </w:rPr>
        <w:t xml:space="preserve"> — loss of </w:t>
      </w:r>
      <w:proofErr w:type="spellStart"/>
      <w:r>
        <w:rPr>
          <w:rFonts w:eastAsia="Times New Roman"/>
        </w:rPr>
        <w:t>remodelling</w:t>
      </w:r>
      <w:proofErr w:type="spellEnd"/>
      <w:r>
        <w:rPr>
          <w:rFonts w:eastAsia="Times New Roman"/>
        </w:rPr>
        <w:t xml:space="preserve"> surface as bone disappears [18], and loss of sensing capacity as osteocytes die. </w:t>
      </w:r>
      <w:r>
        <w:rPr>
          <w:rFonts w:eastAsia="Times New Roman"/>
          <w:b/>
          <w:bCs/>
        </w:rPr>
        <w:t xml:space="preserve">The </w:t>
      </w:r>
      <w:proofErr w:type="spellStart"/>
      <w:r>
        <w:rPr>
          <w:rFonts w:eastAsia="Times New Roman"/>
          <w:b/>
          <w:bCs/>
        </w:rPr>
        <w:t>mechanostat</w:t>
      </w:r>
      <w:proofErr w:type="spellEnd"/>
      <w:r>
        <w:rPr>
          <w:rFonts w:eastAsia="Times New Roman"/>
          <w:b/>
          <w:bCs/>
        </w:rPr>
        <w:t xml:space="preserve"> rescues low bone mass.</w:t>
      </w:r>
    </w:p>
    <w:p w14:paraId="3DF1DFCD" w14:textId="77777777" w:rsidR="003407C0" w:rsidRDefault="00000000">
      <w:pPr>
        <w:spacing w:after="120" w:line="480" w:lineRule="auto"/>
      </w:pPr>
      <w:r>
        <w:rPr>
          <w:rFonts w:eastAsia="Times New Roman"/>
        </w:rPr>
        <w:t xml:space="preserve">One caution and one nuance. The deep branch of the continuation, below </w:t>
      </w:r>
      <w:proofErr w:type="spellStart"/>
      <w:r>
        <w:rPr>
          <w:rFonts w:eastAsia="Times New Roman"/>
        </w:rPr>
        <w:t>f_bm</w:t>
      </w:r>
      <w:proofErr w:type="spellEnd"/>
      <w:r>
        <w:rPr>
          <w:rFonts w:eastAsia="Times New Roman"/>
        </w:rPr>
        <w:t xml:space="preserve"> ≈ 0.391, lies outside the linear-elastic domain the mechanics assumes [17] and must be read as extrapolation; the </w:t>
      </w:r>
      <w:proofErr w:type="spellStart"/>
      <w:r>
        <w:rPr>
          <w:rFonts w:eastAsia="Times New Roman"/>
        </w:rPr>
        <w:t>monostability</w:t>
      </w:r>
      <w:proofErr w:type="spellEnd"/>
      <w:r>
        <w:rPr>
          <w:rFonts w:eastAsia="Times New Roman"/>
        </w:rPr>
        <w:t xml:space="preserve"> conclusion depends on zero-counting and is unaffected. And the recovery cycle leaves a permanent +0.005 mm of periosteal expansion, because modelling adds to the outer surface and nothing removes it. That is structural memory — physically real, since periosteal apposition is largely irreversible </w:t>
      </w:r>
      <w:r>
        <w:rPr>
          <w:rFonts w:eastAsia="Times New Roman"/>
          <w:i/>
          <w:iCs/>
        </w:rPr>
        <w:t>in vivo</w:t>
      </w:r>
      <w:r>
        <w:rPr>
          <w:rFonts w:eastAsia="Times New Roman"/>
        </w:rPr>
        <w:t xml:space="preserve"> — and it is emphatically not dynamical </w:t>
      </w:r>
      <w:proofErr w:type="spellStart"/>
      <w:r>
        <w:rPr>
          <w:rFonts w:eastAsia="Times New Roman"/>
        </w:rPr>
        <w:t>bistability</w:t>
      </w:r>
      <w:proofErr w:type="spellEnd"/>
      <w:r>
        <w:rPr>
          <w:rFonts w:eastAsia="Times New Roman"/>
        </w:rPr>
        <w:t>, since bone volume fraction recovers completely.</w:t>
      </w:r>
    </w:p>
    <w:p w14:paraId="0323A20E" w14:textId="77777777" w:rsidR="003407C0" w:rsidRDefault="00000000">
      <w:pPr>
        <w:spacing w:after="120" w:line="480" w:lineRule="auto"/>
      </w:pPr>
      <w:r>
        <w:rPr>
          <w:rFonts w:eastAsia="Times New Roman"/>
        </w:rPr>
        <w:t xml:space="preserve">We note that a numerical artefact nearly produced the opposite conclusion. An early full-system test showed bone volume fraction stuck at its floor for 40 years, which read as irreversibility. Inspection showed the "collapsed" state had a cortical thickness of 99 mm: the modelling term was linear in strain excess and therefore unbounded, and at pathological strain it demanded 1513 mm/yr of periosteal apposition. Bounding it — at a ceiling of 1.93 </w:t>
      </w:r>
      <w:proofErr w:type="spellStart"/>
      <w:r>
        <w:rPr>
          <w:rFonts w:eastAsia="Times New Roman"/>
        </w:rPr>
        <w:t>μm</w:t>
      </w:r>
      <w:proofErr w:type="spellEnd"/>
      <w:r>
        <w:rPr>
          <w:rFonts w:eastAsia="Times New Roman"/>
        </w:rPr>
        <w:t>/day, which the yield strain of cortical bone [17,20] and the documented maximum mineral apposition rate independently agree on — removed the artefact and made the geometry-free probe above possible.</w:t>
      </w:r>
    </w:p>
    <w:p w14:paraId="090C99C1" w14:textId="77777777" w:rsidR="003407C0" w:rsidRDefault="00000000">
      <w:pPr>
        <w:pStyle w:val="1"/>
        <w:spacing w:before="360" w:after="160" w:line="360" w:lineRule="auto"/>
      </w:pPr>
      <w:r>
        <w:rPr>
          <w:rFonts w:eastAsia="Times New Roman"/>
          <w:b/>
          <w:bCs/>
          <w:sz w:val="28"/>
          <w:szCs w:val="28"/>
        </w:rPr>
        <w:t>Discussion</w:t>
      </w:r>
    </w:p>
    <w:p w14:paraId="43732A1A" w14:textId="77777777" w:rsidR="003407C0" w:rsidRDefault="00000000">
      <w:pPr>
        <w:pStyle w:val="2"/>
        <w:spacing w:before="240" w:after="120" w:line="360" w:lineRule="auto"/>
      </w:pPr>
      <w:r>
        <w:rPr>
          <w:rFonts w:eastAsia="Times New Roman"/>
          <w:b/>
          <w:bCs/>
          <w:i/>
          <w:iCs/>
          <w:sz w:val="24"/>
          <w:szCs w:val="24"/>
        </w:rPr>
        <w:t>What the model buys</w:t>
      </w:r>
    </w:p>
    <w:p w14:paraId="3422FFA1" w14:textId="77777777" w:rsidR="003407C0" w:rsidRDefault="00000000">
      <w:pPr>
        <w:spacing w:after="120" w:line="480" w:lineRule="auto"/>
      </w:pPr>
      <w:r>
        <w:rPr>
          <w:rFonts w:eastAsia="Times New Roman"/>
        </w:rPr>
        <w:t xml:space="preserve">The end-to-end chain lets three questions be asked that neither half of the literature could answer alone, and each returns a number rather than a direction: loading outweighs calcium 15.1-fold under stated conditions; a systemic agent cannot produce a local asymmetry, structurally rather than parametrically; and an anti-sclerostin antibody and mechanical loading compete for a shared </w:t>
      </w:r>
      <w:r>
        <w:rPr>
          <w:rFonts w:eastAsia="Times New Roman"/>
        </w:rPr>
        <w:lastRenderedPageBreak/>
        <w:t>node to the tune of 13 % sub-additivity.</w:t>
      </w:r>
    </w:p>
    <w:p w14:paraId="3DB58606" w14:textId="77777777" w:rsidR="003407C0" w:rsidRDefault="00000000">
      <w:pPr>
        <w:spacing w:after="120" w:line="480" w:lineRule="auto"/>
      </w:pPr>
      <w:r>
        <w:rPr>
          <w:rFonts w:eastAsia="Times New Roman"/>
        </w:rPr>
        <w:t xml:space="preserve">The result we would defend most strongly is the one that cost nothing. Frost's set point, a phenomenological constant inferred from observation in 1987, emerges here at 787 </w:t>
      </w:r>
      <w:proofErr w:type="spellStart"/>
      <w:r>
        <w:rPr>
          <w:rFonts w:eastAsia="Times New Roman"/>
        </w:rPr>
        <w:t>με</w:t>
      </w:r>
      <w:proofErr w:type="spellEnd"/>
      <w:r>
        <w:rPr>
          <w:rFonts w:eastAsia="Times New Roman"/>
        </w:rPr>
        <w:t xml:space="preserve"> from channel gating kinetics and </w:t>
      </w:r>
      <w:proofErr w:type="spellStart"/>
      <w:r>
        <w:rPr>
          <w:rFonts w:eastAsia="Times New Roman"/>
        </w:rPr>
        <w:t>signalling</w:t>
      </w:r>
      <w:proofErr w:type="spellEnd"/>
      <w:r>
        <w:rPr>
          <w:rFonts w:eastAsia="Times New Roman"/>
        </w:rPr>
        <w:t xml:space="preserve"> Hill functions, inside the band he proposed, without being fitted. Together with the six held-out tennis-player indices and the held-out withdrawal loss, this is evidence that the model predicts rather than accommodates.</w:t>
      </w:r>
    </w:p>
    <w:p w14:paraId="77E37968" w14:textId="77777777" w:rsidR="003407C0" w:rsidRDefault="00000000">
      <w:pPr>
        <w:pStyle w:val="2"/>
        <w:spacing w:before="240" w:after="120" w:line="360" w:lineRule="auto"/>
      </w:pPr>
      <w:r>
        <w:rPr>
          <w:rFonts w:eastAsia="Times New Roman"/>
          <w:b/>
          <w:bCs/>
          <w:i/>
          <w:iCs/>
          <w:sz w:val="24"/>
          <w:szCs w:val="24"/>
        </w:rPr>
        <w:t>Falsifying our own hypothesis</w:t>
      </w:r>
    </w:p>
    <w:p w14:paraId="6CB573D4" w14:textId="77777777" w:rsidR="003407C0" w:rsidRDefault="00000000">
      <w:pPr>
        <w:spacing w:after="120" w:line="480" w:lineRule="auto"/>
      </w:pPr>
      <w:r>
        <w:rPr>
          <w:rFonts w:eastAsia="Times New Roman"/>
        </w:rPr>
        <w:t>P3 is the result we expected to confirm and did not. We report it in the main text for two reasons.</w:t>
      </w:r>
    </w:p>
    <w:p w14:paraId="08297F2F" w14:textId="77777777" w:rsidR="003407C0" w:rsidRDefault="00000000">
      <w:pPr>
        <w:spacing w:after="120" w:line="480" w:lineRule="auto"/>
      </w:pPr>
      <w:r>
        <w:rPr>
          <w:rFonts w:eastAsia="Times New Roman"/>
        </w:rPr>
        <w:t xml:space="preserve">First, it is more informative than confirmation would have been. Complex physiological models exhibit </w:t>
      </w:r>
      <w:proofErr w:type="spellStart"/>
      <w:r>
        <w:rPr>
          <w:rFonts w:eastAsia="Times New Roman"/>
        </w:rPr>
        <w:t>bistability</w:t>
      </w:r>
      <w:proofErr w:type="spellEnd"/>
      <w:r>
        <w:rPr>
          <w:rFonts w:eastAsia="Times New Roman"/>
        </w:rPr>
        <w:t xml:space="preserve"> readily, and such findings are fragile — ours would have been, since a numerical artefact almost delivered exactly that conclusion. What the falsification buys instead is a boundary: the </w:t>
      </w:r>
      <w:proofErr w:type="spellStart"/>
      <w:r>
        <w:rPr>
          <w:rFonts w:eastAsia="Times New Roman"/>
        </w:rPr>
        <w:t>mechanostat's</w:t>
      </w:r>
      <w:proofErr w:type="spellEnd"/>
      <w:r>
        <w:rPr>
          <w:rFonts w:eastAsia="Times New Roman"/>
        </w:rPr>
        <w:t xml:space="preserve"> mechanical negative feedback is strong enough, at the porosity scale, to rescue low bone mass, so clinical irreversibility </w:t>
      </w:r>
      <w:r>
        <w:rPr>
          <w:rFonts w:eastAsia="Times New Roman"/>
          <w:b/>
          <w:bCs/>
        </w:rPr>
        <w:t>cannot</w:t>
      </w:r>
      <w:r>
        <w:rPr>
          <w:rFonts w:eastAsia="Times New Roman"/>
        </w:rPr>
        <w:t xml:space="preserve"> originate in continuum </w:t>
      </w:r>
      <w:proofErr w:type="spellStart"/>
      <w:r>
        <w:rPr>
          <w:rFonts w:eastAsia="Times New Roman"/>
        </w:rPr>
        <w:t>remodelling</w:t>
      </w:r>
      <w:proofErr w:type="spellEnd"/>
      <w:r>
        <w:rPr>
          <w:rFonts w:eastAsia="Times New Roman"/>
        </w:rPr>
        <w:t xml:space="preserve"> dynamics. It must come from mechanisms this model does not represent — trabecular perforation, which is loss of the template a continuous bone volume fraction cannot describe; osteocyte death; or geometric degradation.</w:t>
      </w:r>
    </w:p>
    <w:p w14:paraId="3B00E898" w14:textId="77777777" w:rsidR="003407C0" w:rsidRDefault="00000000">
      <w:pPr>
        <w:spacing w:after="120" w:line="480" w:lineRule="auto"/>
      </w:pPr>
      <w:r>
        <w:rPr>
          <w:rFonts w:eastAsia="Times New Roman"/>
        </w:rPr>
        <w:t xml:space="preserve">Second, that boundary is a testable prediction rather than a shrug. It says that a compartment which can lose its template — a trabecular one, where struts perforate and cannot be rebuilt — should show the </w:t>
      </w:r>
      <w:proofErr w:type="spellStart"/>
      <w:r>
        <w:rPr>
          <w:rFonts w:eastAsia="Times New Roman"/>
        </w:rPr>
        <w:t>bistability</w:t>
      </w:r>
      <w:proofErr w:type="spellEnd"/>
      <w:r>
        <w:rPr>
          <w:rFonts w:eastAsia="Times New Roman"/>
        </w:rPr>
        <w:t xml:space="preserve"> that a cortical one does not. Our trabecular compartment is the natural place to look, and we did not find </w:t>
      </w:r>
      <w:proofErr w:type="spellStart"/>
      <w:r>
        <w:rPr>
          <w:rFonts w:eastAsia="Times New Roman"/>
        </w:rPr>
        <w:t>bistability</w:t>
      </w:r>
      <w:proofErr w:type="spellEnd"/>
      <w:r>
        <w:rPr>
          <w:rFonts w:eastAsia="Times New Roman"/>
        </w:rPr>
        <w:t xml:space="preserve"> there either, because the compartment is still described by a continuous bone volume fraction. Representing perforation explicitly is the concrete next step.</w:t>
      </w:r>
    </w:p>
    <w:p w14:paraId="2CE7E3BD" w14:textId="77777777" w:rsidR="003407C0" w:rsidRDefault="00000000">
      <w:pPr>
        <w:spacing w:after="120" w:line="480" w:lineRule="auto"/>
      </w:pPr>
      <w:r>
        <w:rPr>
          <w:rFonts w:eastAsia="Times New Roman"/>
        </w:rPr>
        <w:lastRenderedPageBreak/>
        <w:t xml:space="preserve">We would also distinguish two things the literature often conflates. The clinical asymmetry between rapid loss and slow regain is a </w:t>
      </w:r>
      <w:r>
        <w:rPr>
          <w:rFonts w:eastAsia="Times New Roman"/>
          <w:b/>
          <w:bCs/>
        </w:rPr>
        <w:t>rate</w:t>
      </w:r>
      <w:r>
        <w:rPr>
          <w:rFonts w:eastAsia="Times New Roman"/>
        </w:rPr>
        <w:t xml:space="preserve"> asymmetry, present in our monostable model, and it is not evidence of dynamical irreversibility. Steepness is not </w:t>
      </w:r>
      <w:proofErr w:type="spellStart"/>
      <w:r>
        <w:rPr>
          <w:rFonts w:eastAsia="Times New Roman"/>
        </w:rPr>
        <w:t>bistability</w:t>
      </w:r>
      <w:proofErr w:type="spellEnd"/>
      <w:r>
        <w:rPr>
          <w:rFonts w:eastAsia="Times New Roman"/>
        </w:rPr>
        <w:t xml:space="preserve"> either: the transition at E₂ ≈ 0.92 is sharp enough to look like a jump, and the sensitivity of disuse loss to the sclerostin Hill constant is likewise steep, but both are high gain near a single fixed point.</w:t>
      </w:r>
    </w:p>
    <w:p w14:paraId="57189F4D" w14:textId="77777777" w:rsidR="003407C0" w:rsidRDefault="00000000">
      <w:pPr>
        <w:pStyle w:val="2"/>
        <w:spacing w:before="240" w:after="120" w:line="360" w:lineRule="auto"/>
      </w:pPr>
      <w:r>
        <w:rPr>
          <w:rFonts w:eastAsia="Times New Roman"/>
          <w:b/>
          <w:bCs/>
          <w:i/>
          <w:iCs/>
          <w:sz w:val="24"/>
          <w:szCs w:val="24"/>
        </w:rPr>
        <w:t>Measurement choice is a result, not a detail</w:t>
      </w:r>
    </w:p>
    <w:p w14:paraId="66A43E69" w14:textId="77777777" w:rsidR="003407C0" w:rsidRDefault="00000000">
      <w:pPr>
        <w:spacing w:after="120" w:line="480" w:lineRule="auto"/>
      </w:pPr>
      <w:r>
        <w:rPr>
          <w:rFonts w:eastAsia="Times New Roman"/>
        </w:rPr>
        <w:t>One of P1's three clauses reverses sign under a different measure: the loading effect is +4.582 % in bone mineral content and +1.778 % in areal density. A second clause, the calcium–loading interaction, did the same until the systemic calcium module was rebuilt, and is now positive on both framings — which makes the same point more sharply, since the sign of a reported interaction turned on a defect two modules away.</w:t>
      </w:r>
    </w:p>
    <w:p w14:paraId="45FB427F" w14:textId="77777777" w:rsidR="003407C0" w:rsidRDefault="00000000">
      <w:pPr>
        <w:spacing w:after="120" w:line="480" w:lineRule="auto"/>
      </w:pPr>
      <w:r>
        <w:rPr>
          <w:rFonts w:eastAsia="Times New Roman"/>
        </w:rPr>
        <w:t>Neither reversal is a modelling error. The areal-density dilution is a faithful reproduction of a known limitation: loading translates the cortex outward, and dividing by projected width discards much of the gain. The interaction reversal is a floor effect in the comparator, since calcium deficiency harms the sedentary arm more than the loaded one.</w:t>
      </w:r>
    </w:p>
    <w:p w14:paraId="5332E1BF" w14:textId="77777777" w:rsidR="003407C0" w:rsidRDefault="00000000">
      <w:pPr>
        <w:spacing w:after="120" w:line="480" w:lineRule="auto"/>
      </w:pPr>
      <w:r>
        <w:rPr>
          <w:rFonts w:eastAsia="Times New Roman"/>
        </w:rPr>
        <w:t>The implication is practical. A trial powered on areal density will see roughly two-fifths of the loading effect that a trial measuring bone mass would see, and a trial reporting an interaction term may report the opposite sign from a trial reporting achieved gains, from identical underlying biology. We therefore state each clause of P1 with its measure and its loading intensity attached, and we would encourage the same discipline in the empirical literature.</w:t>
      </w:r>
    </w:p>
    <w:p w14:paraId="620B2D88" w14:textId="77777777" w:rsidR="003407C0" w:rsidRDefault="00000000">
      <w:pPr>
        <w:pStyle w:val="2"/>
        <w:spacing w:before="240" w:after="120" w:line="360" w:lineRule="auto"/>
      </w:pPr>
      <w:r>
        <w:rPr>
          <w:rFonts w:eastAsia="Times New Roman"/>
          <w:b/>
          <w:bCs/>
          <w:i/>
          <w:iCs/>
          <w:sz w:val="24"/>
          <w:szCs w:val="24"/>
        </w:rPr>
        <w:t>Limitations</w:t>
      </w:r>
    </w:p>
    <w:p w14:paraId="61DEAFBE" w14:textId="77777777" w:rsidR="003407C0" w:rsidRDefault="00000000">
      <w:pPr>
        <w:spacing w:after="120" w:line="480" w:lineRule="auto"/>
      </w:pPr>
      <w:r>
        <w:rPr>
          <w:rFonts w:eastAsia="Times New Roman"/>
        </w:rPr>
        <w:t xml:space="preserve">The frequency response disagrees with experiment in sign [11], traced to saturation in channel </w:t>
      </w:r>
      <w:r>
        <w:rPr>
          <w:rFonts w:eastAsia="Times New Roman"/>
        </w:rPr>
        <w:lastRenderedPageBreak/>
        <w:t xml:space="preserve">opening rate; the mechanosensitive channel rate constants are placeholders taken from [2] and this is the first quantity to re-check against better values. The logarithmic </w:t>
      </w:r>
      <w:r>
        <w:rPr>
          <w:rFonts w:eastAsia="Times New Roman"/>
          <w:i/>
          <w:iCs/>
        </w:rPr>
        <w:t>form</w:t>
      </w:r>
      <w:r>
        <w:rPr>
          <w:rFonts w:eastAsia="Times New Roman"/>
        </w:rPr>
        <w:t xml:space="preserve"> of the frequency dependence is consistent with time-lapsed micro-computed tomography estimates of </w:t>
      </w:r>
      <w:proofErr w:type="spellStart"/>
      <w:r>
        <w:rPr>
          <w:rFonts w:eastAsia="Times New Roman"/>
        </w:rPr>
        <w:t>mechanostat</w:t>
      </w:r>
      <w:proofErr w:type="spellEnd"/>
      <w:r>
        <w:rPr>
          <w:rFonts w:eastAsia="Times New Roman"/>
        </w:rPr>
        <w:t xml:space="preserve"> parameters [12]; only the direction is not.</w:t>
      </w:r>
    </w:p>
    <w:p w14:paraId="3708F719" w14:textId="77777777" w:rsidR="003407C0" w:rsidRDefault="00000000">
      <w:pPr>
        <w:spacing w:after="120" w:line="480" w:lineRule="auto"/>
      </w:pPr>
      <w:r>
        <w:rPr>
          <w:rFonts w:eastAsia="Times New Roman"/>
        </w:rPr>
        <w:t xml:space="preserve">The specific surface function relating available </w:t>
      </w:r>
      <w:proofErr w:type="spellStart"/>
      <w:r>
        <w:rPr>
          <w:rFonts w:eastAsia="Times New Roman"/>
        </w:rPr>
        <w:t>remodelling</w:t>
      </w:r>
      <w:proofErr w:type="spellEnd"/>
      <w:r>
        <w:rPr>
          <w:rFonts w:eastAsia="Times New Roman"/>
        </w:rPr>
        <w:t xml:space="preserve"> surface to bone volume fraction is a placeholder, and we can now say exactly how wrong it is. Lerebours and colleagues [19] measured the relationship in human cortical bone and report that at high bone volume fraction it behaves as (1 − BV/</w:t>
      </w:r>
      <w:proofErr w:type="gramStart"/>
      <w:r>
        <w:rPr>
          <w:rFonts w:eastAsia="Times New Roman"/>
        </w:rPr>
        <w:t>TV)^</w:t>
      </w:r>
      <w:proofErr w:type="gramEnd"/>
      <w:r>
        <w:rPr>
          <w:rFonts w:eastAsia="Times New Roman"/>
        </w:rPr>
        <w:t>b with b = 0.5, the square-</w:t>
      </w:r>
      <w:proofErr w:type="spellStart"/>
      <w:r>
        <w:rPr>
          <w:rFonts w:eastAsia="Times New Roman"/>
        </w:rPr>
        <w:t>root</w:t>
      </w:r>
      <w:proofErr w:type="spellEnd"/>
      <w:r>
        <w:rPr>
          <w:rFonts w:eastAsia="Times New Roman"/>
        </w:rPr>
        <w:t xml:space="preserve"> fit outperforming both the classical fifth-order polynomial and a harmonic-mean form (r² = 0.84 against 0.82 and 0.77), and above BV/TV = 0.9 their data converge on a fractional degree rather than any integer one. </w:t>
      </w:r>
      <w:r>
        <w:rPr>
          <w:rFonts w:eastAsia="Times New Roman"/>
          <w:b/>
          <w:bCs/>
        </w:rPr>
        <w:t>Our exponent is 3</w:t>
      </w:r>
      <w:r>
        <w:rPr>
          <w:rFonts w:eastAsia="Times New Roman"/>
        </w:rPr>
        <w:t xml:space="preserve">, six times the measured value, and our cortical compartment sits at a bone volume fraction of 0.95 — inside the range they measured. The consequence is that specific surface here responds about six-fold too steeply to a change in porosity: d ln </w:t>
      </w:r>
      <w:proofErr w:type="spellStart"/>
      <w:r>
        <w:rPr>
          <w:rFonts w:eastAsia="Times New Roman"/>
        </w:rPr>
        <w:t>S_v</w:t>
      </w:r>
      <w:proofErr w:type="spellEnd"/>
      <w:r>
        <w:rPr>
          <w:rFonts w:eastAsia="Times New Roman"/>
        </w:rPr>
        <w:t xml:space="preserve"> / d ln </w:t>
      </w:r>
      <w:proofErr w:type="spellStart"/>
      <w:r>
        <w:rPr>
          <w:rFonts w:eastAsia="Times New Roman"/>
        </w:rPr>
        <w:t>f_bm</w:t>
      </w:r>
      <w:proofErr w:type="spellEnd"/>
      <w:r>
        <w:rPr>
          <w:rFonts w:eastAsia="Times New Roman"/>
        </w:rPr>
        <w:t xml:space="preserve"> is −56 at our cortical baseline where Lerebours implies about −9.5. Baseline turnover is unaffected, since specific surface is </w:t>
      </w:r>
      <w:proofErr w:type="spellStart"/>
      <w:r>
        <w:rPr>
          <w:rFonts w:eastAsia="Times New Roman"/>
        </w:rPr>
        <w:t>normalised</w:t>
      </w:r>
      <w:proofErr w:type="spellEnd"/>
      <w:r>
        <w:rPr>
          <w:rFonts w:eastAsia="Times New Roman"/>
        </w:rPr>
        <w:t xml:space="preserve"> at baseline, but every rate that passes through it is exaggerated.</w:t>
      </w:r>
    </w:p>
    <w:p w14:paraId="6DFC4336" w14:textId="77777777" w:rsidR="003407C0" w:rsidRDefault="00000000">
      <w:pPr>
        <w:spacing w:after="120" w:line="480" w:lineRule="auto"/>
      </w:pPr>
      <w:r>
        <w:rPr>
          <w:rFonts w:eastAsia="Times New Roman"/>
          <w:b/>
          <w:bCs/>
        </w:rPr>
        <w:t>We report a negative result from trying to fix this, because it is more informative than the fix would have been.</w:t>
      </w:r>
      <w:r>
        <w:rPr>
          <w:rFonts w:eastAsia="Times New Roman"/>
        </w:rPr>
        <w:t xml:space="preserve"> Setting the cortical exponent to the measured 0.5 works mechanically — the sensitivity becomes −8.51, close to what the measurement implies — but it drops the disuse target to 0.44 %/month, and the sclerostin sensitivity cannot recover it: scanning that parameter to the bottom of its admissible range saturates at 0.99 %/month without entering the 1.0–1.5 %/month band. </w:t>
      </w:r>
      <w:proofErr w:type="gramStart"/>
      <w:r>
        <w:rPr>
          <w:rFonts w:eastAsia="Times New Roman"/>
        </w:rPr>
        <w:t>So</w:t>
      </w:r>
      <w:proofErr w:type="gramEnd"/>
      <w:r>
        <w:rPr>
          <w:rFonts w:eastAsia="Times New Roman"/>
        </w:rPr>
        <w:t xml:space="preserve"> a substantial part of the disuse loss this model produces </w:t>
      </w:r>
      <w:proofErr w:type="gramStart"/>
      <w:r>
        <w:rPr>
          <w:rFonts w:eastAsia="Times New Roman"/>
        </w:rPr>
        <w:t>has</w:t>
      </w:r>
      <w:proofErr w:type="gramEnd"/>
      <w:r>
        <w:rPr>
          <w:rFonts w:eastAsia="Times New Roman"/>
        </w:rPr>
        <w:t xml:space="preserve"> been carried by a specific-surface response six times steeper than the real one, and with the measured exponent something else must supply it.</w:t>
      </w:r>
    </w:p>
    <w:p w14:paraId="01AB5340" w14:textId="77777777" w:rsidR="003407C0" w:rsidRDefault="00000000">
      <w:pPr>
        <w:spacing w:after="120" w:line="480" w:lineRule="auto"/>
      </w:pPr>
      <w:r>
        <w:rPr>
          <w:rFonts w:eastAsia="Times New Roman"/>
          <w:b/>
          <w:bCs/>
        </w:rPr>
        <w:lastRenderedPageBreak/>
        <w:t>We should be precise about what that does and does not establish, because our first statement of it was too strong.</w:t>
      </w:r>
      <w:r>
        <w:rPr>
          <w:rFonts w:eastAsia="Times New Roman"/>
        </w:rPr>
        <w:t xml:space="preserve"> Holding the turnover constant fixed, as above, no setting of the sclerostin sensitivity reaches the band. Releasing the turnover constant as well, a refit does reach 1.01 %/month — but it puts adult turnover at 10.2 %/yr, outside the 5–10 %/yr band that is itself the upper half of what is conventionally quoted [25]. The accurate claim is therefore not that the disuse target is unreachable with the measured exponent. It is that every route we have found pays for it with a different target.</w:t>
      </w:r>
    </w:p>
    <w:p w14:paraId="24A56FA1" w14:textId="77777777" w:rsidR="003407C0" w:rsidRDefault="00000000">
      <w:pPr>
        <w:spacing w:after="120" w:line="480" w:lineRule="auto"/>
      </w:pPr>
      <w:r>
        <w:rPr>
          <w:rFonts w:eastAsia="Times New Roman"/>
        </w:rPr>
        <w:t xml:space="preserve">We then built the mechanism that would have to supply it, and the result changed twice — which is why we report the sequence rather than only the conclusion. The candidate is forced: the mechanical arm of sclerostin production is already saturated in disuse, reaching 99.97 % of its absolute ceiling after 180 days of simulated bed rest, so no route through </w:t>
      </w:r>
      <w:proofErr w:type="spellStart"/>
      <w:r>
        <w:rPr>
          <w:rFonts w:eastAsia="Times New Roman"/>
        </w:rPr>
        <w:t>mechanosensing</w:t>
      </w:r>
      <w:proofErr w:type="spellEnd"/>
      <w:r>
        <w:rPr>
          <w:rFonts w:eastAsia="Times New Roman"/>
        </w:rPr>
        <w:t xml:space="preserve"> can supply further loss and the missing term must bypass sclerostin entirely. Dying osteocytes releasing RANKL directly is such a route, and we implemented it as a factor on the osteocyte deficit, exactly inert at baseline.</w:t>
      </w:r>
    </w:p>
    <w:p w14:paraId="79B841DD" w14:textId="77777777" w:rsidR="003407C0" w:rsidRDefault="00000000">
      <w:pPr>
        <w:spacing w:after="120" w:line="480" w:lineRule="auto"/>
      </w:pPr>
      <w:r>
        <w:rPr>
          <w:rFonts w:eastAsia="Times New Roman"/>
        </w:rPr>
        <w:t xml:space="preserve">Measured against the model as it then stood, the term worked and the objection was its cost: it returned disuse loss to its band but made calcium deficiency progressive, because the only thing that lowers osteocyte density here is resorption itself, so the term amplifies every resorption-driven scenario rather than disuse alone. Measured again after the osteocyte turnover constant was corrected (below), it does not work at all. Pushed to the top of its admissible range it lifts disuse loss only from 0.44 to 0.50 %/month, nowhere near the 1.0–1.5 band, because the osteocyte deficit that drives it over 180 days of bed rest is 2.2 % rather than the </w:t>
      </w:r>
      <w:proofErr w:type="gramStart"/>
      <w:r>
        <w:rPr>
          <w:rFonts w:eastAsia="Times New Roman"/>
        </w:rPr>
        <w:t>20.7 %</w:t>
      </w:r>
      <w:proofErr w:type="gramEnd"/>
      <w:r>
        <w:rPr>
          <w:rFonts w:eastAsia="Times New Roman"/>
        </w:rPr>
        <w:t xml:space="preserve"> we had measured before — and that 20.7 % was itself a product of the error. </w:t>
      </w:r>
      <w:r>
        <w:rPr>
          <w:rFonts w:eastAsia="Times New Roman"/>
          <w:b/>
          <w:bCs/>
        </w:rPr>
        <w:t>The mechanism did not fail; the evidence that it could succeed was an artefact.</w:t>
      </w:r>
      <w:r>
        <w:rPr>
          <w:rFonts w:eastAsia="Times New Roman"/>
        </w:rPr>
        <w:t xml:space="preserve"> We report both passes because the </w:t>
      </w:r>
      <w:r>
        <w:rPr>
          <w:rFonts w:eastAsia="Times New Roman"/>
        </w:rPr>
        <w:lastRenderedPageBreak/>
        <w:t xml:space="preserve">first would have been a </w:t>
      </w:r>
      <w:proofErr w:type="gramStart"/>
      <w:r>
        <w:rPr>
          <w:rFonts w:eastAsia="Times New Roman"/>
        </w:rPr>
        <w:t>defensible published</w:t>
      </w:r>
      <w:proofErr w:type="gramEnd"/>
      <w:r>
        <w:rPr>
          <w:rFonts w:eastAsia="Times New Roman"/>
        </w:rPr>
        <w:t xml:space="preserve"> result and was wrong for a reason no target would have caught.</w:t>
      </w:r>
    </w:p>
    <w:p w14:paraId="2CC3ABFB" w14:textId="77777777" w:rsidR="003407C0" w:rsidRDefault="00000000">
      <w:pPr>
        <w:spacing w:after="120" w:line="480" w:lineRule="auto"/>
      </w:pPr>
      <w:r>
        <w:rPr>
          <w:rFonts w:eastAsia="Times New Roman"/>
        </w:rPr>
        <w:t xml:space="preserve">Two independent checks agree with where this ended. Adding unloading-induced osteocyte apoptosis, so that the deficit is generated mechanically rather than by resorption, makes it disuse-specific as intended but changes nothing, and the inductions it would need are far outside measurement: two weeks of hind-limb unloading raises the proportion of apoptotic osteocytes by 66 % [26], where this route needs a fold two orders of magnitude larger. And the experiment has been done. Blocking osteocyte apoptosis with a bisphosphonate analogue that does not itself inhibit resorption prevents the rise in </w:t>
      </w:r>
      <w:proofErr w:type="spellStart"/>
      <w:r>
        <w:rPr>
          <w:rFonts w:eastAsia="Times New Roman"/>
        </w:rPr>
        <w:t>osteocytic</w:t>
      </w:r>
      <w:proofErr w:type="spellEnd"/>
      <w:r>
        <w:rPr>
          <w:rFonts w:eastAsia="Times New Roman"/>
        </w:rPr>
        <w:t xml:space="preserve"> RANKL but does not prevent the resorption or the bone loss caused by unloading [27], from which the authors conclude that RANKL from non-</w:t>
      </w:r>
      <w:proofErr w:type="spellStart"/>
      <w:r>
        <w:rPr>
          <w:rFonts w:eastAsia="Times New Roman"/>
        </w:rPr>
        <w:t>osteocytic</w:t>
      </w:r>
      <w:proofErr w:type="spellEnd"/>
      <w:r>
        <w:rPr>
          <w:rFonts w:eastAsia="Times New Roman"/>
        </w:rPr>
        <w:t xml:space="preserve"> sources carries the loss. Our model and that experiment reach the same place by different routes: the apoptotic RANKL arm is real, and it is not what carries disuse bone loss.</w:t>
      </w:r>
    </w:p>
    <w:p w14:paraId="69A976DA" w14:textId="77777777" w:rsidR="003407C0" w:rsidRDefault="00000000">
      <w:pPr>
        <w:spacing w:after="120" w:line="480" w:lineRule="auto"/>
      </w:pPr>
      <w:r>
        <w:rPr>
          <w:rFonts w:eastAsia="Times New Roman"/>
        </w:rPr>
        <w:t xml:space="preserve">A third mechanism completes the search, and it is the one that came closest. </w:t>
      </w:r>
      <w:proofErr w:type="spellStart"/>
      <w:r>
        <w:rPr>
          <w:rFonts w:eastAsia="Times New Roman"/>
        </w:rPr>
        <w:t>Immobilisation</w:t>
      </w:r>
      <w:proofErr w:type="spellEnd"/>
      <w:r>
        <w:rPr>
          <w:rFonts w:eastAsia="Times New Roman"/>
        </w:rPr>
        <w:t xml:space="preserve"> raises cortical </w:t>
      </w:r>
      <w:r>
        <w:rPr>
          <w:rFonts w:eastAsia="Times New Roman"/>
          <w:i/>
          <w:iCs/>
        </w:rPr>
        <w:t>porosity</w:t>
      </w:r>
      <w:r>
        <w:rPr>
          <w:rFonts w:eastAsia="Times New Roman"/>
        </w:rPr>
        <w:t xml:space="preserve"> — that is resorption moving to the intracortical surface, and it is measured in humans: the femoral cortex of long-term </w:t>
      </w:r>
      <w:proofErr w:type="spellStart"/>
      <w:r>
        <w:rPr>
          <w:rFonts w:eastAsia="Times New Roman"/>
        </w:rPr>
        <w:t>immobilised</w:t>
      </w:r>
      <w:proofErr w:type="spellEnd"/>
      <w:r>
        <w:rPr>
          <w:rFonts w:eastAsia="Times New Roman"/>
        </w:rPr>
        <w:t xml:space="preserve"> individuals is significantly more porous, in a pattern distinguishable from postmenopausal osteoporosis [29]. Written as a bias on the resorption surface split driven by the mechanical dose deficit, this route is disuse-specific by construction and by measurement — the deficit is 0.886 over 180 days of bed rest against 0.0016 in the low-calcium arm, so it does not repeat the failure above. It also has the authority the apoptotic route lacked: it lifts disuse loss from 0.44 to 1.04 %/month with the calcium effect, its plateau and the </w:t>
      </w:r>
      <w:proofErr w:type="spellStart"/>
      <w:r>
        <w:rPr>
          <w:rFonts w:eastAsia="Times New Roman"/>
        </w:rPr>
        <w:t>romosozumab</w:t>
      </w:r>
      <w:proofErr w:type="spellEnd"/>
      <w:r>
        <w:rPr>
          <w:rFonts w:eastAsia="Times New Roman"/>
        </w:rPr>
        <w:t xml:space="preserve"> response all inside their bands.</w:t>
      </w:r>
    </w:p>
    <w:p w14:paraId="25416BA7" w14:textId="77777777" w:rsidR="003407C0" w:rsidRDefault="00000000">
      <w:pPr>
        <w:spacing w:after="120" w:line="480" w:lineRule="auto"/>
      </w:pPr>
      <w:r>
        <w:rPr>
          <w:rFonts w:eastAsia="Times New Roman"/>
          <w:b/>
          <w:bCs/>
        </w:rPr>
        <w:t>It fails on physiology instead.</w:t>
      </w:r>
      <w:r>
        <w:rPr>
          <w:rFonts w:eastAsia="Times New Roman"/>
        </w:rPr>
        <w:t xml:space="preserve"> Closing the gap requires a coefficient at which 94.5 % of disuse resorption is intracortical and 5.0 % endocortical, against a 50/45 baseline split — that is nearly </w:t>
      </w:r>
      <w:r>
        <w:rPr>
          <w:rFonts w:eastAsia="Times New Roman"/>
        </w:rPr>
        <w:lastRenderedPageBreak/>
        <w:t xml:space="preserve">all resorption moved to one surface, and human bed rest thins the </w:t>
      </w:r>
      <w:proofErr w:type="spellStart"/>
      <w:r>
        <w:rPr>
          <w:rFonts w:eastAsia="Times New Roman"/>
        </w:rPr>
        <w:t>endocortex</w:t>
      </w:r>
      <w:proofErr w:type="spellEnd"/>
      <w:r>
        <w:rPr>
          <w:rFonts w:eastAsia="Times New Roman"/>
        </w:rPr>
        <w:t xml:space="preserve"> as well as opening porosity. A coefficient that only works where the state it produces is not observed is a fitting parameter wearing a mechanism's name, and we decline to report it as the resolution.</w:t>
      </w:r>
    </w:p>
    <w:p w14:paraId="59CBB311" w14:textId="77777777" w:rsidR="003407C0" w:rsidRDefault="00000000">
      <w:pPr>
        <w:spacing w:after="120" w:line="480" w:lineRule="auto"/>
      </w:pPr>
      <w:r>
        <w:rPr>
          <w:rFonts w:eastAsia="Times New Roman"/>
          <w:b/>
          <w:bCs/>
        </w:rPr>
        <w:t>Three routes have now failed in three different ways, and the pattern is more informative than any of them.</w:t>
      </w:r>
      <w:r>
        <w:rPr>
          <w:rFonts w:eastAsia="Times New Roman"/>
        </w:rPr>
        <w:t xml:space="preserve"> The apoptotic arm was not scenario-specific, because the deficit driving it is produced by resorption itself, and it cost the calcium plateau. Making that deficit mechanical fixed the specificity and left the route with no authority, since basal apoptosis is about 1 % of osteocyte removal here. The surface bias has both specificity and authority and asks for a surface split that is not observed. Specificity, authority, physiology: each route fails a different one of the three, which is a stronger statement than three failures of the same kind would be. On this evidence, reproducing disuse loss at the measured specific-surface exponent needs a mechanism none of these three supplies, and we think the most likely candidate is one this model does not represent at all — the loss of trabecular and endocortical </w:t>
      </w:r>
      <w:r>
        <w:rPr>
          <w:rFonts w:eastAsia="Times New Roman"/>
          <w:i/>
          <w:iCs/>
        </w:rPr>
        <w:t>template</w:t>
      </w:r>
      <w:r>
        <w:rPr>
          <w:rFonts w:eastAsia="Times New Roman"/>
        </w:rPr>
        <w:t>, which is also where the falsification of P3 points.</w:t>
      </w:r>
    </w:p>
    <w:p w14:paraId="76A1855D" w14:textId="77777777" w:rsidR="003407C0" w:rsidRDefault="00000000">
      <w:pPr>
        <w:spacing w:after="120" w:line="480" w:lineRule="auto"/>
      </w:pPr>
      <w:r>
        <w:rPr>
          <w:rFonts w:eastAsia="Times New Roman"/>
        </w:rPr>
        <w:t>One further consequence of the measured exponent deserves recording, because it survived every pass: it makes disuse loss effectively irreversible. Ten years of normal loading after 180 days of bed rest ends 5.7 % below baseline with no net recovery, against a full recovery at the exponent we ship — flattening the exponent damps recovery more than it damps loss.</w:t>
      </w:r>
    </w:p>
    <w:p w14:paraId="2D863A18" w14:textId="77777777" w:rsidR="003407C0" w:rsidRDefault="00000000">
      <w:pPr>
        <w:spacing w:after="120" w:line="480" w:lineRule="auto"/>
      </w:pPr>
      <w:r>
        <w:rPr>
          <w:rFonts w:eastAsia="Times New Roman"/>
        </w:rPr>
        <w:t xml:space="preserve">We therefore know what the exaggerated exponent was standing in for, and we know that </w:t>
      </w:r>
      <w:r>
        <w:rPr>
          <w:rFonts w:eastAsia="Times New Roman"/>
          <w:b/>
          <w:bCs/>
        </w:rPr>
        <w:t>the evidence it could be replaced was itself an artefact</w:t>
      </w:r>
      <w:r>
        <w:rPr>
          <w:rFonts w:eastAsia="Times New Roman"/>
        </w:rPr>
        <w:t>. The reason for shipping the value we do is no longer that the exchange is a bad bargain; it is that the candidate route cannot supply the disuse loss at all once the model is self-consistent. The measured 0.5 remains the sourced value and we ship 3, and we record that plainly.</w:t>
      </w:r>
    </w:p>
    <w:p w14:paraId="116F878F" w14:textId="77777777" w:rsidR="003407C0" w:rsidRDefault="00000000">
      <w:pPr>
        <w:spacing w:after="120" w:line="480" w:lineRule="auto"/>
      </w:pPr>
      <w:r>
        <w:rPr>
          <w:rFonts w:eastAsia="Times New Roman"/>
          <w:b/>
          <w:bCs/>
        </w:rPr>
        <w:lastRenderedPageBreak/>
        <w:t>A second and larger error came out of checking the first, and it was an internal contradiction rather than a disagreement with a measurement.</w:t>
      </w:r>
      <w:r>
        <w:rPr>
          <w:rFonts w:eastAsia="Times New Roman"/>
        </w:rPr>
        <w:t xml:space="preserve"> Osteocytes leave the tissue when the bone they occupy is resorbed, so the fractional turnover of the osteocyte population must equal the fractional turnover of bone. Until we checked, it did not. Bone was resorbed at 1.93 × 10⁻⁴ per day, the rate implied by our own adult turnover, while osteocytes were removed at 9.9 × 10⁻² per day — a factor of 514, and a mean osteocyte residence of ten days rather than years. No external data are needed to see this; the model disagreed with itself, and every target it had passed for two years.</w:t>
      </w:r>
    </w:p>
    <w:p w14:paraId="7EB02E72" w14:textId="77777777" w:rsidR="003407C0" w:rsidRDefault="00000000">
      <w:pPr>
        <w:spacing w:after="120" w:line="480" w:lineRule="auto"/>
      </w:pPr>
      <w:r>
        <w:rPr>
          <w:rFonts w:eastAsia="Times New Roman"/>
        </w:rPr>
        <w:t xml:space="preserve">An independent estimate confirms which side was wrong: 42 billion osteocytes in the adult skeleton with 9.1 million replenished daily [28] gives 2.17 × 10⁻⁴ per day, a residence of 12.6 years, agreeing with the bone-turnover side and not with ours. We have corrected it, and the correction is structural rather than a new value: the burial constant is now </w:t>
      </w:r>
      <w:r>
        <w:rPr>
          <w:rFonts w:eastAsia="Times New Roman"/>
          <w:b/>
          <w:bCs/>
        </w:rPr>
        <w:t>derived</w:t>
      </w:r>
      <w:r>
        <w:rPr>
          <w:rFonts w:eastAsia="Times New Roman"/>
        </w:rPr>
        <w:t xml:space="preserve"> from bone turnover at every parameter set, as the formation constant already was, so the contradiction cannot recur. All results in this paper are computed after that correction and a five-parameter recalibration.</w:t>
      </w:r>
    </w:p>
    <w:p w14:paraId="47F2BFC7" w14:textId="77777777" w:rsidR="003407C0" w:rsidRDefault="00000000">
      <w:pPr>
        <w:spacing w:after="120" w:line="480" w:lineRule="auto"/>
      </w:pPr>
      <w:r>
        <w:rPr>
          <w:rFonts w:eastAsia="Times New Roman"/>
        </w:rPr>
        <w:t xml:space="preserve">The consequences are worth stating in both directions, because they run both ways. Against: the calcium effect fell to +0.663 %, just outside its band, since the calcium arm had been amplified by </w:t>
      </w:r>
      <w:proofErr w:type="gramStart"/>
      <w:r>
        <w:rPr>
          <w:rFonts w:eastAsia="Times New Roman"/>
        </w:rPr>
        <w:t>an osteocyte-density feedback</w:t>
      </w:r>
      <w:proofErr w:type="gramEnd"/>
      <w:r>
        <w:rPr>
          <w:rFonts w:eastAsia="Times New Roman"/>
        </w:rPr>
        <w:t xml:space="preserve"> that a ten-day residence made unphysiologically fast. In </w:t>
      </w:r>
      <w:proofErr w:type="spellStart"/>
      <w:r>
        <w:rPr>
          <w:rFonts w:eastAsia="Times New Roman"/>
        </w:rPr>
        <w:t>favour</w:t>
      </w:r>
      <w:proofErr w:type="spellEnd"/>
      <w:r>
        <w:rPr>
          <w:rFonts w:eastAsia="Times New Roman"/>
        </w:rPr>
        <w:t xml:space="preserve">: the post-withdrawal hold-out improved from finishing 0.75 % below pre-treatment baseline to finishing 2.68 % above it, which is the direction the clinical observation describes, with no drug parameter touched; ten-year recovery after bed rest became complete rather than partial; and the reported PTH-pathway parameter left the upper bound it had previously been pinned to. Baseline drift, the elastic domain and </w:t>
      </w:r>
      <w:proofErr w:type="spellStart"/>
      <w:r>
        <w:rPr>
          <w:rFonts w:eastAsia="Times New Roman"/>
        </w:rPr>
        <w:t>monostability</w:t>
      </w:r>
      <w:proofErr w:type="spellEnd"/>
      <w:r>
        <w:rPr>
          <w:rFonts w:eastAsia="Times New Roman"/>
        </w:rPr>
        <w:t xml:space="preserve"> are unaffected. We think the </w:t>
      </w:r>
      <w:r>
        <w:rPr>
          <w:rFonts w:eastAsia="Times New Roman"/>
        </w:rPr>
        <w:lastRenderedPageBreak/>
        <w:t>exchange is clearly worth making — an artefact that inflates one calibration target is not a reason to keep an internal contradiction — but a reader who weights the calcium band more heavily than we do should know exactly what was traded.</w:t>
      </w:r>
    </w:p>
    <w:p w14:paraId="46B41294" w14:textId="77777777" w:rsidR="003407C0" w:rsidRDefault="00000000">
      <w:pPr>
        <w:spacing w:after="120" w:line="480" w:lineRule="auto"/>
      </w:pPr>
      <w:r>
        <w:rPr>
          <w:rFonts w:eastAsia="Times New Roman"/>
        </w:rPr>
        <w:t xml:space="preserve">We therefore report results computed with an exponent we know to be too </w:t>
      </w:r>
      <w:proofErr w:type="gramStart"/>
      <w:r>
        <w:rPr>
          <w:rFonts w:eastAsia="Times New Roman"/>
        </w:rPr>
        <w:t>steep, and</w:t>
      </w:r>
      <w:proofErr w:type="gramEnd"/>
      <w:r>
        <w:rPr>
          <w:rFonts w:eastAsia="Times New Roman"/>
        </w:rPr>
        <w:t xml:space="preserve"> say so rather than quietly adopting the measured value and reporting a broken disuse target. A further caution comes from the title of the same paper: the relationship is </w:t>
      </w:r>
      <w:r>
        <w:rPr>
          <w:rFonts w:eastAsia="Times New Roman"/>
          <w:b/>
          <w:bCs/>
        </w:rPr>
        <w:t>subject specific</w:t>
      </w:r>
      <w:r>
        <w:rPr>
          <w:rFonts w:eastAsia="Times New Roman"/>
        </w:rPr>
        <w:t xml:space="preserve">, not intrinsic — per-subject fits reach r² of 0.87–0.98 against 0.84 pooled, correlating with sex and pore density but not with age, height or weight. A single curve is an approximation not only between compartments but between individuals. Complete unloading beyond about 7.5 months leaves the model's valid domain, so long-duration disuse is out of scope. The antibody is a step function rather than a pharmacokinetic profile, which sharpens the withdrawal transient — the calibrated quantity is the downstream resorption overshoot, which is unaffected in magnitude. Two PTH-pathway parameters are identifiable only jointly. The cortical geometry is an </w:t>
      </w:r>
      <w:proofErr w:type="spellStart"/>
      <w:r>
        <w:rPr>
          <w:rFonts w:eastAsia="Times New Roman"/>
        </w:rPr>
        <w:t>idealised</w:t>
      </w:r>
      <w:proofErr w:type="spellEnd"/>
      <w:r>
        <w:rPr>
          <w:rFonts w:eastAsia="Times New Roman"/>
        </w:rPr>
        <w:t xml:space="preserve"> circular annulus.</w:t>
      </w:r>
    </w:p>
    <w:p w14:paraId="05399714" w14:textId="77777777" w:rsidR="003407C0" w:rsidRDefault="00000000">
      <w:pPr>
        <w:spacing w:after="120" w:line="480" w:lineRule="auto"/>
      </w:pPr>
      <w:r>
        <w:rPr>
          <w:rFonts w:eastAsia="Times New Roman"/>
        </w:rPr>
        <w:t xml:space="preserve">Three limitations follow directly from the four targets reported above, and we regard them as the most useful things a reader can take from this paper about where it is weakest. The systemic calcium module was rebuilt during this work, having failed in both directions at once: serum calcium swung 15 % with dietary intake where physiology allows about 2 %, and the coefficients carrying skeletal calcium into the serum pool were three orders of magnitude below the flux they were </w:t>
      </w:r>
      <w:proofErr w:type="spellStart"/>
      <w:r>
        <w:rPr>
          <w:rFonts w:eastAsia="Times New Roman"/>
        </w:rPr>
        <w:t>normalised</w:t>
      </w:r>
      <w:proofErr w:type="spellEnd"/>
      <w:r>
        <w:rPr>
          <w:rFonts w:eastAsia="Times New Roman"/>
        </w:rPr>
        <w:t xml:space="preserve"> against, so the coupling was bidirectional in structure but one-way in magnitude. Both are repaired — the excursion is now 1.6 % and unloading suppresses parathyroid hormone by 21.3 % against a reported 24 % [24] — but two consequences remain. The repair cost the calcium effect size: V7 fell towards the low edge of its band, and a later </w:t>
      </w:r>
      <w:r>
        <w:rPr>
          <w:rFonts w:eastAsia="Times New Roman"/>
        </w:rPr>
        <w:lastRenderedPageBreak/>
        <w:t>correction to osteocyte turnover took it just outside, because the earlier value depended on the swing that has been removed. And it created the V7/V16 conflict described above, in which no single PTH→RANKL gain satisfies both the calcium target and the withdrawal-rebound target. Neither is hidden, and both are consequences of making the module more physiological rather than less. The RANKL response to sclerostin cannot reach its reported magnitude at any parameter value, because the relevant half-saturation constant sits below baseline sclerostin. And the model does not produce postmenopausal periosteal widening, so the geometry of the ageing cortex is reproduced only in its thinning half. Finally, the model has no representation of trabecular architecture as architecture, which is precisely where the P3 falsification points.</w:t>
      </w:r>
    </w:p>
    <w:p w14:paraId="0D658F8B" w14:textId="77777777" w:rsidR="003407C0" w:rsidRDefault="00000000">
      <w:pPr>
        <w:pStyle w:val="2"/>
        <w:spacing w:before="240" w:after="120" w:line="360" w:lineRule="auto"/>
      </w:pPr>
      <w:r>
        <w:rPr>
          <w:rFonts w:eastAsia="Times New Roman"/>
          <w:b/>
          <w:bCs/>
          <w:i/>
          <w:iCs/>
          <w:sz w:val="24"/>
          <w:szCs w:val="24"/>
        </w:rPr>
        <w:t>Conclusion</w:t>
      </w:r>
    </w:p>
    <w:p w14:paraId="0C408098" w14:textId="77777777" w:rsidR="003407C0" w:rsidRDefault="00000000">
      <w:pPr>
        <w:spacing w:after="120" w:line="480" w:lineRule="auto"/>
      </w:pPr>
      <w:r>
        <w:rPr>
          <w:rFonts w:eastAsia="Times New Roman"/>
        </w:rPr>
        <w:t xml:space="preserve">Joining a validated </w:t>
      </w:r>
      <w:proofErr w:type="spellStart"/>
      <w:r>
        <w:rPr>
          <w:rFonts w:eastAsia="Times New Roman"/>
        </w:rPr>
        <w:t>mechanotransduction</w:t>
      </w:r>
      <w:proofErr w:type="spellEnd"/>
      <w:r>
        <w:rPr>
          <w:rFonts w:eastAsia="Times New Roman"/>
        </w:rPr>
        <w:t xml:space="preserve"> front end to a validated bone-cell back end produces a model that predicts blind observations, computes a set point that was previously only observed, and settles the calcium-versus-loading question quantitatively — while overturning our own hypothesis about the dynamical nature of osteoporosis, and showing that two of our three quantitative claims depend on which measure is used to state them.</w:t>
      </w:r>
    </w:p>
    <w:p w14:paraId="21920A6E" w14:textId="77777777" w:rsidR="003407C0" w:rsidRDefault="00000000">
      <w:pPr>
        <w:pStyle w:val="1"/>
        <w:spacing w:before="360" w:after="160" w:line="360" w:lineRule="auto"/>
      </w:pPr>
      <w:r>
        <w:rPr>
          <w:rFonts w:eastAsia="Times New Roman"/>
          <w:b/>
          <w:bCs/>
          <w:sz w:val="28"/>
          <w:szCs w:val="28"/>
        </w:rPr>
        <w:t>References</w:t>
      </w:r>
    </w:p>
    <w:p w14:paraId="7AA6F52D" w14:textId="77777777" w:rsidR="003407C0" w:rsidRDefault="00000000">
      <w:pPr>
        <w:spacing w:after="80" w:line="300" w:lineRule="auto"/>
      </w:pPr>
      <w:r>
        <w:rPr>
          <w:rFonts w:eastAsia="Times New Roman"/>
        </w:rPr>
        <w:t>1. Frost HM. Bone "mass" and the "</w:t>
      </w:r>
      <w:proofErr w:type="spellStart"/>
      <w:r>
        <w:rPr>
          <w:rFonts w:eastAsia="Times New Roman"/>
        </w:rPr>
        <w:t>mechanostat</w:t>
      </w:r>
      <w:proofErr w:type="spellEnd"/>
      <w:r>
        <w:rPr>
          <w:rFonts w:eastAsia="Times New Roman"/>
        </w:rPr>
        <w:t>": a proposal. Anat Rec. 1987;219(1):1–9. doi:10.1002/ar.1092190104</w:t>
      </w:r>
    </w:p>
    <w:p w14:paraId="7218A9AB" w14:textId="77777777" w:rsidR="003407C0" w:rsidRDefault="00000000">
      <w:pPr>
        <w:spacing w:after="80" w:line="300" w:lineRule="auto"/>
      </w:pPr>
      <w:r>
        <w:rPr>
          <w:rFonts w:eastAsia="Times New Roman"/>
        </w:rPr>
        <w:t xml:space="preserve">2. Fu R, Wang C, </w:t>
      </w:r>
      <w:proofErr w:type="spellStart"/>
      <w:r>
        <w:rPr>
          <w:rFonts w:eastAsia="Times New Roman"/>
        </w:rPr>
        <w:t>Shahneela</w:t>
      </w:r>
      <w:proofErr w:type="spellEnd"/>
      <w:r>
        <w:rPr>
          <w:rFonts w:eastAsia="Times New Roman"/>
        </w:rPr>
        <w:t xml:space="preserve"> N, Ud Din R, Yang H. A whole bone–</w:t>
      </w:r>
      <w:proofErr w:type="spellStart"/>
      <w:r>
        <w:rPr>
          <w:rFonts w:eastAsia="Times New Roman"/>
        </w:rPr>
        <w:t>lacunocanalicular</w:t>
      </w:r>
      <w:proofErr w:type="spellEnd"/>
      <w:r>
        <w:rPr>
          <w:rFonts w:eastAsia="Times New Roman"/>
        </w:rPr>
        <w:t xml:space="preserve"> network–osteocyte model examining bone adaptation to distinct loading parameters. Int J Mech Sci. </w:t>
      </w:r>
      <w:proofErr w:type="gramStart"/>
      <w:r>
        <w:rPr>
          <w:rFonts w:eastAsia="Times New Roman"/>
        </w:rPr>
        <w:t>2025;286:109931</w:t>
      </w:r>
      <w:proofErr w:type="gramEnd"/>
      <w:r>
        <w:rPr>
          <w:rFonts w:eastAsia="Times New Roman"/>
        </w:rPr>
        <w:t xml:space="preserve">. </w:t>
      </w:r>
      <w:proofErr w:type="gramStart"/>
      <w:r>
        <w:rPr>
          <w:rFonts w:eastAsia="Times New Roman"/>
        </w:rPr>
        <w:t>doi:10.1016/j.ijmecsci</w:t>
      </w:r>
      <w:proofErr w:type="gramEnd"/>
      <w:r>
        <w:rPr>
          <w:rFonts w:eastAsia="Times New Roman"/>
        </w:rPr>
        <w:t>.2025.109931</w:t>
      </w:r>
    </w:p>
    <w:p w14:paraId="3731FBBC" w14:textId="77777777" w:rsidR="003407C0" w:rsidRDefault="00000000">
      <w:pPr>
        <w:spacing w:after="80" w:line="300" w:lineRule="auto"/>
      </w:pPr>
      <w:r>
        <w:rPr>
          <w:rFonts w:eastAsia="Times New Roman"/>
        </w:rPr>
        <w:t xml:space="preserve">3. Lemaire V, Tobin FL, Greller LD, Cho CR, Suva LJ. Modeling the interactions between osteoblast and osteoclast activities in bone remodeling. J Theor Biol. 2004;229(3):293–309. </w:t>
      </w:r>
      <w:proofErr w:type="gramStart"/>
      <w:r>
        <w:rPr>
          <w:rFonts w:eastAsia="Times New Roman"/>
        </w:rPr>
        <w:t>doi:10.1016/j.jtbi</w:t>
      </w:r>
      <w:proofErr w:type="gramEnd"/>
      <w:r>
        <w:rPr>
          <w:rFonts w:eastAsia="Times New Roman"/>
        </w:rPr>
        <w:t>.2004.03.023</w:t>
      </w:r>
    </w:p>
    <w:p w14:paraId="13932375" w14:textId="77777777" w:rsidR="003407C0" w:rsidRDefault="00000000">
      <w:pPr>
        <w:spacing w:after="80" w:line="300" w:lineRule="auto"/>
      </w:pPr>
      <w:r>
        <w:rPr>
          <w:rFonts w:eastAsia="Times New Roman"/>
        </w:rPr>
        <w:t xml:space="preserve">4. Pivonka P, </w:t>
      </w:r>
      <w:proofErr w:type="spellStart"/>
      <w:r>
        <w:rPr>
          <w:rFonts w:eastAsia="Times New Roman"/>
        </w:rPr>
        <w:t>Zimak</w:t>
      </w:r>
      <w:proofErr w:type="spellEnd"/>
      <w:r>
        <w:rPr>
          <w:rFonts w:eastAsia="Times New Roman"/>
        </w:rPr>
        <w:t xml:space="preserve"> J, Smith DW, Gardiner BS, Dunstan CR, Sims NA, et al. Model structure </w:t>
      </w:r>
      <w:r>
        <w:rPr>
          <w:rFonts w:eastAsia="Times New Roman"/>
        </w:rPr>
        <w:lastRenderedPageBreak/>
        <w:t xml:space="preserve">and control of bone remodeling: a theoretical study. Bone. 2008;43(2):249–263. </w:t>
      </w:r>
      <w:proofErr w:type="gramStart"/>
      <w:r>
        <w:rPr>
          <w:rFonts w:eastAsia="Times New Roman"/>
        </w:rPr>
        <w:t>doi:10.1016/j.bone</w:t>
      </w:r>
      <w:proofErr w:type="gramEnd"/>
      <w:r>
        <w:rPr>
          <w:rFonts w:eastAsia="Times New Roman"/>
        </w:rPr>
        <w:t>.2008.03.025</w:t>
      </w:r>
    </w:p>
    <w:p w14:paraId="0EC3EFE9" w14:textId="77777777" w:rsidR="003407C0" w:rsidRDefault="00000000">
      <w:pPr>
        <w:spacing w:after="80" w:line="300" w:lineRule="auto"/>
      </w:pPr>
      <w:r>
        <w:rPr>
          <w:rFonts w:eastAsia="Times New Roman"/>
        </w:rPr>
        <w:t xml:space="preserve">5. Scheiner S, Pivonka P, Hellmich C. Coupling systems biology with multiscale mechanics, for computer simulations of bone remodeling. </w:t>
      </w:r>
      <w:proofErr w:type="spellStart"/>
      <w:r>
        <w:rPr>
          <w:rFonts w:eastAsia="Times New Roman"/>
        </w:rPr>
        <w:t>Comput</w:t>
      </w:r>
      <w:proofErr w:type="spellEnd"/>
      <w:r>
        <w:rPr>
          <w:rFonts w:eastAsia="Times New Roman"/>
        </w:rPr>
        <w:t xml:space="preserve"> Methods Appl Mech Eng. </w:t>
      </w:r>
      <w:proofErr w:type="gramStart"/>
      <w:r>
        <w:rPr>
          <w:rFonts w:eastAsia="Times New Roman"/>
        </w:rPr>
        <w:t>2013;254:181</w:t>
      </w:r>
      <w:proofErr w:type="gramEnd"/>
      <w:r>
        <w:rPr>
          <w:rFonts w:eastAsia="Times New Roman"/>
        </w:rPr>
        <w:t>–196.</w:t>
      </w:r>
    </w:p>
    <w:p w14:paraId="0DD77E29" w14:textId="77777777" w:rsidR="003407C0" w:rsidRDefault="00000000">
      <w:pPr>
        <w:spacing w:after="80" w:line="300" w:lineRule="auto"/>
      </w:pPr>
      <w:r>
        <w:rPr>
          <w:rFonts w:eastAsia="Times New Roman"/>
        </w:rPr>
        <w:t>6. Tai V, Leung W, Grey A, Reid IR, Bolland MJ. Calcium intake and bone mineral density: systematic review and meta-analysis. BMJ. 2015;351:h4183. doi:10.1136/bmj.h4183</w:t>
      </w:r>
    </w:p>
    <w:p w14:paraId="1F0FAD6F" w14:textId="77777777" w:rsidR="003407C0" w:rsidRDefault="00000000">
      <w:pPr>
        <w:spacing w:after="80" w:line="300" w:lineRule="auto"/>
      </w:pPr>
      <w:r>
        <w:rPr>
          <w:rFonts w:eastAsia="Times New Roman"/>
        </w:rPr>
        <w:t xml:space="preserve">7. Haapasalo H, </w:t>
      </w:r>
      <w:proofErr w:type="spellStart"/>
      <w:r>
        <w:rPr>
          <w:rFonts w:eastAsia="Times New Roman"/>
        </w:rPr>
        <w:t>Kontulainen</w:t>
      </w:r>
      <w:proofErr w:type="spellEnd"/>
      <w:r>
        <w:rPr>
          <w:rFonts w:eastAsia="Times New Roman"/>
        </w:rPr>
        <w:t xml:space="preserve"> S, </w:t>
      </w:r>
      <w:proofErr w:type="spellStart"/>
      <w:r>
        <w:rPr>
          <w:rFonts w:eastAsia="Times New Roman"/>
        </w:rPr>
        <w:t>Sievanen</w:t>
      </w:r>
      <w:proofErr w:type="spellEnd"/>
      <w:r>
        <w:rPr>
          <w:rFonts w:eastAsia="Times New Roman"/>
        </w:rPr>
        <w:t xml:space="preserve"> H, Kannus P, Jarvinen M, Vuori I. Exercise-induced bone gain is due to enlargement in bone size without a change in volumetric bone density: a peripheral quantitative computed tomography study of the upper arms of male tennis players. Bone. 2000;27(3):351–357. doi:10.1016/s8756-3282(00)00331-8</w:t>
      </w:r>
    </w:p>
    <w:p w14:paraId="377D3A31" w14:textId="77777777" w:rsidR="003407C0" w:rsidRDefault="00000000">
      <w:pPr>
        <w:spacing w:after="80" w:line="300" w:lineRule="auto"/>
      </w:pPr>
      <w:r>
        <w:rPr>
          <w:rFonts w:eastAsia="Times New Roman"/>
        </w:rPr>
        <w:t xml:space="preserve">8. Peterson MC, Riggs MM. A physiologically based mathematical model of integrated calcium homeostasis and bone remodeling. Bone. 2010;46(1):49–63. </w:t>
      </w:r>
      <w:proofErr w:type="gramStart"/>
      <w:r>
        <w:rPr>
          <w:rFonts w:eastAsia="Times New Roman"/>
        </w:rPr>
        <w:t>doi:10.1016/j.bone</w:t>
      </w:r>
      <w:proofErr w:type="gramEnd"/>
      <w:r>
        <w:rPr>
          <w:rFonts w:eastAsia="Times New Roman"/>
        </w:rPr>
        <w:t>.2009.08.053</w:t>
      </w:r>
    </w:p>
    <w:p w14:paraId="5A2E2C7C" w14:textId="77777777" w:rsidR="003407C0" w:rsidRDefault="00000000">
      <w:pPr>
        <w:spacing w:after="80" w:line="300" w:lineRule="auto"/>
      </w:pPr>
      <w:r>
        <w:rPr>
          <w:rFonts w:eastAsia="Times New Roman"/>
        </w:rPr>
        <w:t xml:space="preserve">9. Weinbaum S, Cowin SC, Zeng Y. A model for the excitation of osteocytes by mechanical loading-induced bone fluid shear stresses. J </w:t>
      </w:r>
      <w:proofErr w:type="spellStart"/>
      <w:r>
        <w:rPr>
          <w:rFonts w:eastAsia="Times New Roman"/>
        </w:rPr>
        <w:t>Biomech</w:t>
      </w:r>
      <w:proofErr w:type="spellEnd"/>
      <w:r>
        <w:rPr>
          <w:rFonts w:eastAsia="Times New Roman"/>
        </w:rPr>
        <w:t>. 1994;27(3):339–360. doi:10.1016/0021-9290(94)90010-8</w:t>
      </w:r>
    </w:p>
    <w:p w14:paraId="386D8436" w14:textId="77777777" w:rsidR="003407C0" w:rsidRDefault="00000000">
      <w:pPr>
        <w:spacing w:after="80" w:line="300" w:lineRule="auto"/>
      </w:pPr>
      <w:r>
        <w:rPr>
          <w:rFonts w:eastAsia="Times New Roman"/>
        </w:rPr>
        <w:t>10. Srinivasan S, Weimer DA, Agans SC, Bain SD, Gross TS. Low-magnitude mechanical loading becomes osteogenic when rest is inserted between each load cycle. J Bone Miner Res. 2002;17(9):1613–1620. doi:10.1359/jbmr.2002.17.9.1613</w:t>
      </w:r>
    </w:p>
    <w:p w14:paraId="5C75EC6C" w14:textId="77777777" w:rsidR="003407C0" w:rsidRDefault="00000000">
      <w:pPr>
        <w:spacing w:after="80" w:line="300" w:lineRule="auto"/>
      </w:pPr>
      <w:r>
        <w:rPr>
          <w:rFonts w:eastAsia="Times New Roman"/>
        </w:rPr>
        <w:t>11. Hsieh YF, Turner CH. Effects of loading frequency on mechanically induced bone formation. J Bone Miner Res. 2001;16(5):918–924. doi:10.1359/jbmr.2001.16.5.918</w:t>
      </w:r>
    </w:p>
    <w:p w14:paraId="32FBDF26" w14:textId="77777777" w:rsidR="003407C0" w:rsidRDefault="00000000">
      <w:pPr>
        <w:spacing w:after="80" w:line="300" w:lineRule="auto"/>
      </w:pPr>
      <w:r>
        <w:rPr>
          <w:rFonts w:eastAsia="Times New Roman"/>
        </w:rPr>
        <w:t xml:space="preserve">12. Marques FC, </w:t>
      </w:r>
      <w:proofErr w:type="spellStart"/>
      <w:r>
        <w:rPr>
          <w:rFonts w:eastAsia="Times New Roman"/>
        </w:rPr>
        <w:t>Boaretti</w:t>
      </w:r>
      <w:proofErr w:type="spellEnd"/>
      <w:r>
        <w:rPr>
          <w:rFonts w:eastAsia="Times New Roman"/>
        </w:rPr>
        <w:t xml:space="preserve"> D, Walle M, Scheuren AC, Schulte FA, Muller R. </w:t>
      </w:r>
      <w:proofErr w:type="spellStart"/>
      <w:r>
        <w:rPr>
          <w:rFonts w:eastAsia="Times New Roman"/>
        </w:rPr>
        <w:t>Mechanostat</w:t>
      </w:r>
      <w:proofErr w:type="spellEnd"/>
      <w:r>
        <w:rPr>
          <w:rFonts w:eastAsia="Times New Roman"/>
        </w:rPr>
        <w:t xml:space="preserve"> parameters estimated from time-lapsed in vivo micro-computed tomography data of mechanically driven bone adaptation are logarithmically dependent on loading frequency. Front </w:t>
      </w:r>
      <w:proofErr w:type="spellStart"/>
      <w:r>
        <w:rPr>
          <w:rFonts w:eastAsia="Times New Roman"/>
        </w:rPr>
        <w:t>Bioeng</w:t>
      </w:r>
      <w:proofErr w:type="spellEnd"/>
      <w:r>
        <w:rPr>
          <w:rFonts w:eastAsia="Times New Roman"/>
        </w:rPr>
        <w:t xml:space="preserve"> </w:t>
      </w:r>
      <w:proofErr w:type="spellStart"/>
      <w:r>
        <w:rPr>
          <w:rFonts w:eastAsia="Times New Roman"/>
        </w:rPr>
        <w:t>Biotechnol</w:t>
      </w:r>
      <w:proofErr w:type="spellEnd"/>
      <w:r>
        <w:rPr>
          <w:rFonts w:eastAsia="Times New Roman"/>
        </w:rPr>
        <w:t xml:space="preserve">. </w:t>
      </w:r>
      <w:proofErr w:type="gramStart"/>
      <w:r>
        <w:rPr>
          <w:rFonts w:eastAsia="Times New Roman"/>
        </w:rPr>
        <w:t>2023;11:1140673</w:t>
      </w:r>
      <w:proofErr w:type="gramEnd"/>
      <w:r>
        <w:rPr>
          <w:rFonts w:eastAsia="Times New Roman"/>
        </w:rPr>
        <w:t>. doi:10.3389/fbioe.2023.1140673</w:t>
      </w:r>
    </w:p>
    <w:p w14:paraId="03AC8E93" w14:textId="77777777" w:rsidR="003407C0" w:rsidRDefault="00000000">
      <w:pPr>
        <w:spacing w:after="80" w:line="300" w:lineRule="auto"/>
      </w:pPr>
      <w:r>
        <w:rPr>
          <w:rFonts w:eastAsia="Times New Roman"/>
        </w:rPr>
        <w:t>13. Schulte FA, Marques FC, Griesbach JK, Weigt C, von Salis-</w:t>
      </w:r>
      <w:proofErr w:type="spellStart"/>
      <w:r>
        <w:rPr>
          <w:rFonts w:eastAsia="Times New Roman"/>
        </w:rPr>
        <w:t>Soglio</w:t>
      </w:r>
      <w:proofErr w:type="spellEnd"/>
      <w:r>
        <w:rPr>
          <w:rFonts w:eastAsia="Times New Roman"/>
        </w:rPr>
        <w:t xml:space="preserve"> M, Lambers FM, et al. Combined physical and pharmacological anabolic osteoporosis therapies increase bone response and </w:t>
      </w:r>
      <w:proofErr w:type="spellStart"/>
      <w:r>
        <w:rPr>
          <w:rFonts w:eastAsia="Times New Roman"/>
        </w:rPr>
        <w:t>mechanoregulation</w:t>
      </w:r>
      <w:proofErr w:type="spellEnd"/>
      <w:r>
        <w:rPr>
          <w:rFonts w:eastAsia="Times New Roman"/>
        </w:rPr>
        <w:t xml:space="preserve"> in female mice. Nat Commun. </w:t>
      </w:r>
      <w:proofErr w:type="gramStart"/>
      <w:r>
        <w:rPr>
          <w:rFonts w:eastAsia="Times New Roman"/>
        </w:rPr>
        <w:t>2026;17:3759</w:t>
      </w:r>
      <w:proofErr w:type="gramEnd"/>
      <w:r>
        <w:rPr>
          <w:rFonts w:eastAsia="Times New Roman"/>
        </w:rPr>
        <w:t>. doi:10.1038/s41467-026-70309-2</w:t>
      </w:r>
    </w:p>
    <w:p w14:paraId="0DE641BF" w14:textId="77777777" w:rsidR="003407C0" w:rsidRDefault="00000000">
      <w:pPr>
        <w:spacing w:after="80" w:line="300" w:lineRule="auto"/>
      </w:pPr>
      <w:r>
        <w:rPr>
          <w:rFonts w:eastAsia="Times New Roman"/>
        </w:rPr>
        <w:t xml:space="preserve">14. Cosman F, Crittenden DB, Adachi JD, Binkley N, Czerwinski E, Ferrari S, et al. </w:t>
      </w:r>
      <w:proofErr w:type="spellStart"/>
      <w:r>
        <w:rPr>
          <w:rFonts w:eastAsia="Times New Roman"/>
        </w:rPr>
        <w:t>Romosozumab</w:t>
      </w:r>
      <w:proofErr w:type="spellEnd"/>
      <w:r>
        <w:rPr>
          <w:rFonts w:eastAsia="Times New Roman"/>
        </w:rPr>
        <w:t xml:space="preserve"> treatment in postmenopausal women with osteoporosis. N Engl J Med. 2016;375(16):1532–1543. doi:10.1056/NEJMoa1607948</w:t>
      </w:r>
    </w:p>
    <w:p w14:paraId="5574F388" w14:textId="77777777" w:rsidR="003407C0" w:rsidRDefault="00000000">
      <w:pPr>
        <w:spacing w:after="80" w:line="300" w:lineRule="auto"/>
      </w:pPr>
      <w:r>
        <w:rPr>
          <w:rFonts w:eastAsia="Times New Roman"/>
        </w:rPr>
        <w:t xml:space="preserve">15. </w:t>
      </w:r>
      <w:proofErr w:type="spellStart"/>
      <w:r>
        <w:rPr>
          <w:rFonts w:eastAsia="Times New Roman"/>
        </w:rPr>
        <w:t>Wijenayaka</w:t>
      </w:r>
      <w:proofErr w:type="spellEnd"/>
      <w:r>
        <w:rPr>
          <w:rFonts w:eastAsia="Times New Roman"/>
        </w:rPr>
        <w:t xml:space="preserve"> AR, Kogawa M, Lim HP, </w:t>
      </w:r>
      <w:proofErr w:type="spellStart"/>
      <w:r>
        <w:rPr>
          <w:rFonts w:eastAsia="Times New Roman"/>
        </w:rPr>
        <w:t>Bonewald</w:t>
      </w:r>
      <w:proofErr w:type="spellEnd"/>
      <w:r>
        <w:rPr>
          <w:rFonts w:eastAsia="Times New Roman"/>
        </w:rPr>
        <w:t xml:space="preserve"> LF, Findlay DM, Atkins GJ. Sclerostin stimulates osteocyte support of osteoclast activity by a RANKL-dependent pathway. </w:t>
      </w:r>
      <w:proofErr w:type="spellStart"/>
      <w:r>
        <w:rPr>
          <w:rFonts w:eastAsia="Times New Roman"/>
        </w:rPr>
        <w:t>PLoS</w:t>
      </w:r>
      <w:proofErr w:type="spellEnd"/>
      <w:r>
        <w:rPr>
          <w:rFonts w:eastAsia="Times New Roman"/>
        </w:rPr>
        <w:t xml:space="preserve"> One. 2011;6(10</w:t>
      </w:r>
      <w:proofErr w:type="gramStart"/>
      <w:r>
        <w:rPr>
          <w:rFonts w:eastAsia="Times New Roman"/>
        </w:rPr>
        <w:t>):e</w:t>
      </w:r>
      <w:proofErr w:type="gramEnd"/>
      <w:r>
        <w:rPr>
          <w:rFonts w:eastAsia="Times New Roman"/>
        </w:rPr>
        <w:t xml:space="preserve">25900. </w:t>
      </w:r>
      <w:proofErr w:type="gramStart"/>
      <w:r>
        <w:rPr>
          <w:rFonts w:eastAsia="Times New Roman"/>
        </w:rPr>
        <w:t>doi:10.1371/journal.pone</w:t>
      </w:r>
      <w:proofErr w:type="gramEnd"/>
      <w:r>
        <w:rPr>
          <w:rFonts w:eastAsia="Times New Roman"/>
        </w:rPr>
        <w:t>.0025900</w:t>
      </w:r>
    </w:p>
    <w:p w14:paraId="02AF9CA0" w14:textId="77777777" w:rsidR="003407C0" w:rsidRDefault="00000000">
      <w:pPr>
        <w:spacing w:after="80" w:line="300" w:lineRule="auto"/>
      </w:pPr>
      <w:r>
        <w:rPr>
          <w:rFonts w:eastAsia="Times New Roman"/>
        </w:rPr>
        <w:lastRenderedPageBreak/>
        <w:t xml:space="preserve">16. Currey JD. The effect of porosity and mineral content on the Young's modulus of elasticity of compact bone. J </w:t>
      </w:r>
      <w:proofErr w:type="spellStart"/>
      <w:r>
        <w:rPr>
          <w:rFonts w:eastAsia="Times New Roman"/>
        </w:rPr>
        <w:t>Biomech</w:t>
      </w:r>
      <w:proofErr w:type="spellEnd"/>
      <w:r>
        <w:rPr>
          <w:rFonts w:eastAsia="Times New Roman"/>
        </w:rPr>
        <w:t>. 1988;21(2):131–139. doi:10.1016/0021-9290(88)90006-1</w:t>
      </w:r>
    </w:p>
    <w:p w14:paraId="26184F0A" w14:textId="77777777" w:rsidR="003407C0" w:rsidRDefault="00000000">
      <w:pPr>
        <w:spacing w:after="80" w:line="300" w:lineRule="auto"/>
      </w:pPr>
      <w:r>
        <w:rPr>
          <w:rFonts w:eastAsia="Times New Roman"/>
        </w:rPr>
        <w:t xml:space="preserve">17. Bayraktar HH, Morgan EF, Niebur GL, Morris GE, Wong EK, Keaveny TM. Comparison of the elastic and yield properties of human femoral trabecular and cortical bone tissue. J </w:t>
      </w:r>
      <w:proofErr w:type="spellStart"/>
      <w:r>
        <w:rPr>
          <w:rFonts w:eastAsia="Times New Roman"/>
        </w:rPr>
        <w:t>Biomech</w:t>
      </w:r>
      <w:proofErr w:type="spellEnd"/>
      <w:r>
        <w:rPr>
          <w:rFonts w:eastAsia="Times New Roman"/>
        </w:rPr>
        <w:t>. 2004;37(1):27–35. doi:10.1016/s0021-9290(03)00257-4</w:t>
      </w:r>
    </w:p>
    <w:p w14:paraId="0D9CECDC" w14:textId="77777777" w:rsidR="003407C0" w:rsidRDefault="00000000">
      <w:pPr>
        <w:spacing w:after="80" w:line="300" w:lineRule="auto"/>
      </w:pPr>
      <w:r>
        <w:rPr>
          <w:rFonts w:eastAsia="Times New Roman"/>
        </w:rPr>
        <w:t>18. Martin RB. Porosity and specific surface of bone. Crit Rev Biomed Eng. 1984;10(3):179–222.</w:t>
      </w:r>
    </w:p>
    <w:p w14:paraId="58375D35" w14:textId="77777777" w:rsidR="003407C0" w:rsidRDefault="00000000">
      <w:pPr>
        <w:spacing w:after="80" w:line="300" w:lineRule="auto"/>
      </w:pPr>
      <w:r>
        <w:rPr>
          <w:rFonts w:eastAsia="Times New Roman"/>
        </w:rPr>
        <w:t xml:space="preserve">19. Lerebours C, Thomas CDL, Clement JG, </w:t>
      </w:r>
      <w:proofErr w:type="spellStart"/>
      <w:r>
        <w:rPr>
          <w:rFonts w:eastAsia="Times New Roman"/>
        </w:rPr>
        <w:t>Buenzli</w:t>
      </w:r>
      <w:proofErr w:type="spellEnd"/>
      <w:r>
        <w:rPr>
          <w:rFonts w:eastAsia="Times New Roman"/>
        </w:rPr>
        <w:t xml:space="preserve"> PR, Pivonka P. The relationship between porosity and specific surface in human cortical bone is subject specific. Bone. </w:t>
      </w:r>
      <w:proofErr w:type="gramStart"/>
      <w:r>
        <w:rPr>
          <w:rFonts w:eastAsia="Times New Roman"/>
        </w:rPr>
        <w:t>2015;72:109</w:t>
      </w:r>
      <w:proofErr w:type="gramEnd"/>
      <w:r>
        <w:rPr>
          <w:rFonts w:eastAsia="Times New Roman"/>
        </w:rPr>
        <w:t xml:space="preserve">–117. </w:t>
      </w:r>
      <w:proofErr w:type="gramStart"/>
      <w:r>
        <w:rPr>
          <w:rFonts w:eastAsia="Times New Roman"/>
        </w:rPr>
        <w:t>doi:10.1016/j.bone</w:t>
      </w:r>
      <w:proofErr w:type="gramEnd"/>
      <w:r>
        <w:rPr>
          <w:rFonts w:eastAsia="Times New Roman"/>
        </w:rPr>
        <w:t>.2014.11.016</w:t>
      </w:r>
    </w:p>
    <w:p w14:paraId="5EFF9750" w14:textId="77777777" w:rsidR="003407C0" w:rsidRDefault="00000000">
      <w:pPr>
        <w:spacing w:after="80" w:line="300" w:lineRule="auto"/>
      </w:pPr>
      <w:r>
        <w:rPr>
          <w:rFonts w:eastAsia="Times New Roman"/>
        </w:rPr>
        <w:t xml:space="preserve">20. Morgan EF, Keaveny TM. Dependence of yield strain of human trabecular bone on anatomic site. J </w:t>
      </w:r>
      <w:proofErr w:type="spellStart"/>
      <w:r>
        <w:rPr>
          <w:rFonts w:eastAsia="Times New Roman"/>
        </w:rPr>
        <w:t>Biomech</w:t>
      </w:r>
      <w:proofErr w:type="spellEnd"/>
      <w:r>
        <w:rPr>
          <w:rFonts w:eastAsia="Times New Roman"/>
        </w:rPr>
        <w:t>. 2001;34(5):569–577.</w:t>
      </w:r>
    </w:p>
    <w:p w14:paraId="0E5CC8D5" w14:textId="77777777" w:rsidR="003407C0" w:rsidRDefault="00000000">
      <w:pPr>
        <w:spacing w:after="80" w:line="300" w:lineRule="auto"/>
      </w:pPr>
      <w:r>
        <w:rPr>
          <w:rFonts w:eastAsia="Times New Roman"/>
        </w:rPr>
        <w:t xml:space="preserve">21. Yang H, Embry RE, Main RP. Effects of loading duration and short rest insertion on cancellous and cortical bone adaptation in the mouse tibia. </w:t>
      </w:r>
      <w:proofErr w:type="spellStart"/>
      <w:r>
        <w:rPr>
          <w:rFonts w:eastAsia="Times New Roman"/>
        </w:rPr>
        <w:t>PLoS</w:t>
      </w:r>
      <w:proofErr w:type="spellEnd"/>
      <w:r>
        <w:rPr>
          <w:rFonts w:eastAsia="Times New Roman"/>
        </w:rPr>
        <w:t xml:space="preserve"> One. 2017;12(1</w:t>
      </w:r>
      <w:proofErr w:type="gramStart"/>
      <w:r>
        <w:rPr>
          <w:rFonts w:eastAsia="Times New Roman"/>
        </w:rPr>
        <w:t>):e</w:t>
      </w:r>
      <w:proofErr w:type="gramEnd"/>
      <w:r>
        <w:rPr>
          <w:rFonts w:eastAsia="Times New Roman"/>
        </w:rPr>
        <w:t xml:space="preserve">0169519. </w:t>
      </w:r>
      <w:proofErr w:type="gramStart"/>
      <w:r>
        <w:rPr>
          <w:rFonts w:eastAsia="Times New Roman"/>
        </w:rPr>
        <w:t>doi:10.1371/journal.pone</w:t>
      </w:r>
      <w:proofErr w:type="gramEnd"/>
      <w:r>
        <w:rPr>
          <w:rFonts w:eastAsia="Times New Roman"/>
        </w:rPr>
        <w:t>.0169519</w:t>
      </w:r>
    </w:p>
    <w:p w14:paraId="18915505" w14:textId="77777777" w:rsidR="003407C0" w:rsidRDefault="00000000">
      <w:pPr>
        <w:spacing w:after="80" w:line="300" w:lineRule="auto"/>
      </w:pPr>
      <w:r>
        <w:rPr>
          <w:rFonts w:eastAsia="Times New Roman"/>
        </w:rPr>
        <w:t xml:space="preserve">22. Li X, Han L, </w:t>
      </w:r>
      <w:proofErr w:type="spellStart"/>
      <w:r>
        <w:rPr>
          <w:rFonts w:eastAsia="Times New Roman"/>
        </w:rPr>
        <w:t>Nookaew</w:t>
      </w:r>
      <w:proofErr w:type="spellEnd"/>
      <w:r>
        <w:rPr>
          <w:rFonts w:eastAsia="Times New Roman"/>
        </w:rPr>
        <w:t xml:space="preserve"> I, Mannen E, Silva MJ, Almeida M, et al. Stimulation of Piezo1 by mechanical signals promotes bone anabolism. </w:t>
      </w:r>
      <w:proofErr w:type="spellStart"/>
      <w:r>
        <w:rPr>
          <w:rFonts w:eastAsia="Times New Roman"/>
        </w:rPr>
        <w:t>eLife</w:t>
      </w:r>
      <w:proofErr w:type="spellEnd"/>
      <w:r>
        <w:rPr>
          <w:rFonts w:eastAsia="Times New Roman"/>
        </w:rPr>
        <w:t>. 2019;</w:t>
      </w:r>
      <w:proofErr w:type="gramStart"/>
      <w:r>
        <w:rPr>
          <w:rFonts w:eastAsia="Times New Roman"/>
        </w:rPr>
        <w:t>8:e</w:t>
      </w:r>
      <w:proofErr w:type="gramEnd"/>
      <w:r>
        <w:rPr>
          <w:rFonts w:eastAsia="Times New Roman"/>
        </w:rPr>
        <w:t>49631.</w:t>
      </w:r>
    </w:p>
    <w:p w14:paraId="1A7758CA" w14:textId="77777777" w:rsidR="003407C0" w:rsidRDefault="00000000">
      <w:pPr>
        <w:spacing w:after="80" w:line="300" w:lineRule="auto"/>
      </w:pPr>
      <w:r>
        <w:rPr>
          <w:rFonts w:eastAsia="Times New Roman"/>
        </w:rPr>
        <w:t xml:space="preserve">23. McClung MR, Brown JP, Diez-Perez A, Resch H, </w:t>
      </w:r>
      <w:proofErr w:type="spellStart"/>
      <w:r>
        <w:rPr>
          <w:rFonts w:eastAsia="Times New Roman"/>
        </w:rPr>
        <w:t>Caminis</w:t>
      </w:r>
      <w:proofErr w:type="spellEnd"/>
      <w:r>
        <w:rPr>
          <w:rFonts w:eastAsia="Times New Roman"/>
        </w:rPr>
        <w:t xml:space="preserve"> J, Meisner P, et al. Effects of 24 months of treatment with </w:t>
      </w:r>
      <w:proofErr w:type="spellStart"/>
      <w:r>
        <w:rPr>
          <w:rFonts w:eastAsia="Times New Roman"/>
        </w:rPr>
        <w:t>romosozumab</w:t>
      </w:r>
      <w:proofErr w:type="spellEnd"/>
      <w:r>
        <w:rPr>
          <w:rFonts w:eastAsia="Times New Roman"/>
        </w:rPr>
        <w:t xml:space="preserve"> followed by 12 months of denosumab or placebo in postmenopausal women with low bone mineral density: a randomized, double-blind, phase 2, parallel group study. J Bone Miner Res. 2018;33(8):1397-1406.</w:t>
      </w:r>
    </w:p>
    <w:p w14:paraId="6F960B28" w14:textId="77777777" w:rsidR="003407C0" w:rsidRDefault="00000000">
      <w:pPr>
        <w:spacing w:after="80" w:line="300" w:lineRule="auto"/>
      </w:pPr>
      <w:r>
        <w:rPr>
          <w:rFonts w:eastAsia="Times New Roman"/>
        </w:rPr>
        <w:t xml:space="preserve">24. Spatz JM, Fields EE, Yu EW, </w:t>
      </w:r>
      <w:proofErr w:type="spellStart"/>
      <w:r>
        <w:rPr>
          <w:rFonts w:eastAsia="Times New Roman"/>
        </w:rPr>
        <w:t>Divieti</w:t>
      </w:r>
      <w:proofErr w:type="spellEnd"/>
      <w:r>
        <w:rPr>
          <w:rFonts w:eastAsia="Times New Roman"/>
        </w:rPr>
        <w:t xml:space="preserve"> </w:t>
      </w:r>
      <w:proofErr w:type="spellStart"/>
      <w:r>
        <w:rPr>
          <w:rFonts w:eastAsia="Times New Roman"/>
        </w:rPr>
        <w:t>Pajevic</w:t>
      </w:r>
      <w:proofErr w:type="spellEnd"/>
      <w:r>
        <w:rPr>
          <w:rFonts w:eastAsia="Times New Roman"/>
        </w:rPr>
        <w:t xml:space="preserve"> P, </w:t>
      </w:r>
      <w:proofErr w:type="spellStart"/>
      <w:r>
        <w:rPr>
          <w:rFonts w:eastAsia="Times New Roman"/>
        </w:rPr>
        <w:t>Bouxsein</w:t>
      </w:r>
      <w:proofErr w:type="spellEnd"/>
      <w:r>
        <w:rPr>
          <w:rFonts w:eastAsia="Times New Roman"/>
        </w:rPr>
        <w:t xml:space="preserve"> ML, </w:t>
      </w:r>
      <w:proofErr w:type="spellStart"/>
      <w:r>
        <w:rPr>
          <w:rFonts w:eastAsia="Times New Roman"/>
        </w:rPr>
        <w:t>Sibonga</w:t>
      </w:r>
      <w:proofErr w:type="spellEnd"/>
      <w:r>
        <w:rPr>
          <w:rFonts w:eastAsia="Times New Roman"/>
        </w:rPr>
        <w:t xml:space="preserve"> JD, et al. Serum sclerostin increases in healthy adult men during bed rest. J Clin Endocrinol </w:t>
      </w:r>
      <w:proofErr w:type="spellStart"/>
      <w:r>
        <w:rPr>
          <w:rFonts w:eastAsia="Times New Roman"/>
        </w:rPr>
        <w:t>Metab</w:t>
      </w:r>
      <w:proofErr w:type="spellEnd"/>
      <w:r>
        <w:rPr>
          <w:rFonts w:eastAsia="Times New Roman"/>
        </w:rPr>
        <w:t>. 2012;97(9</w:t>
      </w:r>
      <w:proofErr w:type="gramStart"/>
      <w:r>
        <w:rPr>
          <w:rFonts w:eastAsia="Times New Roman"/>
        </w:rPr>
        <w:t>):E</w:t>
      </w:r>
      <w:proofErr w:type="gramEnd"/>
      <w:r>
        <w:rPr>
          <w:rFonts w:eastAsia="Times New Roman"/>
        </w:rPr>
        <w:t>1736-40.</w:t>
      </w:r>
    </w:p>
    <w:p w14:paraId="6A36EC33" w14:textId="77777777" w:rsidR="003407C0" w:rsidRDefault="00000000">
      <w:pPr>
        <w:spacing w:after="80" w:line="300" w:lineRule="auto"/>
      </w:pPr>
      <w:r>
        <w:rPr>
          <w:rFonts w:eastAsia="Times New Roman"/>
        </w:rPr>
        <w:t>25. Parfitt AM. Misconceptions (2): turnover is always higher in cancellous than in cortical bone. Bone. 2002;30(6):807-809.</w:t>
      </w:r>
    </w:p>
    <w:p w14:paraId="5810454E" w14:textId="77777777" w:rsidR="003407C0" w:rsidRDefault="00000000">
      <w:pPr>
        <w:spacing w:after="80" w:line="300" w:lineRule="auto"/>
      </w:pPr>
      <w:r>
        <w:rPr>
          <w:rFonts w:eastAsia="Times New Roman"/>
        </w:rPr>
        <w:t xml:space="preserve">26. Basso N, </w:t>
      </w:r>
      <w:proofErr w:type="spellStart"/>
      <w:r>
        <w:rPr>
          <w:rFonts w:eastAsia="Times New Roman"/>
        </w:rPr>
        <w:t>Heersche</w:t>
      </w:r>
      <w:proofErr w:type="spellEnd"/>
      <w:r>
        <w:rPr>
          <w:rFonts w:eastAsia="Times New Roman"/>
        </w:rPr>
        <w:t xml:space="preserve"> JNM. Effects of hind limb unloading and reloading on nitric oxide synthase expression and apoptosis of osteocytes and chondrocytes. Bone. 2006;39(4):807-814. </w:t>
      </w:r>
      <w:proofErr w:type="gramStart"/>
      <w:r>
        <w:rPr>
          <w:rFonts w:eastAsia="Times New Roman"/>
        </w:rPr>
        <w:t>doi:10.1016/j.bone</w:t>
      </w:r>
      <w:proofErr w:type="gramEnd"/>
      <w:r>
        <w:rPr>
          <w:rFonts w:eastAsia="Times New Roman"/>
        </w:rPr>
        <w:t>.2006.04.014</w:t>
      </w:r>
    </w:p>
    <w:p w14:paraId="033FA6F1" w14:textId="77777777" w:rsidR="003407C0" w:rsidRDefault="00000000">
      <w:pPr>
        <w:spacing w:after="80" w:line="300" w:lineRule="auto"/>
      </w:pPr>
      <w:r>
        <w:rPr>
          <w:rFonts w:eastAsia="Times New Roman"/>
        </w:rPr>
        <w:t xml:space="preserve">27. Plotkin LI, </w:t>
      </w:r>
      <w:proofErr w:type="spellStart"/>
      <w:r>
        <w:rPr>
          <w:rFonts w:eastAsia="Times New Roman"/>
        </w:rPr>
        <w:t>Gortazar</w:t>
      </w:r>
      <w:proofErr w:type="spellEnd"/>
      <w:r>
        <w:rPr>
          <w:rFonts w:eastAsia="Times New Roman"/>
        </w:rPr>
        <w:t xml:space="preserve"> AR, Davis HM, Condon KW, Gabilondo H, </w:t>
      </w:r>
      <w:proofErr w:type="spellStart"/>
      <w:r>
        <w:rPr>
          <w:rFonts w:eastAsia="Times New Roman"/>
        </w:rPr>
        <w:t>Maycas</w:t>
      </w:r>
      <w:proofErr w:type="spellEnd"/>
      <w:r>
        <w:rPr>
          <w:rFonts w:eastAsia="Times New Roman"/>
        </w:rPr>
        <w:t xml:space="preserve"> M, et al. Inhibition of osteocyte apoptosis prevents the increase in </w:t>
      </w:r>
      <w:proofErr w:type="spellStart"/>
      <w:r>
        <w:rPr>
          <w:rFonts w:eastAsia="Times New Roman"/>
        </w:rPr>
        <w:t>osteocytic</w:t>
      </w:r>
      <w:proofErr w:type="spellEnd"/>
      <w:r>
        <w:rPr>
          <w:rFonts w:eastAsia="Times New Roman"/>
        </w:rPr>
        <w:t xml:space="preserve"> receptor activator of nuclear factor </w:t>
      </w:r>
      <w:proofErr w:type="spellStart"/>
      <w:r>
        <w:rPr>
          <w:rFonts w:eastAsia="Times New Roman"/>
        </w:rPr>
        <w:t>κB</w:t>
      </w:r>
      <w:proofErr w:type="spellEnd"/>
      <w:r>
        <w:rPr>
          <w:rFonts w:eastAsia="Times New Roman"/>
        </w:rPr>
        <w:t xml:space="preserve"> ligand (RANKL) but does not stop bone resorption or the loss of bone induced by unloading. J Biol Chem. 2015;290(31):18934-18942. doi:10.1074/jbc.M115.642090</w:t>
      </w:r>
    </w:p>
    <w:p w14:paraId="3BF42AB7" w14:textId="77777777" w:rsidR="003407C0" w:rsidRDefault="00000000">
      <w:pPr>
        <w:spacing w:after="80" w:line="300" w:lineRule="auto"/>
      </w:pPr>
      <w:r>
        <w:rPr>
          <w:rFonts w:eastAsia="Times New Roman"/>
        </w:rPr>
        <w:t xml:space="preserve">28. </w:t>
      </w:r>
      <w:proofErr w:type="spellStart"/>
      <w:r>
        <w:rPr>
          <w:rFonts w:eastAsia="Times New Roman"/>
        </w:rPr>
        <w:t>Buenzli</w:t>
      </w:r>
      <w:proofErr w:type="spellEnd"/>
      <w:r>
        <w:rPr>
          <w:rFonts w:eastAsia="Times New Roman"/>
        </w:rPr>
        <w:t xml:space="preserve"> PR, Sims NA. Quantifying the osteocyte network in the human skeleton. Bone. </w:t>
      </w:r>
      <w:proofErr w:type="gramStart"/>
      <w:r>
        <w:rPr>
          <w:rFonts w:eastAsia="Times New Roman"/>
        </w:rPr>
        <w:lastRenderedPageBreak/>
        <w:t>2015;75:144</w:t>
      </w:r>
      <w:proofErr w:type="gramEnd"/>
      <w:r>
        <w:rPr>
          <w:rFonts w:eastAsia="Times New Roman"/>
        </w:rPr>
        <w:t xml:space="preserve">-150. </w:t>
      </w:r>
      <w:proofErr w:type="gramStart"/>
      <w:r>
        <w:rPr>
          <w:rFonts w:eastAsia="Times New Roman"/>
        </w:rPr>
        <w:t>doi:10.1016/j.bone</w:t>
      </w:r>
      <w:proofErr w:type="gramEnd"/>
      <w:r>
        <w:rPr>
          <w:rFonts w:eastAsia="Times New Roman"/>
        </w:rPr>
        <w:t>.2015.02.016</w:t>
      </w:r>
    </w:p>
    <w:p w14:paraId="21178D0B" w14:textId="77777777" w:rsidR="003407C0" w:rsidRDefault="00000000">
      <w:pPr>
        <w:spacing w:after="80" w:line="300" w:lineRule="auto"/>
      </w:pPr>
      <w:r>
        <w:rPr>
          <w:rFonts w:eastAsia="Times New Roman"/>
        </w:rPr>
        <w:t xml:space="preserve">29. </w:t>
      </w:r>
      <w:proofErr w:type="spellStart"/>
      <w:r>
        <w:rPr>
          <w:rFonts w:eastAsia="Times New Roman"/>
        </w:rPr>
        <w:t>Rolvien</w:t>
      </w:r>
      <w:proofErr w:type="spellEnd"/>
      <w:r>
        <w:rPr>
          <w:rFonts w:eastAsia="Times New Roman"/>
        </w:rPr>
        <w:t xml:space="preserve"> T, Milovanovic P, Schmidt FN, von Kroge S, Wölfel EM, Krause M, et al. Long-term immobilization in elderly females causes a specific pattern of cortical bone and osteocyte deterioration different from postmenopausal osteoporosis. J Bone Miner Res. 2020;35(7):1343-1351. doi:10.1002/jbmr.3970</w:t>
      </w:r>
    </w:p>
    <w:p w14:paraId="1F8AB252" w14:textId="77777777" w:rsidR="003407C0" w:rsidRDefault="00000000">
      <w:pPr>
        <w:spacing w:after="120" w:line="480" w:lineRule="auto"/>
      </w:pPr>
      <w:r>
        <w:rPr>
          <w:rFonts w:eastAsia="Times New Roman"/>
          <w:i/>
          <w:iCs/>
        </w:rPr>
        <w:t>All 29 references were verified against PubMed or, for the engineering title PubMed does not index (reference 2), against Semantic Scholar/Scopus and the publisher record, on 2026-07-26. Verification detail is in references_verified.md.</w:t>
      </w:r>
    </w:p>
    <w:p w14:paraId="26E7A6AB" w14:textId="77777777" w:rsidR="003407C0" w:rsidRDefault="00000000">
      <w:pPr>
        <w:pStyle w:val="1"/>
        <w:spacing w:before="360" w:after="160" w:line="360" w:lineRule="auto"/>
      </w:pPr>
      <w:r>
        <w:rPr>
          <w:rFonts w:eastAsia="Times New Roman"/>
          <w:b/>
          <w:bCs/>
          <w:sz w:val="28"/>
          <w:szCs w:val="28"/>
        </w:rPr>
        <w:t>Supporting information</w:t>
      </w:r>
    </w:p>
    <w:p w14:paraId="1FF1AE69" w14:textId="77777777" w:rsidR="003407C0" w:rsidRDefault="00000000">
      <w:pPr>
        <w:spacing w:after="120" w:line="480" w:lineRule="auto"/>
      </w:pPr>
      <w:r>
        <w:rPr>
          <w:rFonts w:eastAsia="Times New Roman"/>
          <w:b/>
          <w:bCs/>
        </w:rPr>
        <w:t>S1 Text. Model equations.</w:t>
      </w:r>
      <w:r>
        <w:rPr>
          <w:rFonts w:eastAsia="Times New Roman"/>
        </w:rPr>
        <w:t xml:space="preserve"> Full specification of modules M1–M8, state vector layout, and the derivation of the two rate constants the baseline state determines rather than leaves free: the formation constant, from bone-mass balance, and the osteocyte burial constant, from bone turnover.</w:t>
      </w:r>
    </w:p>
    <w:p w14:paraId="15BCC624" w14:textId="77777777" w:rsidR="003407C0" w:rsidRDefault="00000000">
      <w:pPr>
        <w:spacing w:after="120" w:line="480" w:lineRule="auto"/>
      </w:pPr>
      <w:r>
        <w:rPr>
          <w:rFonts w:eastAsia="Times New Roman"/>
          <w:b/>
          <w:bCs/>
        </w:rPr>
        <w:t>S1 Table. Parameters.</w:t>
      </w:r>
      <w:r>
        <w:rPr>
          <w:rFonts w:eastAsia="Times New Roman"/>
        </w:rPr>
        <w:t xml:space="preserve"> Every parameter with value, unit, bounds, owning module, literature source and confidence grading.</w:t>
      </w:r>
    </w:p>
    <w:p w14:paraId="060A1E4F" w14:textId="77777777" w:rsidR="003407C0" w:rsidRDefault="00000000">
      <w:pPr>
        <w:spacing w:after="120" w:line="480" w:lineRule="auto"/>
      </w:pPr>
      <w:r>
        <w:rPr>
          <w:rFonts w:eastAsia="Times New Roman"/>
          <w:b/>
          <w:bCs/>
        </w:rPr>
        <w:t>S2 Table. Validation targets.</w:t>
      </w:r>
      <w:r>
        <w:rPr>
          <w:rFonts w:eastAsia="Times New Roman"/>
        </w:rPr>
        <w:t xml:space="preserve"> All targets with ranges, tolerances, associated experiment and hold-out status.</w:t>
      </w:r>
    </w:p>
    <w:p w14:paraId="4D397E43" w14:textId="77777777" w:rsidR="003407C0" w:rsidRDefault="00000000">
      <w:pPr>
        <w:spacing w:after="120" w:line="480" w:lineRule="auto"/>
      </w:pPr>
      <w:r>
        <w:rPr>
          <w:rFonts w:eastAsia="Times New Roman"/>
          <w:b/>
          <w:bCs/>
        </w:rPr>
        <w:t>S1 Fig. Identifiability.</w:t>
      </w:r>
      <w:r>
        <w:rPr>
          <w:rFonts w:eastAsia="Times New Roman"/>
        </w:rPr>
        <w:t xml:space="preserve"> Two-dimensional χ² surface for the correlated PTH-pathway pair and one-dimensional profiles for the three remaining fitted parameters, of which two are individually identifiable and the antibody clearance constant is not.</w:t>
      </w:r>
    </w:p>
    <w:sectPr w:rsidR="003407C0">
      <w:footerReference w:type="default" r:id="rId7"/>
      <w:pgSz w:w="12240" w:h="15840"/>
      <w:pgMar w:top="1440" w:right="1440" w:bottom="1440" w:left="1440" w:header="708" w:footer="708"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870F0D0" w14:textId="77777777" w:rsidR="00830493" w:rsidRDefault="00830493">
      <w:r>
        <w:separator/>
      </w:r>
    </w:p>
  </w:endnote>
  <w:endnote w:type="continuationSeparator" w:id="0">
    <w:p w14:paraId="33A92E1E" w14:textId="77777777" w:rsidR="00830493" w:rsidRDefault="0083049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E1A6173" w14:textId="77777777" w:rsidR="003407C0" w:rsidRDefault="00000000">
    <w:pPr>
      <w:jc w:val="center"/>
    </w:pPr>
    <w:r>
      <w:rPr>
        <w:sz w:val="20"/>
        <w:szCs w:val="20"/>
      </w:rPr>
      <w:fldChar w:fldCharType="begin"/>
    </w:r>
    <w:r>
      <w:rPr>
        <w:rFonts w:eastAsia="Times New Roman"/>
        <w:sz w:val="20"/>
        <w:szCs w:val="20"/>
      </w:rPr>
      <w:instrText>PAGE</w:instrText>
    </w:r>
    <w:r>
      <w:rPr>
        <w:sz w:val="20"/>
        <w:szCs w:val="20"/>
      </w:rPr>
      <w:fldChar w:fldCharType="separate"/>
    </w:r>
    <w:r w:rsidR="00940060">
      <w:rPr>
        <w:rFonts w:eastAsia="Times New Roman"/>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E4BCD24" w14:textId="77777777" w:rsidR="00830493" w:rsidRDefault="00830493">
      <w:r>
        <w:separator/>
      </w:r>
    </w:p>
  </w:footnote>
  <w:footnote w:type="continuationSeparator" w:id="0">
    <w:p w14:paraId="5688BF12" w14:textId="77777777" w:rsidR="00830493" w:rsidRDefault="0083049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14E13DD"/>
    <w:multiLevelType w:val="hybridMultilevel"/>
    <w:tmpl w:val="7422B024"/>
    <w:lvl w:ilvl="0" w:tplc="C254C634">
      <w:start w:val="1"/>
      <w:numFmt w:val="bullet"/>
      <w:lvlText w:val="●"/>
      <w:lvlJc w:val="left"/>
      <w:pPr>
        <w:ind w:left="720" w:hanging="360"/>
      </w:pPr>
    </w:lvl>
    <w:lvl w:ilvl="1" w:tplc="540235B2">
      <w:start w:val="1"/>
      <w:numFmt w:val="bullet"/>
      <w:lvlText w:val="○"/>
      <w:lvlJc w:val="left"/>
      <w:pPr>
        <w:ind w:left="1440" w:hanging="360"/>
      </w:pPr>
    </w:lvl>
    <w:lvl w:ilvl="2" w:tplc="4F0A9A18">
      <w:start w:val="1"/>
      <w:numFmt w:val="bullet"/>
      <w:lvlText w:val="■"/>
      <w:lvlJc w:val="left"/>
      <w:pPr>
        <w:ind w:left="2160" w:hanging="360"/>
      </w:pPr>
    </w:lvl>
    <w:lvl w:ilvl="3" w:tplc="1464BB0A">
      <w:start w:val="1"/>
      <w:numFmt w:val="bullet"/>
      <w:lvlText w:val="●"/>
      <w:lvlJc w:val="left"/>
      <w:pPr>
        <w:ind w:left="2880" w:hanging="360"/>
      </w:pPr>
    </w:lvl>
    <w:lvl w:ilvl="4" w:tplc="28E08520">
      <w:start w:val="1"/>
      <w:numFmt w:val="bullet"/>
      <w:lvlText w:val="○"/>
      <w:lvlJc w:val="left"/>
      <w:pPr>
        <w:ind w:left="3600" w:hanging="360"/>
      </w:pPr>
    </w:lvl>
    <w:lvl w:ilvl="5" w:tplc="B628C31C">
      <w:start w:val="1"/>
      <w:numFmt w:val="bullet"/>
      <w:lvlText w:val="■"/>
      <w:lvlJc w:val="left"/>
      <w:pPr>
        <w:ind w:left="4320" w:hanging="360"/>
      </w:pPr>
    </w:lvl>
    <w:lvl w:ilvl="6" w:tplc="AFACEA16">
      <w:start w:val="1"/>
      <w:numFmt w:val="bullet"/>
      <w:lvlText w:val="●"/>
      <w:lvlJc w:val="left"/>
      <w:pPr>
        <w:ind w:left="5040" w:hanging="360"/>
      </w:pPr>
    </w:lvl>
    <w:lvl w:ilvl="7" w:tplc="FB9045CA">
      <w:start w:val="1"/>
      <w:numFmt w:val="bullet"/>
      <w:lvlText w:val="●"/>
      <w:lvlJc w:val="left"/>
      <w:pPr>
        <w:ind w:left="5760" w:hanging="360"/>
      </w:pPr>
    </w:lvl>
    <w:lvl w:ilvl="8" w:tplc="BA76C392">
      <w:start w:val="1"/>
      <w:numFmt w:val="bullet"/>
      <w:lvlText w:val="●"/>
      <w:lvlJc w:val="left"/>
      <w:pPr>
        <w:ind w:left="6480" w:hanging="360"/>
      </w:pPr>
    </w:lvl>
  </w:abstractNum>
  <w:num w:numId="1" w16cid:durableId="75592100">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2"/>
  <w:displayBackgroundShape/>
  <w:bordersDoNotSurroundHeader/>
  <w:bordersDoNotSurroundFooter/>
  <w:proofState w:spelling="clean" w:grammar="clean"/>
  <w:defaultTabStop w:val="48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07C0"/>
    <w:rsid w:val="003407C0"/>
    <w:rsid w:val="00830493"/>
    <w:rsid w:val="00940060"/>
    <w:rsid w:val="00CE16F2"/>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793C811C"/>
  <w15:docId w15:val="{DA645934-59AB-304D-AF51-6CB55E683D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heme="minorEastAsia" w:hAnsi="Times New Roman" w:cs="Times New Roman"/>
        <w:sz w:val="24"/>
        <w:szCs w:val="24"/>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semiHidden/>
    <w:unhideWhenUsed/>
    <w:qFormat/>
    <w:pPr>
      <w:outlineLvl w:val="2"/>
    </w:pPr>
    <w:rPr>
      <w:color w:val="1F4D78"/>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章節附註文字 字元"/>
    <w:link w:val="aa"/>
    <w:uiPriority w:val="99"/>
    <w:semiHidden/>
    <w:unhideWhenUsed/>
    <w:rPr>
      <w:sz w:val="20"/>
      <w:szCs w:val="20"/>
    </w:rPr>
  </w:style>
  <w:style w:type="character" w:styleId="ac">
    <w:name w:val="line number"/>
    <w:basedOn w:val="a0"/>
    <w:uiPriority w:val="99"/>
    <w:semiHidden/>
    <w:unhideWhenUsed/>
    <w:rsid w:val="0094006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37</Pages>
  <Words>10707</Words>
  <Characters>61032</Characters>
  <Application>Microsoft Office Word</Application>
  <DocSecurity>0</DocSecurity>
  <Lines>508</Lines>
  <Paragraphs>143</Paragraphs>
  <ScaleCrop>false</ScaleCrop>
  <Company/>
  <LinksUpToDate>false</LinksUpToDate>
  <CharactersWithSpaces>71596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fluid shear to sclerostin</dc:title>
  <dc:creator>Ming-Yu Hsieh</dc:creator>
  <cp:lastModifiedBy>謝明諭</cp:lastModifiedBy>
  <cp:revision>2</cp:revision>
  <dcterms:created xsi:type="dcterms:W3CDTF">2026-09-26T02:23:00Z</dcterms:created>
  <dcterms:modified xsi:type="dcterms:W3CDTF">2026-09-26T03:57:00Z</dcterms:modified>
</cp:coreProperties>
</file>