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PingFang TC" w:cs="PingFang TC" w:eastAsia="PingFang TC" w:hAnsi="PingFang TC"/>
          <w:b/>
          <w:bCs/>
          <w:sz w:val="32"/>
          <w:szCs w:val="32"/>
        </w:rPr>
        <w:t xml:space="preserve">Cover letter（投稿信）</w:t>
      </w:r>
    </w:p>
    <w:p>
      <w:pPr>
        <w:spacing w:after="100" w:line="360" w:lineRule="auto"/>
        <w:ind w:left="400"/>
      </w:pPr>
      <w:r>
        <w:rPr>
          <w:rFonts w:ascii="PingFang TC" w:cs="PingFang TC" w:eastAsia="PingFang TC" w:hAnsi="PingFang TC"/>
          <w:b/>
          <w:bCs/>
          <w:sz w:val="24"/>
          <w:szCs w:val="24"/>
        </w:rPr>
        <w:t xml:space="preserve">中文校稿版。</w:t>
      </w:r>
      <w:r>
        <w:rPr>
          <w:rFonts w:ascii="PingFang TC" w:cs="PingFang TC" w:eastAsia="PingFang TC" w:hAnsi="PingFang TC"/>
          <w:sz w:val="24"/>
          <w:szCs w:val="24"/>
        </w:rPr>
        <w:t xml:space="preserve"> 與 </w:t>
      </w:r>
      <w:r>
        <w:rPr>
          <w:rFonts w:ascii="Courier New" w:cs="Courier New" w:eastAsia="Courier New" w:hAnsi="Courier New"/>
          <w:sz w:val="24"/>
          <w:szCs w:val="24"/>
        </w:rPr>
        <w:t xml:space="preserve">cover_letter.md</w:t>
      </w:r>
      <w:r>
        <w:rPr>
          <w:rFonts w:ascii="PingFang TC" w:cs="PingFang TC" w:eastAsia="PingFang TC" w:hAnsi="PingFang TC"/>
          <w:sz w:val="24"/>
          <w:szCs w:val="24"/>
        </w:rPr>
        <w:t xml:space="preserve"> 逐段對應，供內容校對用，</w:t>
      </w:r>
      <w:r>
        <w:rPr>
          <w:rFonts w:ascii="PingFang TC" w:cs="PingFang TC" w:eastAsia="PingFang TC" w:hAnsi="PingFang TC"/>
          <w:b/>
          <w:bCs/>
          <w:sz w:val="24"/>
          <w:szCs w:val="24"/>
        </w:rPr>
        <w:t xml:space="preserve">非投稿檔案</w:t>
      </w:r>
      <w:r>
        <w:rPr>
          <w:rFonts w:ascii="PingFang TC" w:cs="PingFang TC" w:eastAsia="PingFang TC" w:hAnsi="PingFang TC"/>
          <w:sz w:val="24"/>
          <w:szCs w:val="24"/>
        </w:rPr>
        <w:t xml:space="preserve"> —— 投稿請用英文版。</w:t>
      </w:r>
    </w:p>
    <w:p>
      <w:pPr>
        <w:spacing w:after="100" w:line="360" w:lineRule="auto"/>
        <w:ind w:left="400"/>
      </w:pPr>
      <w:r>
        <w:rPr>
          <w:rFonts w:ascii="PingFang TC" w:cs="PingFang TC" w:eastAsia="PingFang TC" w:hAnsi="PingFang TC"/>
          <w:sz w:val="24"/>
          <w:szCs w:val="24"/>
        </w:rPr>
        <w:t xml:space="preserve">所有數值與英文版完全一致；關鍵術語首次出現時以括號附原文，方便比對。</w:t>
      </w:r>
    </w:p>
    <w:p>
      <w:pPr>
        <w:spacing w:after="120" w:line="480" w:lineRule="auto"/>
      </w:pPr>
      <w:r>
        <w:rPr>
          <w:rFonts w:ascii="PingFang TC" w:cs="PingFang TC" w:eastAsia="PingFang TC" w:hAnsi="PingFang TC"/>
          <w:sz w:val="24"/>
          <w:szCs w:val="24"/>
        </w:rPr>
        <w:t xml:space="preserve">致 編輯部</w:t>
      </w:r>
    </w:p>
    <w:p>
      <w:pPr>
        <w:spacing w:after="120" w:line="480" w:lineRule="auto"/>
      </w:pPr>
      <w:r>
        <w:rPr>
          <w:rFonts w:ascii="PingFang TC" w:cs="PingFang TC" w:eastAsia="PingFang TC" w:hAnsi="PingFang TC"/>
          <w:i/>
          <w:iCs/>
          <w:sz w:val="24"/>
          <w:szCs w:val="24"/>
        </w:rPr>
        <w:t xml:space="preserve">PLOS Computational Biology</w:t>
      </w:r>
    </w:p>
    <w:p>
      <w:pPr>
        <w:spacing w:after="120" w:line="480" w:lineRule="auto"/>
      </w:pPr>
      <w:r>
        <w:rPr>
          <w:rFonts w:ascii="PingFang TC" w:cs="PingFang TC" w:eastAsia="PingFang TC" w:hAnsi="PingFang TC"/>
          <w:sz w:val="24"/>
          <w:szCs w:val="24"/>
        </w:rPr>
        <w:t xml:space="preserve">敬啟者：</w:t>
      </w:r>
    </w:p>
    <w:p>
      <w:pPr>
        <w:spacing w:after="120" w:line="480" w:lineRule="auto"/>
      </w:pPr>
      <w:r>
        <w:rPr>
          <w:rFonts w:ascii="PingFang TC" w:cs="PingFang TC" w:eastAsia="PingFang TC" w:hAnsi="PingFang TC"/>
          <w:sz w:val="24"/>
          <w:szCs w:val="24"/>
        </w:rPr>
        <w:t xml:space="preserve">謹此惠請考慮所附稿件 </w:t>
      </w:r>
      <w:r>
        <w:rPr>
          <w:rFonts w:ascii="PingFang TC" w:cs="PingFang TC" w:eastAsia="PingFang TC" w:hAnsi="PingFang TC"/>
          <w:b/>
          <w:bCs/>
          <w:sz w:val="24"/>
          <w:szCs w:val="24"/>
        </w:rPr>
        <w:t xml:space="preserve">《From fluid shear to sclerostin: a mechanotransduction-resolved multiscale model of bone adaptation, and what it falsifies》</w:t>
      </w:r>
      <w:r>
        <w:rPr>
          <w:rFonts w:ascii="PingFang TC" w:cs="PingFang TC" w:eastAsia="PingFang TC" w:hAnsi="PingFang TC"/>
          <w:sz w:val="24"/>
          <w:szCs w:val="24"/>
        </w:rPr>
        <w:t xml:space="preserve">（從流體剪應力到硬化蛋白：一個力學傳導解析的骨適應多尺度模型，以及它所否證的），以 Research Article 形式發表。</w:t>
      </w:r>
    </w:p>
    <w:p>
      <w:pPr>
        <w:spacing w:after="120" w:line="480" w:lineRule="auto"/>
      </w:pPr>
      <w:r>
        <w:rPr>
          <w:rFonts w:ascii="PingFang TC" w:cs="PingFang TC" w:eastAsia="PingFang TC" w:hAnsi="PingFang TC"/>
          <w:sz w:val="24"/>
          <w:szCs w:val="24"/>
        </w:rPr>
        <w:t xml:space="preserve">骨骼建模從兩端各自推進，卻在中間未曾交會。描述骨細胞如何感測機械負荷的模型細緻且經過驗證，但</w:t>
      </w:r>
      <w:r>
        <w:rPr>
          <w:rFonts w:ascii="PingFang TC" w:cs="PingFang TC" w:eastAsia="PingFang TC" w:hAnsi="PingFang TC"/>
          <w:b/>
          <w:bCs/>
          <w:sz w:val="24"/>
          <w:szCs w:val="24"/>
        </w:rPr>
        <w:t xml:space="preserve">止於骨細胞</w:t>
      </w:r>
      <w:r>
        <w:rPr>
          <w:rFonts w:ascii="PingFang TC" w:cs="PingFang TC" w:eastAsia="PingFang TC" w:hAnsi="PingFang TC"/>
          <w:sz w:val="24"/>
          <w:szCs w:val="24"/>
        </w:rPr>
        <w:t xml:space="preserve">；描述骨細胞族群動力學的模型能預測骨密度與藥物反應，卻是由一個</w:t>
      </w:r>
      <w:r>
        <w:rPr>
          <w:rFonts w:ascii="PingFang TC" w:cs="PingFang TC" w:eastAsia="PingFang TC" w:hAnsi="PingFang TC"/>
          <w:b/>
          <w:bCs/>
          <w:sz w:val="24"/>
          <w:szCs w:val="24"/>
        </w:rPr>
        <w:t xml:space="preserve">沒有真實力學的唯象刺激</w:t>
      </w:r>
      <w:r>
        <w:rPr>
          <w:rFonts w:ascii="PingFang TC" w:cs="PingFang TC" w:eastAsia="PingFang TC" w:hAnsi="PingFang TC"/>
          <w:sz w:val="24"/>
          <w:szCs w:val="24"/>
        </w:rPr>
        <w:t xml:space="preserve">所驅動。其後果是：現有模型都無法在同一個計量單位下比較機械負荷與藥物，也無法讓鈣攝取與負荷競爭同一塊骨 —— 而那正是臨床工作者與病人每天在做的比較。</w:t>
      </w:r>
    </w:p>
    <w:p>
      <w:pPr>
        <w:spacing w:after="120" w:line="480" w:lineRule="auto"/>
      </w:pPr>
      <w:r>
        <w:rPr>
          <w:rFonts w:ascii="PingFang TC" w:cs="PingFang TC" w:eastAsia="PingFang TC" w:hAnsi="PingFang TC"/>
          <w:b/>
          <w:bCs/>
          <w:sz w:val="24"/>
          <w:szCs w:val="24"/>
        </w:rPr>
        <w:t xml:space="preserve">我們把兩端接起來了。</w:t>
      </w:r>
      <w:r>
        <w:rPr>
          <w:rFonts w:ascii="PingFang TC" w:cs="PingFang TC" w:eastAsia="PingFang TC" w:hAnsi="PingFang TC"/>
          <w:sz w:val="24"/>
          <w:szCs w:val="24"/>
        </w:rPr>
        <w:t xml:space="preserve"> 本模型將一個負荷連續地從器官層級的彎曲，經孔彈性骨小管液體剪應力、三態通道閘控、Piezo1–Ca²⁺–YAP/TAZ–硬化蛋白–Wnt 訊號傳導、RANK/RANKL/OPG 族群動力學、三表面幾何與礦化，一路帶到臨床掃描所報告的密度，並與全身鈣–副甲狀腺素–維生素 D 雙向耦合。</w:t>
      </w:r>
    </w:p>
    <w:p>
      <w:pPr>
        <w:spacing w:after="120" w:line="480" w:lineRule="auto"/>
      </w:pPr>
      <w:r>
        <w:rPr>
          <w:rFonts w:ascii="PingFang TC" w:cs="PingFang TC" w:eastAsia="PingFang TC" w:hAnsi="PingFang TC"/>
          <w:sz w:val="24"/>
          <w:szCs w:val="24"/>
        </w:rPr>
        <w:t xml:space="preserve">我們認為有三項特點特別契合貴刊。</w:t>
      </w:r>
    </w:p>
    <w:p>
      <w:pPr>
        <w:spacing w:after="120" w:line="480" w:lineRule="auto"/>
      </w:pPr>
      <w:r>
        <w:rPr>
          <w:rFonts w:ascii="PingFang TC" w:cs="PingFang TC" w:eastAsia="PingFang TC" w:hAnsi="PingFang TC"/>
          <w:b/>
          <w:bCs/>
          <w:sz w:val="24"/>
          <w:szCs w:val="24"/>
        </w:rPr>
        <w:t xml:space="preserve">這個模型是在預測，不是在遷就。</w:t>
      </w:r>
      <w:r>
        <w:rPr>
          <w:rFonts w:ascii="PingFang TC" w:cs="PingFang TC" w:eastAsia="PingFang TC" w:hAnsi="PingFang TC"/>
          <w:sz w:val="24"/>
          <w:szCs w:val="24"/>
        </w:rPr>
        <w:t xml:space="preserve"> 五個參數對五個標的擬合；</w:t>
      </w:r>
      <w:r>
        <w:rPr>
          <w:rFonts w:ascii="PingFang TC" w:cs="PingFang TC" w:eastAsia="PingFang TC" w:hAnsi="PingFang TC"/>
          <w:b/>
          <w:bCs/>
          <w:sz w:val="24"/>
          <w:szCs w:val="24"/>
        </w:rPr>
        <w:t xml:space="preserve">八項觀測值被保留、從未進入目標函數</w:t>
      </w:r>
      <w:r>
        <w:rPr>
          <w:rFonts w:ascii="PingFang TC" w:cs="PingFang TC" w:eastAsia="PingFang TC" w:hAnsi="PingFang TC"/>
          <w:sz w:val="24"/>
          <w:szCs w:val="24"/>
        </w:rPr>
        <w:t xml:space="preserve">。八項全數重現，包括網球選手肱骨的</w:t>
      </w:r>
      <w:r>
        <w:rPr>
          <w:rFonts w:ascii="PingFang TC" w:cs="PingFang TC" w:eastAsia="PingFang TC" w:hAnsi="PingFang TC"/>
          <w:b/>
          <w:bCs/>
          <w:sz w:val="24"/>
          <w:szCs w:val="24"/>
        </w:rPr>
        <w:t xml:space="preserve">全部六項</w:t>
      </w:r>
      <w:r>
        <w:rPr>
          <w:rFonts w:ascii="PingFang TC" w:cs="PingFang TC" w:eastAsia="PingFang TC" w:hAnsi="PingFang TC"/>
          <w:sz w:val="24"/>
          <w:szCs w:val="24"/>
        </w:rPr>
        <w:t xml:space="preserve"> pQCT 指標，以及抗硬化蛋白治療停藥後的骨流失。最引人注目的是：Frost 的 mechanostat 設定點 —— 一個 1987 年由觀察推得、從未被導出的唯象常數 —— 在 </w:t>
      </w:r>
      <w:r>
        <w:rPr>
          <w:rFonts w:ascii="PingFang TC" w:cs="PingFang TC" w:eastAsia="PingFang TC" w:hAnsi="PingFang TC"/>
          <w:b/>
          <w:bCs/>
          <w:sz w:val="24"/>
          <w:szCs w:val="24"/>
        </w:rPr>
        <w:t xml:space="preserve">787 με</w:t>
      </w:r>
      <w:r>
        <w:rPr>
          <w:rFonts w:ascii="PingFang TC" w:cs="PingFang TC" w:eastAsia="PingFang TC" w:hAnsi="PingFang TC"/>
          <w:sz w:val="24"/>
          <w:szCs w:val="24"/>
        </w:rPr>
        <w:t xml:space="preserve"> 湧現，落在他所提出的兩個閾值之間的 lazy zone 內，且</w:t>
      </w:r>
      <w:r>
        <w:rPr>
          <w:rFonts w:ascii="PingFang TC" w:cs="PingFang TC" w:eastAsia="PingFang TC" w:hAnsi="PingFang TC"/>
          <w:b/>
          <w:bCs/>
          <w:sz w:val="24"/>
          <w:szCs w:val="24"/>
        </w:rPr>
        <w:t xml:space="preserve">不耗費任何自由參數</w:t>
      </w:r>
      <w:r>
        <w:rPr>
          <w:rFonts w:ascii="PingFang TC" w:cs="PingFang TC" w:eastAsia="PingFang TC" w:hAnsi="PingFang TC"/>
          <w:sz w:val="24"/>
          <w:szCs w:val="24"/>
        </w:rPr>
        <w:t xml:space="preserve">。另有兩個看起來像自由參數的常數，實際上是由基線狀態導出而非擬合；其中一個過去</w:t>
      </w:r>
      <w:r>
        <w:rPr>
          <w:rFonts w:ascii="PingFang TC" w:cs="PingFang TC" w:eastAsia="PingFang TC" w:hAnsi="PingFang TC"/>
          <w:b/>
          <w:bCs/>
          <w:sz w:val="24"/>
          <w:szCs w:val="24"/>
        </w:rPr>
        <w:t xml:space="preserve">沒有</w:t>
      </w:r>
      <w:r>
        <w:rPr>
          <w:rFonts w:ascii="PingFang TC" w:cs="PingFang TC" w:eastAsia="PingFang TC" w:hAnsi="PingFang TC"/>
          <w:sz w:val="24"/>
          <w:szCs w:val="24"/>
        </w:rPr>
        <w:t xml:space="preserve">這樣處理，而稿件中說明了那導致了什麼。</w:t>
      </w:r>
    </w:p>
    <w:p>
      <w:pPr>
        <w:spacing w:after="120" w:line="480" w:lineRule="auto"/>
      </w:pPr>
      <w:r>
        <w:rPr>
          <w:rFonts w:ascii="PingFang TC" w:cs="PingFang TC" w:eastAsia="PingFang TC" w:hAnsi="PingFang TC"/>
          <w:b/>
          <w:bCs/>
          <w:sz w:val="24"/>
          <w:szCs w:val="24"/>
        </w:rPr>
        <w:t xml:space="preserve">我們把自己假說的否證寫在正文裡。</w:t>
      </w:r>
      <w:r>
        <w:rPr>
          <w:rFonts w:ascii="PingFang TC" w:cs="PingFang TC" w:eastAsia="PingFang TC" w:hAnsi="PingFang TC"/>
          <w:sz w:val="24"/>
          <w:szCs w:val="24"/>
        </w:rPr>
        <w:t xml:space="preserve"> 我們在校正之前即預測：骨質疏鬆會表現為一個經由鞍結點分歧所達到的替代穩態。</w:t>
      </w:r>
      <w:r>
        <w:rPr>
          <w:rFonts w:ascii="PingFang TC" w:cs="PingFang TC" w:eastAsia="PingFang TC" w:hAnsi="PingFang TC"/>
          <w:b/>
          <w:bCs/>
          <w:sz w:val="24"/>
          <w:szCs w:val="24"/>
        </w:rPr>
        <w:t xml:space="preserve">它沒有。</w:t>
      </w:r>
      <w:r>
        <w:rPr>
          <w:rFonts w:ascii="PingFang TC" w:cs="PingFang TC" w:eastAsia="PingFang TC" w:hAnsi="PingFang TC"/>
          <w:sz w:val="24"/>
          <w:szCs w:val="24"/>
        </w:rPr>
        <w:t xml:space="preserve"> 模型以兩條獨立路徑證實為單穩態，而完整的「撤除再恢復」探針回到基線的 </w:t>
      </w:r>
      <w:r>
        <w:rPr>
          <w:rFonts w:ascii="PingFang TC" w:cs="PingFang TC" w:eastAsia="PingFang TC" w:hAnsi="PingFang TC"/>
          <w:b/>
          <w:bCs/>
          <w:sz w:val="24"/>
          <w:szCs w:val="24"/>
        </w:rPr>
        <w:t xml:space="preserve">100.3 %</w:t>
      </w:r>
      <w:r>
        <w:rPr>
          <w:rFonts w:ascii="PingFang TC" w:cs="PingFang TC" w:eastAsia="PingFang TC" w:hAnsi="PingFang TC"/>
          <w:sz w:val="24"/>
          <w:szCs w:val="24"/>
        </w:rPr>
        <w:t xml:space="preserve"> 且無遲滯。我們認為這比證實更有訊息量。雙穩態在複雜生理模型中很容易做出來，也因此格外脆弱 —— 本研究中曾有一個數值假影</w:t>
      </w:r>
      <w:r>
        <w:rPr>
          <w:rFonts w:ascii="PingFang TC" w:cs="PingFang TC" w:eastAsia="PingFang TC" w:hAnsi="PingFang TC"/>
          <w:b/>
          <w:bCs/>
          <w:sz w:val="24"/>
          <w:szCs w:val="24"/>
        </w:rPr>
        <w:t xml:space="preserve">幾乎就給出了那個結論</w:t>
      </w:r>
      <w:r>
        <w:rPr>
          <w:rFonts w:ascii="PingFang TC" w:cs="PingFang TC" w:eastAsia="PingFang TC" w:hAnsi="PingFang TC"/>
          <w:sz w:val="24"/>
          <w:szCs w:val="24"/>
        </w:rPr>
        <w:t xml:space="preserve">，稿件說明了它是如何被抓到的。這個否證買到的是一條邊界：mechanostat 的負回饋在孔隙率尺度上強到足以救回低骨量，因此</w:t>
      </w:r>
      <w:r>
        <w:rPr>
          <w:rFonts w:ascii="PingFang TC" w:cs="PingFang TC" w:eastAsia="PingFang TC" w:hAnsi="PingFang TC"/>
          <w:b/>
          <w:bCs/>
          <w:sz w:val="24"/>
          <w:szCs w:val="24"/>
        </w:rPr>
        <w:t xml:space="preserve">臨床上的不可逆性必然源自連續孔隙率動力學無法表徵的結構性喪失</w:t>
      </w:r>
      <w:r>
        <w:rPr>
          <w:rFonts w:ascii="PingFang TC" w:cs="PingFang TC" w:eastAsia="PingFang TC" w:hAnsi="PingFang TC"/>
          <w:sz w:val="24"/>
          <w:szCs w:val="24"/>
        </w:rPr>
        <w:t xml:space="preserve">。那是一個可檢驗的預測，不是一句推託。</w:t>
      </w:r>
    </w:p>
    <w:p>
      <w:pPr>
        <w:spacing w:after="120" w:line="480" w:lineRule="auto"/>
      </w:pPr>
      <w:r>
        <w:rPr>
          <w:rFonts w:ascii="PingFang TC" w:cs="PingFang TC" w:eastAsia="PingFang TC" w:hAnsi="PingFang TC"/>
          <w:b/>
          <w:bCs/>
          <w:sz w:val="24"/>
          <w:szCs w:val="24"/>
        </w:rPr>
        <w:t xml:space="preserve">我們三個量化主張中有一個會在不同度量下符號反轉，另一個曾經如此，直到一個不相干的模組被修好為止。</w:t>
      </w:r>
      <w:r>
        <w:rPr>
          <w:rFonts w:ascii="PingFang TC" w:cs="PingFang TC" w:eastAsia="PingFang TC" w:hAnsi="PingFang TC"/>
          <w:sz w:val="24"/>
          <w:szCs w:val="24"/>
        </w:rPr>
        <w:t xml:space="preserve"> 負荷效應以骨礦物含量計為 </w:t>
      </w:r>
      <w:r>
        <w:rPr>
          <w:rFonts w:ascii="PingFang TC" w:cs="PingFang TC" w:eastAsia="PingFang TC" w:hAnsi="PingFang TC"/>
          <w:b/>
          <w:bCs/>
          <w:sz w:val="24"/>
          <w:szCs w:val="24"/>
        </w:rPr>
        <w:t xml:space="preserve">+4.582 %</w:t>
      </w:r>
      <w:r>
        <w:rPr>
          <w:rFonts w:ascii="PingFang TC" w:cs="PingFang TC" w:eastAsia="PingFang TC" w:hAnsi="PingFang TC"/>
          <w:sz w:val="24"/>
          <w:szCs w:val="24"/>
        </w:rPr>
        <w:t xml:space="preserve">，以面積骨密度計為 </w:t>
      </w:r>
      <w:r>
        <w:rPr>
          <w:rFonts w:ascii="PingFang TC" w:cs="PingFang TC" w:eastAsia="PingFang TC" w:hAnsi="PingFang TC"/>
          <w:b/>
          <w:bCs/>
          <w:sz w:val="24"/>
          <w:szCs w:val="24"/>
        </w:rPr>
        <w:t xml:space="preserve">+1.778 %</w:t>
      </w:r>
      <w:r>
        <w:rPr>
          <w:rFonts w:ascii="PingFang TC" w:cs="PingFang TC" w:eastAsia="PingFang TC" w:hAnsi="PingFang TC"/>
          <w:sz w:val="24"/>
          <w:szCs w:val="24"/>
        </w:rPr>
        <w:t xml:space="preserve">，因為負荷會把皮質向外平移，而面積骨密度是除以投影寬度。鈣–負荷交互作用以差異中的差異表述曾為負、以絕對值表述為正；重建全身鈣模組之後兩種表述都成為正。我們報告的是這段</w:t>
      </w:r>
      <w:r>
        <w:rPr>
          <w:rFonts w:ascii="PingFang TC" w:cs="PingFang TC" w:eastAsia="PingFang TC" w:hAnsi="PingFang TC"/>
          <w:b/>
          <w:bCs/>
          <w:sz w:val="24"/>
          <w:szCs w:val="24"/>
        </w:rPr>
        <w:t xml:space="preserve">歷史</w:t>
      </w:r>
      <w:r>
        <w:rPr>
          <w:rFonts w:ascii="PingFang TC" w:cs="PingFang TC" w:eastAsia="PingFang TC" w:hAnsi="PingFang TC"/>
          <w:sz w:val="24"/>
          <w:szCs w:val="24"/>
        </w:rPr>
        <w:t xml:space="preserve">而不只是目前的符號，因為一個會在不相干模組被修正時翻轉的結論，應該被鬆散地持有。兩次反轉都不是建模錯誤，而是眾所週知的測量性質所導致的忠實後果。我們把</w:t>
      </w:r>
      <w:r>
        <w:rPr>
          <w:rFonts w:ascii="PingFang TC" w:cs="PingFang TC" w:eastAsia="PingFang TC" w:hAnsi="PingFang TC"/>
          <w:b/>
          <w:bCs/>
          <w:sz w:val="24"/>
          <w:szCs w:val="24"/>
        </w:rPr>
        <w:t xml:space="preserve">度量敏感性本身</w:t>
      </w:r>
      <w:r>
        <w:rPr>
          <w:rFonts w:ascii="PingFang TC" w:cs="PingFang TC" w:eastAsia="PingFang TC" w:hAnsi="PingFang TC"/>
          <w:sz w:val="24"/>
          <w:szCs w:val="24"/>
        </w:rPr>
        <w:t xml:space="preserve">當作一項結果報告，因為它直接關係到負荷試驗該如何選擇並陳述其終點指標。</w:t>
      </w:r>
    </w:p>
    <w:p>
      <w:pPr>
        <w:spacing w:after="120" w:line="480" w:lineRule="auto"/>
      </w:pPr>
      <w:r>
        <w:rPr>
          <w:rFonts w:ascii="PingFang TC" w:cs="PingFang TC" w:eastAsia="PingFang TC" w:hAnsi="PingFang TC"/>
          <w:b/>
          <w:bCs/>
          <w:sz w:val="24"/>
          <w:szCs w:val="24"/>
        </w:rPr>
        <w:t xml:space="preserve">我們報告自己犯的錯，其中兩個改變了結果。</w:t>
      </w:r>
      <w:r>
        <w:rPr>
          <w:rFonts w:ascii="PingFang TC" w:cs="PingFang TC" w:eastAsia="PingFang TC" w:hAnsi="PingFang TC"/>
          <w:sz w:val="24"/>
          <w:szCs w:val="24"/>
        </w:rPr>
        <w:t xml:space="preserve"> 在準備投稿期間我們發現，模型中骨細胞族群的周轉速度比它自己的骨快了 </w:t>
      </w:r>
      <w:r>
        <w:rPr>
          <w:rFonts w:ascii="PingFang TC" w:cs="PingFang TC" w:eastAsia="PingFang TC" w:hAnsi="PingFang TC"/>
          <w:b/>
          <w:bCs/>
          <w:sz w:val="24"/>
          <w:szCs w:val="24"/>
        </w:rPr>
        <w:t xml:space="preserve">514 倍</w:t>
      </w:r>
      <w:r>
        <w:rPr>
          <w:rFonts w:ascii="PingFang TC" w:cs="PingFang TC" w:eastAsia="PingFang TC" w:hAnsi="PingFang TC"/>
          <w:sz w:val="24"/>
          <w:szCs w:val="24"/>
        </w:rPr>
        <w:t xml:space="preserve"> —— 那是一個</w:t>
      </w:r>
      <w:r>
        <w:rPr>
          <w:rFonts w:ascii="PingFang TC" w:cs="PingFang TC" w:eastAsia="PingFang TC" w:hAnsi="PingFang TC"/>
          <w:b/>
          <w:bCs/>
          <w:sz w:val="24"/>
          <w:szCs w:val="24"/>
        </w:rPr>
        <w:t xml:space="preserve">內部矛盾</w:t>
      </w:r>
      <w:r>
        <w:rPr>
          <w:rFonts w:ascii="PingFang TC" w:cs="PingFang TC" w:eastAsia="PingFang TC" w:hAnsi="PingFang TC"/>
          <w:sz w:val="24"/>
          <w:szCs w:val="24"/>
        </w:rPr>
        <w:t xml:space="preserve">，不是與資料不合，而它通過了我們所有的驗證標的、長達兩年。修正它讓我們</w:t>
      </w:r>
      <w:r>
        <w:rPr>
          <w:rFonts w:ascii="PingFang TC" w:cs="PingFang TC" w:eastAsia="PingFang TC" w:hAnsi="PingFang TC"/>
          <w:b/>
          <w:bCs/>
          <w:sz w:val="24"/>
          <w:szCs w:val="24"/>
        </w:rPr>
        <w:t xml:space="preserve">失去一個校正標的、改善了一個盲測標的</w:t>
      </w:r>
      <w:r>
        <w:rPr>
          <w:rFonts w:ascii="PingFang TC" w:cs="PingFang TC" w:eastAsia="PingFang TC" w:hAnsi="PingFang TC"/>
          <w:sz w:val="24"/>
          <w:szCs w:val="24"/>
        </w:rPr>
        <w:t xml:space="preserve">，兩個方向我們都報告。我們也建了</w:t>
      </w:r>
      <w:r>
        <w:rPr>
          <w:rFonts w:ascii="PingFang TC" w:cs="PingFang TC" w:eastAsia="PingFang TC" w:hAnsi="PingFang TC"/>
          <w:b/>
          <w:bCs/>
          <w:sz w:val="24"/>
          <w:szCs w:val="24"/>
        </w:rPr>
        <w:t xml:space="preserve">三個各自獨立的機制</w:t>
      </w:r>
      <w:r>
        <w:rPr>
          <w:rFonts w:ascii="PingFang TC" w:cs="PingFang TC" w:eastAsia="PingFang TC" w:hAnsi="PingFang TC"/>
          <w:sz w:val="24"/>
          <w:szCs w:val="24"/>
        </w:rPr>
        <w:t xml:space="preserve">，想讓模型能以一個實測的比表面積指數取代我們已知錯六倍的那個；</w:t>
      </w:r>
      <w:r>
        <w:rPr>
          <w:rFonts w:ascii="PingFang TC" w:cs="PingFang TC" w:eastAsia="PingFang TC" w:hAnsi="PingFang TC"/>
          <w:b/>
          <w:bCs/>
          <w:sz w:val="24"/>
          <w:szCs w:val="24"/>
        </w:rPr>
        <w:t xml:space="preserve">三個全部失敗，而且各自敗在不同的環節</w:t>
      </w:r>
      <w:r>
        <w:rPr>
          <w:rFonts w:ascii="PingFang TC" w:cs="PingFang TC" w:eastAsia="PingFang TC" w:hAnsi="PingFang TC"/>
          <w:sz w:val="24"/>
          <w:szCs w:val="24"/>
        </w:rPr>
        <w:t xml:space="preserve"> —— 專一性、權威、生理 —— 這個模式被當作一項結構性結果寫在正文，而不是埋起來。我們寧可投出一份會說明「自己哪些數字動過、為什麼動」的稿件。</w:t>
      </w:r>
    </w:p>
    <w:p>
      <w:pPr>
        <w:spacing w:after="120" w:line="480" w:lineRule="auto"/>
      </w:pPr>
      <w:r>
        <w:rPr>
          <w:rFonts w:ascii="PingFang TC" w:cs="PingFang TC" w:eastAsia="PingFang TC" w:hAnsi="PingFang TC"/>
          <w:sz w:val="24"/>
          <w:szCs w:val="24"/>
        </w:rPr>
        <w:t xml:space="preserve">全部程式碼、附文獻出處與信心分級的參數表、驗證標的定義、全部七支實驗腳本，以及一套 </w:t>
      </w:r>
      <w:r>
        <w:rPr>
          <w:rFonts w:ascii="PingFang TC" w:cs="PingFang TC" w:eastAsia="PingFang TC" w:hAnsi="PingFang TC"/>
          <w:b/>
          <w:bCs/>
          <w:sz w:val="24"/>
          <w:szCs w:val="24"/>
        </w:rPr>
        <w:t xml:space="preserve">91 項斷言</w:t>
      </w:r>
      <w:r>
        <w:rPr>
          <w:rFonts w:ascii="PingFang TC" w:cs="PingFang TC" w:eastAsia="PingFang TC" w:hAnsi="PingFang TC"/>
          <w:sz w:val="24"/>
          <w:szCs w:val="24"/>
        </w:rPr>
        <w:t xml:space="preserve">的自動化測試，均已公開存放於 https://github.com/myhsieh1002/bone-mechanostat 並封存於 Zenodo（concept DOI 10.5281/zenodo.21592303），因此審稿人可在審查期間實際執行本模型。本文每一張圖都由單一具名腳本重新產生。</w:t>
      </w:r>
    </w:p>
    <w:p>
      <w:pPr>
        <w:spacing w:after="120" w:line="480" w:lineRule="auto"/>
      </w:pPr>
      <w:r>
        <w:rPr>
          <w:rFonts w:ascii="PingFang TC" w:cs="PingFang TC" w:eastAsia="PingFang TC" w:hAnsi="PingFang TC"/>
          <w:sz w:val="24"/>
          <w:szCs w:val="24"/>
        </w:rPr>
        <w:t xml:space="preserve">本稿件為原創，未同時投稿他處，且不涉及人體或動物受試者。全體作者均已同意投稿並聲明無利益衝突。</w:t>
      </w:r>
      <w:r>
        <w:rPr>
          <w:rFonts w:ascii="PingFang TC" w:cs="PingFang TC" w:eastAsia="PingFang TC" w:hAnsi="PingFang TC"/>
          <w:b/>
          <w:bCs/>
          <w:sz w:val="24"/>
          <w:szCs w:val="24"/>
        </w:rPr>
        <w:t xml:space="preserve">本研究未接受任何經費補助。</w:t>
      </w:r>
    </w:p>
    <w:p>
      <w:pPr>
        <w:spacing w:after="120" w:line="480" w:lineRule="auto"/>
      </w:pPr>
      <w:r>
        <w:rPr>
          <w:rFonts w:ascii="PingFang TC" w:cs="PingFang TC" w:eastAsia="PingFang TC" w:hAnsi="PingFang TC"/>
          <w:sz w:val="24"/>
          <w:szCs w:val="24"/>
        </w:rPr>
        <w:t xml:space="preserve">感謝您的考量。</w:t>
      </w:r>
    </w:p>
    <w:p>
      <w:pPr>
        <w:spacing w:after="120" w:line="480" w:lineRule="auto"/>
      </w:pPr>
      <w:r>
        <w:rPr>
          <w:rFonts w:ascii="PingFang TC" w:cs="PingFang TC" w:eastAsia="PingFang TC" w:hAnsi="PingFang TC"/>
          <w:sz w:val="24"/>
          <w:szCs w:val="24"/>
        </w:rPr>
        <w:t xml:space="preserve">謹此</w:t>
      </w:r>
    </w:p>
    <w:p>
      <w:pPr>
        <w:spacing w:after="120" w:line="480" w:lineRule="auto"/>
      </w:pPr>
      <w:r>
        <w:rPr>
          <w:rFonts w:ascii="PingFang TC" w:cs="PingFang TC" w:eastAsia="PingFang TC" w:hAnsi="PingFang TC"/>
          <w:b/>
          <w:bCs/>
          <w:sz w:val="24"/>
          <w:szCs w:val="24"/>
        </w:rPr>
        <w:t xml:space="preserve">謝明諭 Ming-Yu Hsieh, MD, PhD</w:t>
      </w:r>
      <w:r>
        <w:rPr>
          <w:rFonts w:ascii="PingFang TC" w:cs="PingFang TC" w:eastAsia="PingFang TC" w:hAnsi="PingFang TC"/>
          <w:sz w:val="24"/>
          <w:szCs w:val="24"/>
        </w:rPr>
        <w:t xml:space="preserve">（通訊作者）</w:t>
      </w:r>
    </w:p>
    <w:p>
      <w:pPr>
        <w:spacing w:after="120" w:line="480" w:lineRule="auto"/>
      </w:pPr>
      <w:r>
        <w:rPr>
          <w:rFonts w:ascii="PingFang TC" w:cs="PingFang TC" w:eastAsia="PingFang TC" w:hAnsi="PingFang TC"/>
          <w:sz w:val="24"/>
          <w:szCs w:val="24"/>
        </w:rPr>
        <w:t xml:space="preserve">中山醫學大學醫學系 副主任暨副教授</w:t>
      </w:r>
    </w:p>
    <w:p>
      <w:pPr>
        <w:spacing w:after="120" w:line="480" w:lineRule="auto"/>
      </w:pPr>
      <w:r>
        <w:rPr>
          <w:rFonts w:ascii="PingFang TC" w:cs="PingFang TC" w:eastAsia="PingFang TC" w:hAnsi="PingFang TC"/>
          <w:sz w:val="24"/>
          <w:szCs w:val="24"/>
        </w:rPr>
        <w:t xml:space="preserve">中山醫學大學附設醫院 小兒外科主任</w:t>
      </w:r>
    </w:p>
    <w:p>
      <w:pPr>
        <w:spacing w:after="120" w:line="480" w:lineRule="auto"/>
      </w:pPr>
      <w:r>
        <w:rPr>
          <w:rFonts w:ascii="PingFang TC" w:cs="PingFang TC" w:eastAsia="PingFang TC" w:hAnsi="PingFang TC"/>
          <w:sz w:val="24"/>
          <w:szCs w:val="24"/>
        </w:rPr>
        <w:t xml:space="preserve">中山醫學大學附設醫院 實證醫學中心主任</w:t>
      </w:r>
    </w:p>
    <w:p>
      <w:pPr>
        <w:spacing w:after="120" w:line="480" w:lineRule="auto"/>
      </w:pPr>
      <w:r>
        <w:rPr>
          <w:rFonts w:ascii="PingFang TC" w:cs="PingFang TC" w:eastAsia="PingFang TC" w:hAnsi="PingFang TC"/>
          <w:sz w:val="24"/>
          <w:szCs w:val="24"/>
        </w:rPr>
        <w:t xml:space="preserve">台中，台灣</w:t>
      </w:r>
    </w:p>
    <w:p>
      <w:pPr>
        <w:spacing w:after="120" w:line="480" w:lineRule="auto"/>
      </w:pPr>
      <w:r>
        <w:rPr>
          <w:rFonts w:ascii="PingFang TC" w:cs="PingFang TC" w:eastAsia="PingFang TC" w:hAnsi="PingFang TC"/>
          <w:sz w:val="24"/>
          <w:szCs w:val="24"/>
        </w:rPr>
        <w:t xml:space="preserve">cshy1392@csh.org.tw · ORCID 0000-0002-5797-3474</w:t>
      </w:r>
    </w:p>
    <w:p>
      <w:pPr>
        <w:spacing w:after="120" w:line="480" w:lineRule="auto"/>
      </w:pPr>
      <w:r>
        <w:rPr>
          <w:rFonts w:ascii="PingFang TC" w:cs="PingFang TC" w:eastAsia="PingFang TC" w:hAnsi="PingFang TC"/>
          <w:sz w:val="24"/>
          <w:szCs w:val="24"/>
        </w:rPr>
        <w:t xml:space="preserve">謹代表共同作者：</w:t>
      </w:r>
    </w:p>
    <w:p>
      <w:pPr>
        <w:spacing w:after="120" w:line="480" w:lineRule="auto"/>
      </w:pPr>
      <w:r>
        <w:rPr>
          <w:rFonts w:ascii="PingFang TC" w:cs="PingFang TC" w:eastAsia="PingFang TC" w:hAnsi="PingFang TC"/>
          <w:sz w:val="24"/>
          <w:szCs w:val="24"/>
        </w:rPr>
        <w:t xml:space="preserve">Hsiang-Lin Lee, MD, PhD（ORCID 0000-0003-1422-1042）</w:t>
      </w:r>
    </w:p>
    <w:p>
      <w:pPr>
        <w:spacing w:after="120" w:line="480" w:lineRule="auto"/>
      </w:pPr>
      <w:r>
        <w:rPr>
          <w:rFonts w:ascii="PingFang TC" w:cs="PingFang TC" w:eastAsia="PingFang TC" w:hAnsi="PingFang TC"/>
          <w:sz w:val="24"/>
          <w:szCs w:val="24"/>
        </w:rPr>
        <w:t xml:space="preserve">Tzu-Ling Wang, MSN（ORCID 0000-0003-3520-0531）</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ingFang TC" w:cs="PingFang TC" w:eastAsia="PingFang TC" w:hAnsi="PingFang TC"/>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ingFang TC" w:cs="PingFang TC" w:eastAsia="PingFang TC" w:hAnsi="PingFang T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fluid shear to sclerostin</dc:title>
  <dc:creator>Ming-Yu Hsieh</dc:creator>
  <cp:lastModifiedBy>Un-named</cp:lastModifiedBy>
  <cp:revision>1</cp:revision>
  <dcterms:created xsi:type="dcterms:W3CDTF">2026-08-01T16:15:55.347Z</dcterms:created>
  <dcterms:modified xsi:type="dcterms:W3CDTF">2026-08-01T16:15:55.348Z</dcterms:modified>
</cp:coreProperties>
</file>

<file path=docProps/custom.xml><?xml version="1.0" encoding="utf-8"?>
<Properties xmlns="http://schemas.openxmlformats.org/officeDocument/2006/custom-properties" xmlns:vt="http://schemas.openxmlformats.org/officeDocument/2006/docPropsVTypes"/>
</file>