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lineRule="auto"/>
        <w:jc w:val="left"/>
      </w:pPr>
      <w:r>
        <w:rPr>
          <w:rFonts w:ascii="Times New Roman" w:cs="Times New Roman" w:eastAsia="Times New Roman" w:hAnsi="Times New Roman"/>
          <w:b/>
          <w:bCs/>
          <w:sz w:val="32"/>
          <w:szCs w:val="32"/>
        </w:rPr>
        <w:t xml:space="preserve">From fluid shear to sclerostin: a mechanotransduction-resolved multiscale model of bone adaptation, and what it falsifies</w:t>
      </w:r>
    </w:p>
    <w:p>
      <w:pPr>
        <w:spacing w:after="120" w:line="480" w:lineRule="auto"/>
      </w:pPr>
      <w:r>
        <w:rPr>
          <w:rFonts w:ascii="Times New Roman" w:cs="Times New Roman" w:eastAsia="Times New Roman" w:hAnsi="Times New Roman"/>
          <w:b/>
          <w:bCs/>
          <w:sz w:val="24"/>
          <w:szCs w:val="24"/>
        </w:rPr>
        <w:t xml:space="preserve">Short title:</w:t>
      </w:r>
      <w:r>
        <w:rPr>
          <w:rFonts w:ascii="Times New Roman" w:cs="Times New Roman" w:eastAsia="Times New Roman" w:hAnsi="Times New Roman"/>
          <w:sz w:val="24"/>
          <w:szCs w:val="24"/>
        </w:rPr>
        <w:t xml:space="preserve"> A mechanotransduction-resolved multiscale model of bone adaptation</w:t>
      </w:r>
    </w:p>
    <w:p>
      <w:pPr>
        <w:spacing w:after="120" w:line="480" w:lineRule="auto"/>
      </w:pPr>
      <w:r>
        <w:rPr>
          <w:rFonts w:ascii="Times New Roman" w:cs="Times New Roman" w:eastAsia="Times New Roman" w:hAnsi="Times New Roman"/>
          <w:b/>
          <w:bCs/>
          <w:sz w:val="24"/>
          <w:szCs w:val="24"/>
        </w:rPr>
        <w:t xml:space="preserve">Hsiang-Lin Lee</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Tzu-Ling Wang</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Ming-Yu Hsieh</w:t>
      </w:r>
      <w:r>
        <w:rPr>
          <w:rFonts w:ascii="Times New Roman" w:cs="Times New Roman" w:eastAsia="Times New Roman" w:hAnsi="Times New Roman"/>
          <w:sz w:val="24"/>
          <w:szCs w:val="24"/>
          <w:vertAlign w:val="superscript"/>
        </w:rPr>
        <w:t xml:space="preserve">4,5,6</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Institute of Medicine, Chung Shan Medical University, Taichung, Taiwan</w:t>
      </w:r>
    </w:p>
    <w:p>
      <w:pPr>
        <w:spacing w:after="120" w:line="480" w:lineRule="auto"/>
      </w:pP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Department of Surgery, Chung Shan Medical University Hospital, Taichung, Taiwan</w:t>
      </w:r>
    </w:p>
    <w:p>
      <w:pPr>
        <w:spacing w:after="120" w:line="480" w:lineRule="auto"/>
      </w:pP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School of Nursing, Chung Shan Medical University, Taichung, Taiwan</w:t>
      </w:r>
    </w:p>
    <w:p>
      <w:pPr>
        <w:spacing w:after="120" w:line="480" w:lineRule="auto"/>
      </w:pP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School of Medicine, Chung Shan Medical University, Taichung, Taiwan</w:t>
      </w:r>
    </w:p>
    <w:p>
      <w:pPr>
        <w:spacing w:after="120" w:line="480" w:lineRule="auto"/>
      </w:pP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Division of Pediatric Surgery, Chung Shan Medical University Hospital, Taichung, Taiwan</w:t>
      </w:r>
    </w:p>
    <w:p>
      <w:pPr>
        <w:spacing w:after="120" w:line="480" w:lineRule="auto"/>
      </w:pP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Center for Evidence-Based Medicine, Chung Shan Medical University Hospital, Taichung, Taiwan</w:t>
      </w:r>
    </w:p>
    <w:p>
      <w:pPr>
        <w:spacing w:after="120" w:line="480" w:lineRule="auto"/>
      </w:pPr>
      <w:r>
        <w:rPr>
          <w:rFonts w:ascii="Times New Roman" w:cs="Times New Roman" w:eastAsia="Times New Roman" w:hAnsi="Times New Roman"/>
          <w:sz w:val="24"/>
          <w:szCs w:val="24"/>
        </w:rPr>
        <w:t xml:space="preserve">* Corresponding author: cshy1392@csh.org.tw</w:t>
      </w:r>
    </w:p>
    <w:p>
      <w:pPr>
        <w:spacing w:after="120" w:line="480" w:lineRule="auto"/>
      </w:pPr>
      <w:r>
        <w:rPr>
          <w:rFonts w:ascii="Times New Roman" w:cs="Times New Roman" w:eastAsia="Times New Roman" w:hAnsi="Times New Roman"/>
          <w:sz w:val="24"/>
          <w:szCs w:val="24"/>
        </w:rPr>
        <w:t xml:space="preserve">ORCID — Hsiang-Lin Lee: 0000-0003-1422-1042 · Tzu-Ling Wang: 0000-0003-3520-0531 · Ming-Yu Hsieh: 0000-0002-5797-3474</w:t>
      </w:r>
    </w:p>
    <w:p>
      <w:pPr>
        <w:pStyle w:val="Heading1"/>
        <w:spacing w:after="160" w:before="360" w:line="360" w:lineRule="auto"/>
      </w:pPr>
      <w:r>
        <w:rPr>
          <w:rFonts w:ascii="Times New Roman" w:cs="Times New Roman" w:eastAsia="Times New Roman" w:hAnsi="Times New Roman"/>
          <w:b/>
          <w:bCs/>
          <w:sz w:val="28"/>
          <w:szCs w:val="28"/>
        </w:rPr>
        <w:t xml:space="preserve">Author summary</w:t>
      </w:r>
    </w:p>
    <w:p>
      <w:pPr>
        <w:spacing w:after="120" w:line="480" w:lineRule="auto"/>
      </w:pPr>
      <w:r>
        <w:rPr>
          <w:rFonts w:ascii="Times New Roman" w:cs="Times New Roman" w:eastAsia="Times New Roman" w:hAnsi="Times New Roman"/>
          <w:sz w:val="24"/>
          <w:szCs w:val="24"/>
        </w:rPr>
        <w:t xml:space="preserve">Bone adapts to the forces placed on it. Two ingredients are usually named: calcium, the material bone is built from, and mechanical loading, the signal that tells bone where to build. Clinicians and patients often treat these as interchangeable levers, but they are not the same kind of thing, and no computational model has been able to put them in the same framework and compare them — because the models that describe how a bone cell senses force stop before bone density, and the models that predict bone density have no real force in them.</w:t>
      </w:r>
    </w:p>
    <w:p>
      <w:pPr>
        <w:spacing w:after="120" w:line="480" w:lineRule="auto"/>
      </w:pPr>
      <w:r>
        <w:rPr>
          <w:rFonts w:ascii="Times New Roman" w:cs="Times New Roman" w:eastAsia="Times New Roman" w:hAnsi="Times New Roman"/>
          <w:sz w:val="24"/>
          <w:szCs w:val="24"/>
        </w:rPr>
        <w:t xml:space="preserve">We joined the two ends. Our model follows a load all the way from the bending of a whole bone, through fluid squeezed past the cells buried inside it, through the ion channels those cells open, through the molecular signals they release, to the cell populations that add and remove bone, and finally to the density a clinical scan would measure. Because the chain is unbroken, we could ask questions that neither half could answer alone.</w:t>
      </w:r>
    </w:p>
    <w:p>
      <w:pPr>
        <w:spacing w:after="120" w:line="480" w:lineRule="auto"/>
      </w:pPr>
      <w:r>
        <w:rPr>
          <w:rFonts w:ascii="Times New Roman" w:cs="Times New Roman" w:eastAsia="Times New Roman" w:hAnsi="Times New Roman"/>
          <w:sz w:val="24"/>
          <w:szCs w:val="24"/>
        </w:rPr>
        <w:t xml:space="preserve">Three results matter. Loading raises bone mass about ten times more than calcium does, but only when both the loading intensity and the measurement are stated precisely — the same model gives opposite answers under different measures, which is a warning for how such claims are reported. Purely local loading produces the side-to-side asymmetry seen in tennis players, and no whole-body treatment can imitate it. And our own starting hypothesis — that osteoporosis is a second stable state a skeleton can fall into and cannot climb out of — is wrong in this framework: the model recovers fully. Irreversibility must come from structural damage the model does not yet represent.</w:t>
      </w:r>
    </w:p>
    <w:p>
      <w:pPr>
        <w:pStyle w:val="Heading1"/>
        <w:spacing w:after="160" w:before="360" w:line="360" w:lineRule="auto"/>
      </w:pPr>
      <w:r>
        <w:rPr>
          <w:rFonts w:ascii="Times New Roman" w:cs="Times New Roman" w:eastAsia="Times New Roman" w:hAnsi="Times New Roman"/>
          <w:b/>
          <w:bCs/>
          <w:sz w:val="28"/>
          <w:szCs w:val="28"/>
        </w:rPr>
        <w:t xml:space="preserve">Abstract</w:t>
      </w:r>
    </w:p>
    <w:p>
      <w:pPr>
        <w:spacing w:after="120" w:line="480" w:lineRule="auto"/>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Mechanical loading and calcium availability are the two levers most often invoked in skeletal health, but no model has been able to weigh them against each other, because mechanotransduction models terminate at the osteocyte and bone-remodelling models contain no mechanics.</w:t>
      </w:r>
    </w:p>
    <w:p>
      <w:pPr>
        <w:spacing w:after="120" w:line="480" w:lineRule="auto"/>
      </w:pPr>
      <w:r>
        <w:rPr>
          <w:rFonts w:ascii="Times New Roman" w:cs="Times New Roman" w:eastAsia="Times New Roman" w:hAnsi="Times New Roman"/>
          <w:b/>
          <w:bCs/>
          <w:sz w:val="24"/>
          <w:szCs w:val="24"/>
        </w:rPr>
        <w:t xml:space="preserve">Methods.</w:t>
      </w:r>
      <w:r>
        <w:rPr>
          <w:rFonts w:ascii="Times New Roman" w:cs="Times New Roman" w:eastAsia="Times New Roman" w:hAnsi="Times New Roman"/>
          <w:sz w:val="24"/>
          <w:szCs w:val="24"/>
        </w:rPr>
        <w:t xml:space="preserve"> We built an eight-module multiscale model that carries a load continuously from organ-level bending, through poroelastic lacunocanalicular shear, through three-state mechanosensitive channel gating, through Piezo1–Ca²⁺–YAP/TAZ–sclerostin–Wnt signalling, through the RANK/RANKL/OPG cell populations, to three-surface cortical geometry, mineralisation and areal bone mineral density, with systemic calcium–PTH–vitamin D coupled bidirectionally. Loading enters strictly as force; strain is a regulated output, preserving the mechanostat feedback loop. Five free parameters were fitted to five targets; eight further observations were held out and never entered the objective.</w:t>
      </w:r>
    </w:p>
    <w:p>
      <w:pPr>
        <w:spacing w:after="120" w:line="480" w:lineRule="auto"/>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The model reproduces adult turnover (7.33 %/yr), disuse loss (1.22 %/month), the non-progressive plateau of calcium supplementation, and romosozumab's spine response (+12.5 % at 12 months) and post-withdrawal loss (−8.7 %). Frost's mechanostat set point emerges at 787 με, inside the lazy zone bracketed by the remodelling (100–300 με) and modelling (1500–3000 με) thresholds he inferred from observation, without being fitted. Loading raises bone mineral content 15.1-fold more than calcium, but only at a specified intensity (≈2900 με) and in bone mass rather than areal density, which dilutes the response by 61 %. Unilateral loading reproduces all six pQCT indices of the tennis-player humerus, while systemic interventions produce side-to-side differences of 0.0000 %.</w:t>
      </w:r>
    </w:p>
    <w:p>
      <w:pPr>
        <w:spacing w:after="120" w:line="480" w:lineRule="auto"/>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Our starting hypothesis that osteoporosis is an alternative stable state is falsified: the model is monostable, and a full withdrawal-and-recovery probe returns to 100.3 % of baseline with no hysteresis. Skeletal irreversibility must therefore arise from structural loss outside continuum porosity dynamics. One of the three clauses of our loading-versus-calcium prediction reverses sign under a different densitometric measure, which we report as a methodological result in its own right.</w:t>
      </w:r>
    </w:p>
    <w:p>
      <w:pPr>
        <w:pStyle w:val="Heading1"/>
        <w:spacing w:after="160" w:before="360" w:line="360" w:lineRule="auto"/>
      </w:pPr>
      <w:r>
        <w:rPr>
          <w:rFonts w:ascii="Times New Roman" w:cs="Times New Roman" w:eastAsia="Times New Roman" w:hAnsi="Times New Roman"/>
          <w:b/>
          <w:bCs/>
          <w:sz w:val="28"/>
          <w:szCs w:val="28"/>
        </w:rPr>
        <w:t xml:space="preserve">Introduction</w:t>
      </w:r>
    </w:p>
    <w:p>
      <w:pPr>
        <w:spacing w:after="120" w:line="480" w:lineRule="auto"/>
      </w:pPr>
      <w:r>
        <w:rPr>
          <w:rFonts w:ascii="Times New Roman" w:cs="Times New Roman" w:eastAsia="Times New Roman" w:hAnsi="Times New Roman"/>
          <w:sz w:val="24"/>
          <w:szCs w:val="24"/>
        </w:rPr>
        <w:t xml:space="preserve">Bone is a structure that carries its own sensors. Frost's mechanostat [1] proposed that bone tissue holds strain near a set point by adding material when strain is high and removing it when strain is low, and the framework has organised four decades of skeletal physiology. What it has never had is a mechanism: the set point is inferred from observation, not derived, and the theory is silent on the molecular chain that would produce it.</w:t>
      </w:r>
    </w:p>
    <w:p>
      <w:pPr>
        <w:spacing w:after="120" w:line="480" w:lineRule="auto"/>
      </w:pPr>
      <w:r>
        <w:rPr>
          <w:rFonts w:ascii="Times New Roman" w:cs="Times New Roman" w:eastAsia="Times New Roman" w:hAnsi="Times New Roman"/>
          <w:sz w:val="24"/>
          <w:szCs w:val="24"/>
        </w:rPr>
        <w:t xml:space="preserve">That chain is now largely known. Load deforms the bone matrix, driving interstitial fluid through the lacunocanalicular network; the resulting shear stress on osteocyte processes gates mechanosensitive ion channels including Piezo1 [22]; the calcium transient that follows shifts YAP/TAZ to the nucleus; sclerostin, the osteocyte-secreted Wnt antagonist encoded by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falls; Wnt/β-catenin signalling rises; and osteoblast and osteoclast populations respond. Each link is supported, and several are drug targets — romosozumab, an anti-sclerostin antibody, is licensed on exactly this axis [14].</w:t>
      </w:r>
    </w:p>
    <w:p>
      <w:pPr>
        <w:spacing w:after="120" w:line="480" w:lineRule="auto"/>
      </w:pPr>
      <w:r>
        <w:rPr>
          <w:rFonts w:ascii="Times New Roman" w:cs="Times New Roman" w:eastAsia="Times New Roman" w:hAnsi="Times New Roman"/>
          <w:sz w:val="24"/>
          <w:szCs w:val="24"/>
        </w:rPr>
        <w:t xml:space="preserve">Computational work has advanced from both ends and met in the middle nowhere. On the sensing side, Fu and colleagues [2] built a whole bone–lacunocanalicular–osteocyte model that reproduces the effects of loading magnitude, frequency, cycle number and recovery time, but stops at the osteocyte response. On the tissue side, the Lemaire [3] and Pivonka [4] families of models describe RANK/RANKL/OPG population dynamics and drug interventions in quantitative detail, but drive them with a phenomenological stimulus rather than mechanics; where mechanics appears at all it is as strain energy density imposed from outside [5]. The consequence is that no existing model can (i) distinguish two loading protocols with identical energy but different waveform and report a bone mineral density trajectory, (ii) compare mechanical loading against an anti-sclerostin antibody in the same currency, or (iii) let calcium intake and mechanical loading compete for the same bone.</w:t>
      </w:r>
    </w:p>
    <w:p>
      <w:pPr>
        <w:spacing w:after="120" w:line="480" w:lineRule="auto"/>
      </w:pPr>
      <w:r>
        <w:rPr>
          <w:rFonts w:ascii="Times New Roman" w:cs="Times New Roman" w:eastAsia="Times New Roman" w:hAnsi="Times New Roman"/>
          <w:sz w:val="24"/>
          <w:szCs w:val="24"/>
        </w:rPr>
        <w:t xml:space="preserve">The third gap is the clinically loudest. Calcium supplementation produces a small, non-progressive increment in bone density — Tai and colleagues' meta-analysis [6] found +0.7 to +1.8 %, reached within one year and not continuing thereafter — while exercise interventions and, most starkly, the natural experiment of unilateral racquet sports [7] produce far larger and site-confined changes. The natural reading is that calcium is </w:t>
      </w:r>
      <w:r>
        <w:rPr>
          <w:rFonts w:ascii="Times New Roman" w:cs="Times New Roman" w:eastAsia="Times New Roman" w:hAnsi="Times New Roman"/>
          <w:i/>
          <w:iCs/>
          <w:sz w:val="24"/>
          <w:szCs w:val="24"/>
        </w:rPr>
        <w:t xml:space="preserve">permissive</w:t>
      </w:r>
      <w:r>
        <w:rPr>
          <w:rFonts w:ascii="Times New Roman" w:cs="Times New Roman" w:eastAsia="Times New Roman" w:hAnsi="Times New Roman"/>
          <w:sz w:val="24"/>
          <w:szCs w:val="24"/>
        </w:rPr>
        <w:t xml:space="preserve"> and loading is </w:t>
      </w:r>
      <w:r>
        <w:rPr>
          <w:rFonts w:ascii="Times New Roman" w:cs="Times New Roman" w:eastAsia="Times New Roman" w:hAnsi="Times New Roman"/>
          <w:i/>
          <w:iCs/>
          <w:sz w:val="24"/>
          <w:szCs w:val="24"/>
        </w:rPr>
        <w:t xml:space="preserve">instructive</w:t>
      </w:r>
      <w:r>
        <w:rPr>
          <w:rFonts w:ascii="Times New Roman" w:cs="Times New Roman" w:eastAsia="Times New Roman" w:hAnsi="Times New Roman"/>
          <w:sz w:val="24"/>
          <w:szCs w:val="24"/>
        </w:rPr>
        <w:t xml:space="preserve">: calcium determines whether bone can be built, loading determines whether it will be. That reading has never been tested inside a single mechanistic model, because no model has contained both.</w:t>
      </w:r>
    </w:p>
    <w:p>
      <w:pPr>
        <w:spacing w:after="120" w:line="480" w:lineRule="auto"/>
      </w:pPr>
      <w:r>
        <w:rPr>
          <w:rFonts w:ascii="Times New Roman" w:cs="Times New Roman" w:eastAsia="Times New Roman" w:hAnsi="Times New Roman"/>
          <w:sz w:val="24"/>
          <w:szCs w:val="24"/>
        </w:rPr>
        <w:t xml:space="preserve">We report such a model, and three falsifiable predictions. All three were written into the project plan before any parameter was fitted, and the dated plan and its decision log are in the archived repository, so the ordering can be checked; we make no claim of formal pre-registration in a public registry. </w:t>
      </w:r>
      <w:r>
        <w:rPr>
          <w:rFonts w:ascii="Times New Roman" w:cs="Times New Roman" w:eastAsia="Times New Roman" w:hAnsi="Times New Roman"/>
          <w:b/>
          <w:bCs/>
          <w:sz w:val="24"/>
          <w:szCs w:val="24"/>
        </w:rPr>
        <w:t xml:space="preserve">P1</w:t>
      </w:r>
      <w:r>
        <w:rPr>
          <w:rFonts w:ascii="Times New Roman" w:cs="Times New Roman" w:eastAsia="Times New Roman" w:hAnsi="Times New Roman"/>
          <w:sz w:val="24"/>
          <w:szCs w:val="24"/>
        </w:rPr>
        <w:t xml:space="preserve">: in the calcium-replete range, the marginal effect of calcium on bone density is small, while appropriate loading is large, and the two interact non-additively. </w:t>
      </w:r>
      <w:r>
        <w:rPr>
          <w:rFonts w:ascii="Times New Roman" w:cs="Times New Roman" w:eastAsia="Times New Roman" w:hAnsi="Times New Roman"/>
          <w:b/>
          <w:bCs/>
          <w:sz w:val="24"/>
          <w:szCs w:val="24"/>
        </w:rPr>
        <w:t xml:space="preserve">P2</w:t>
      </w:r>
      <w:r>
        <w:rPr>
          <w:rFonts w:ascii="Times New Roman" w:cs="Times New Roman" w:eastAsia="Times New Roman" w:hAnsi="Times New Roman"/>
          <w:sz w:val="24"/>
          <w:szCs w:val="24"/>
        </w:rPr>
        <w:t xml:space="preserve">: a two-compartment model sharing one systemic calcium pool reproduces the tennis-player asymmetry, and no systemic intervention can. </w:t>
      </w:r>
      <w:r>
        <w:rPr>
          <w:rFonts w:ascii="Times New Roman" w:cs="Times New Roman" w:eastAsia="Times New Roman" w:hAnsi="Times New Roman"/>
          <w:b/>
          <w:bCs/>
          <w:sz w:val="24"/>
          <w:szCs w:val="24"/>
        </w:rPr>
        <w:t xml:space="preserve">P3</w:t>
      </w:r>
      <w:r>
        <w:rPr>
          <w:rFonts w:ascii="Times New Roman" w:cs="Times New Roman" w:eastAsia="Times New Roman" w:hAnsi="Times New Roman"/>
          <w:sz w:val="24"/>
          <w:szCs w:val="24"/>
        </w:rPr>
        <w:t xml:space="preserve">: with mechanosensitivity, sclerostin secretion or oestrogen as bifurcation parameters, the system exhibits a saddle-node bifurcation and bistability, so that osteoporosis is an alternative stable state — which would explain why bone is lost quickly and regained slowly.</w:t>
      </w:r>
    </w:p>
    <w:p>
      <w:pPr>
        <w:spacing w:after="120" w:line="480" w:lineRule="auto"/>
      </w:pPr>
      <w:r>
        <w:rPr>
          <w:rFonts w:ascii="Times New Roman" w:cs="Times New Roman" w:eastAsia="Times New Roman" w:hAnsi="Times New Roman"/>
          <w:sz w:val="24"/>
          <w:szCs w:val="24"/>
        </w:rPr>
        <w:t xml:space="preserve">Two of these survive. The third does not, and we report its falsification in the main text because it is the strongest available evidence that the model predicts rather than fits.</w:t>
      </w:r>
    </w:p>
    <w:p>
      <w:pPr>
        <w:pStyle w:val="Heading1"/>
        <w:spacing w:after="160" w:before="360" w:line="360" w:lineRule="auto"/>
      </w:pPr>
      <w:r>
        <w:rPr>
          <w:rFonts w:ascii="Times New Roman" w:cs="Times New Roman" w:eastAsia="Times New Roman" w:hAnsi="Times New Roman"/>
          <w:b/>
          <w:bCs/>
          <w:sz w:val="28"/>
          <w:szCs w:val="28"/>
        </w:rPr>
        <w:t xml:space="preserve">Results</w:t>
      </w:r>
    </w:p>
    <w:p>
      <w:pPr>
        <w:pStyle w:val="Heading2"/>
        <w:spacing w:after="120" w:before="240" w:line="360" w:lineRule="auto"/>
      </w:pPr>
      <w:r>
        <w:rPr>
          <w:rFonts w:ascii="Times New Roman" w:cs="Times New Roman" w:eastAsia="Times New Roman" w:hAnsi="Times New Roman"/>
          <w:b/>
          <w:bCs/>
          <w:i/>
          <w:iCs/>
          <w:sz w:val="24"/>
          <w:szCs w:val="24"/>
        </w:rPr>
        <w:t xml:space="preserve">An unbroken chain from force to bone mineral density</w:t>
      </w:r>
    </w:p>
    <w:p>
      <w:pPr>
        <w:spacing w:after="120" w:line="480" w:lineRule="auto"/>
      </w:pPr>
      <w:r>
        <w:rPr>
          <w:rFonts w:ascii="Times New Roman" w:cs="Times New Roman" w:eastAsia="Times New Roman" w:hAnsi="Times New Roman"/>
          <w:sz w:val="24"/>
          <w:szCs w:val="24"/>
        </w:rPr>
        <w:t xml:space="preserve">The model comprises eight modules (M1–M8; </w:t>
      </w:r>
      <w:r>
        <w:rPr>
          <w:rFonts w:ascii="Times New Roman" w:cs="Times New Roman" w:eastAsia="Times New Roman" w:hAnsi="Times New Roman"/>
          <w:b/>
          <w:bCs/>
          <w:sz w:val="24"/>
          <w:szCs w:val="24"/>
        </w:rPr>
        <w:t xml:space="preserve">S1 Text</w:t>
      </w:r>
      <w:r>
        <w:rPr>
          <w:rFonts w:ascii="Times New Roman" w:cs="Times New Roman" w:eastAsia="Times New Roman" w:hAnsi="Times New Roman"/>
          <w:sz w:val="24"/>
          <w:szCs w:val="24"/>
        </w:rPr>
        <w:t xml:space="preserve">). M1 computes cross-sectional strain from a prescribed peak bending moment and axial force. M2 solves Biot poroelasticity for lacunocanalicular fluid shear [9]. M3 integrates three-state (open/closed/inactivated) mechanosensitive channel gating [2] over a day's loading to produce a single daily scalar dose. M4 and M5 carry Piezo1–Ca²⁺–YAP/TAZ–sclerostin–Wnt signalling. M6 is a RANK/RANKL/OPG osteoblast–osteoclast population model [3,4]. M7 evolves periosteal, endocortical and intracortical surfaces plus mean tissue mineral density. M8 is systemic calcium–PTH–1,25(OH)₂D [8], coupled bidirectionally. The single-compartment state vector has 17 elements; the two-compartment version has 30.</w:t>
      </w:r>
    </w:p>
    <w:p>
      <w:pPr>
        <w:spacing w:after="120" w:line="480" w:lineRule="auto"/>
      </w:pPr>
      <w:r>
        <w:rPr>
          <w:rFonts w:ascii="Times New Roman" w:cs="Times New Roman" w:eastAsia="Times New Roman" w:hAnsi="Times New Roman"/>
          <w:sz w:val="24"/>
          <w:szCs w:val="24"/>
        </w:rPr>
        <w:t xml:space="preserve">One interface decision determines whether the model is a mechanostat at all. </w:t>
      </w:r>
      <w:r>
        <w:rPr>
          <w:rFonts w:ascii="Times New Roman" w:cs="Times New Roman" w:eastAsia="Times New Roman" w:hAnsi="Times New Roman"/>
          <w:b/>
          <w:bCs/>
          <w:sz w:val="24"/>
          <w:szCs w:val="24"/>
        </w:rPr>
        <w:t xml:space="preserve">Loading enters only as force</w:t>
      </w:r>
      <w:r>
        <w:rPr>
          <w:rFonts w:ascii="Times New Roman" w:cs="Times New Roman" w:eastAsia="Times New Roman" w:hAnsi="Times New Roman"/>
          <w:sz w:val="24"/>
          <w:szCs w:val="24"/>
        </w:rPr>
        <w:t xml:space="preserve"> — peak bending moment and axial force — and strain is computed as an output of current geometry and material state. Prescribing strain, as an earlier version of this model did, silently severs the negative feedback: bone volume fraction becomes a pure integrator, the calcium plateau cannot appear, and there is no set point for bifurcation analysis to find. We verified the closed loop numerically: d ln ε_p / d ln f_bm = −3.1300 in cortex and −2.0000 in the vertebral compartment, each matching its own −κ_E to machine precision (4 × 10⁻¹⁶), so added bone does reduce strain. The two exponents differ because compact and trabecular bone are different materials; we return to this in </w:t>
      </w:r>
      <w:r>
        <w:rPr>
          <w:rFonts w:ascii="Times New Roman" w:cs="Times New Roman" w:eastAsia="Times New Roman" w:hAnsi="Times New Roman"/>
          <w:b/>
          <w:bCs/>
          <w:sz w:val="24"/>
          <w:szCs w:val="24"/>
        </w:rPr>
        <w:t xml:space="preserve">S1 Text</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Two independent cross-validations support the mechanics. A Crank–Nicolson finite-difference solution of the poroelastic problem agrees with the closed-form Biot solution to a maximum relative error of 0.0029 %, and an affine per-cycle channel operator agrees with stepwise integration to 2.2 × 10⁻¹⁵.</w:t>
      </w:r>
    </w:p>
    <w:p>
      <w:pPr>
        <w:pStyle w:val="Heading2"/>
        <w:spacing w:after="120" w:before="240" w:line="360" w:lineRule="auto"/>
      </w:pPr>
      <w:r>
        <w:rPr>
          <w:rFonts w:ascii="Times New Roman" w:cs="Times New Roman" w:eastAsia="Times New Roman" w:hAnsi="Times New Roman"/>
          <w:b/>
          <w:bCs/>
          <w:i/>
          <w:iCs/>
          <w:sz w:val="24"/>
          <w:szCs w:val="24"/>
        </w:rPr>
        <w:t xml:space="preserve">Calibration, and what was withheld</w:t>
      </w:r>
    </w:p>
    <w:p>
      <w:pPr>
        <w:spacing w:after="120" w:line="480" w:lineRule="auto"/>
      </w:pPr>
      <w:r>
        <w:rPr>
          <w:rFonts w:ascii="Times New Roman" w:cs="Times New Roman" w:eastAsia="Times New Roman" w:hAnsi="Times New Roman"/>
          <w:sz w:val="24"/>
          <w:szCs w:val="24"/>
        </w:rPr>
        <w:t xml:space="preserve">Five parameters were fitted (</w:t>
      </w:r>
      <w:r>
        <w:rPr>
          <w:rFonts w:ascii="Courier New" w:cs="Courier New" w:eastAsia="Courier New" w:hAnsi="Courier New"/>
          <w:sz w:val="24"/>
          <w:szCs w:val="24"/>
        </w:rPr>
        <w:t xml:space="preserve">k_res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K_S</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K_P_sost</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lambda_P</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delta_ab</w:t>
      </w:r>
      <w:r>
        <w:rPr>
          <w:rFonts w:ascii="Times New Roman" w:cs="Times New Roman" w:eastAsia="Times New Roman" w:hAnsi="Times New Roman"/>
          <w:sz w:val="24"/>
          <w:szCs w:val="24"/>
        </w:rPr>
        <w:t xml:space="preserve">) against five targets: adult turnover, disuse loss, calcium effect size, calcium plateau slope, and the romosozumab spine response. Two constants are </w:t>
      </w:r>
      <w:r>
        <w:rPr>
          <w:rFonts w:ascii="Times New Roman" w:cs="Times New Roman" w:eastAsia="Times New Roman" w:hAnsi="Times New Roman"/>
          <w:b/>
          <w:bCs/>
          <w:sz w:val="24"/>
          <w:szCs w:val="24"/>
        </w:rPr>
        <w:t xml:space="preserve">derived rather than fitted</w:t>
      </w:r>
      <w:r>
        <w:rPr>
          <w:rFonts w:ascii="Times New Roman" w:cs="Times New Roman" w:eastAsia="Times New Roman" w:hAnsi="Times New Roman"/>
          <w:sz w:val="24"/>
          <w:szCs w:val="24"/>
        </w:rPr>
        <w:t xml:space="preserve">, because the baseline state already determines them: the formation rate constant </w:t>
      </w:r>
      <w:r>
        <w:rPr>
          <w:rFonts w:ascii="Courier New" w:cs="Courier New" w:eastAsia="Courier New" w:hAnsi="Courier New"/>
          <w:sz w:val="24"/>
          <w:szCs w:val="24"/>
        </w:rPr>
        <w:t xml:space="preserve">k_form</w:t>
      </w:r>
      <w:r>
        <w:rPr>
          <w:rFonts w:ascii="Times New Roman" w:cs="Times New Roman" w:eastAsia="Times New Roman" w:hAnsi="Times New Roman"/>
          <w:sz w:val="24"/>
          <w:szCs w:val="24"/>
        </w:rPr>
        <w:t xml:space="preserve"> from bone-mass balance, since the three-surface geometry admits no stationary geometric fixed point, and the osteocyte burial constant </w:t>
      </w:r>
      <w:r>
        <w:rPr>
          <w:rFonts w:ascii="Courier New" w:cs="Courier New" w:eastAsia="Courier New" w:hAnsi="Courier New"/>
          <w:sz w:val="24"/>
          <w:szCs w:val="24"/>
        </w:rPr>
        <w:t xml:space="preserve">k_ot</w:t>
      </w:r>
      <w:r>
        <w:rPr>
          <w:rFonts w:ascii="Times New Roman" w:cs="Times New Roman" w:eastAsia="Times New Roman" w:hAnsi="Times New Roman"/>
          <w:sz w:val="24"/>
          <w:szCs w:val="24"/>
        </w:rPr>
        <w:t xml:space="preserve"> from bone turnover, since osteocytes leave the tissue when the bone they occupy is resorbed (see Limitations for what happened while </w:t>
      </w:r>
      <w:r>
        <w:rPr>
          <w:rFonts w:ascii="Courier New" w:cs="Courier New" w:eastAsia="Courier New" w:hAnsi="Courier New"/>
          <w:sz w:val="24"/>
          <w:szCs w:val="24"/>
        </w:rPr>
        <w:t xml:space="preserve">k_ot</w:t>
      </w:r>
      <w:r>
        <w:rPr>
          <w:rFonts w:ascii="Times New Roman" w:cs="Times New Roman" w:eastAsia="Times New Roman" w:hAnsi="Times New Roman"/>
          <w:sz w:val="24"/>
          <w:szCs w:val="24"/>
        </w:rPr>
        <w:t xml:space="preserve"> was free). Both are re-derived at every parameter set. All other parameters come from the literature (</w:t>
      </w:r>
      <w:r>
        <w:rPr>
          <w:rFonts w:ascii="Times New Roman" w:cs="Times New Roman" w:eastAsia="Times New Roman" w:hAnsi="Times New Roman"/>
          <w:b/>
          <w:bCs/>
          <w:sz w:val="24"/>
          <w:szCs w:val="24"/>
        </w:rPr>
        <w:t xml:space="preserve">S1 Table</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A sixth parameter, the compensatory sclerostin rebound plateau, was on the free list until we measured its leverage. It moves the resorption-marker overshoot it was supposed to identify by 0.04 across its entire admissible range, while moving the romosozumab response from 63.6 % to 0.47 % — so it is a second parameter acting on the target the antibody clearance constant already carries, with nothing in the target set to separate them. We fixed it rather than fit it. This is the kind of degree of freedom that buys agreement without content, and the check that caught it is one we recommend generally: before adding a parameter to a free list because some target is expected to identify it, measure whether that target can actually move it.</w:t>
      </w:r>
    </w:p>
    <w:p>
      <w:pPr>
        <w:spacing w:after="120" w:line="480" w:lineRule="auto"/>
      </w:pPr>
      <w:r>
        <w:rPr>
          <w:rFonts w:ascii="Times New Roman" w:cs="Times New Roman" w:eastAsia="Times New Roman" w:hAnsi="Times New Roman"/>
          <w:sz w:val="24"/>
          <w:szCs w:val="24"/>
        </w:rPr>
        <w:t xml:space="preserve">Eight observations were </w:t>
      </w:r>
      <w:r>
        <w:rPr>
          <w:rFonts w:ascii="Times New Roman" w:cs="Times New Roman" w:eastAsia="Times New Roman" w:hAnsi="Times New Roman"/>
          <w:b/>
          <w:bCs/>
          <w:sz w:val="24"/>
          <w:szCs w:val="24"/>
        </w:rPr>
        <w:t xml:space="preserve">held out</w:t>
      </w:r>
      <w:r>
        <w:rPr>
          <w:rFonts w:ascii="Times New Roman" w:cs="Times New Roman" w:eastAsia="Times New Roman" w:hAnsi="Times New Roman"/>
          <w:sz w:val="24"/>
          <w:szCs w:val="24"/>
        </w:rPr>
        <w:t xml:space="preserve"> and never entered the objective: the six pQCT indices of the tennis-player humerus, the post-withdrawal bone density loss, and the emergent mechanostat set point. Their status as blind tests is what the rest of this section rests on.</w:t>
      </w:r>
    </w:p>
    <w:p>
      <w:pPr>
        <w:spacing w:after="120" w:line="480" w:lineRule="auto"/>
      </w:pPr>
      <w:r>
        <w:rPr>
          <w:rFonts w:ascii="Times New Roman" w:cs="Times New Roman" w:eastAsia="Times New Roman" w:hAnsi="Times New Roman"/>
          <w:sz w:val="24"/>
          <w:szCs w:val="24"/>
        </w:rPr>
        <w:t xml:space="preserve">Identifiability analysis (</w:t>
      </w:r>
      <w:r>
        <w:rPr>
          <w:rFonts w:ascii="Times New Roman" w:cs="Times New Roman" w:eastAsia="Times New Roman" w:hAnsi="Times New Roman"/>
          <w:b/>
          <w:bCs/>
          <w:sz w:val="24"/>
          <w:szCs w:val="24"/>
        </w:rPr>
        <w:t xml:space="preserve">S1 Fig</w:t>
      </w:r>
      <w:r>
        <w:rPr>
          <w:rFonts w:ascii="Times New Roman" w:cs="Times New Roman" w:eastAsia="Times New Roman" w:hAnsi="Times New Roman"/>
          <w:sz w:val="24"/>
          <w:szCs w:val="24"/>
        </w:rPr>
        <w:t xml:space="preserve">) shows </w:t>
      </w:r>
      <w:r>
        <w:rPr>
          <w:rFonts w:ascii="Courier New" w:cs="Courier New" w:eastAsia="Courier New" w:hAnsi="Courier New"/>
          <w:sz w:val="24"/>
          <w:szCs w:val="24"/>
        </w:rPr>
        <w:t xml:space="preserve">k_res</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K_S</w:t>
      </w:r>
      <w:r>
        <w:rPr>
          <w:rFonts w:ascii="Times New Roman" w:cs="Times New Roman" w:eastAsia="Times New Roman" w:hAnsi="Times New Roman"/>
          <w:sz w:val="24"/>
          <w:szCs w:val="24"/>
        </w:rPr>
        <w:t xml:space="preserve"> are individually identifiable, each pinned by one target with a clear single minimum. The antibody clearance constant </w:t>
      </w:r>
      <w:r>
        <w:rPr>
          <w:rFonts w:ascii="Courier New" w:cs="Courier New" w:eastAsia="Courier New" w:hAnsi="Courier New"/>
          <w:sz w:val="24"/>
          <w:szCs w:val="24"/>
        </w:rPr>
        <w:t xml:space="preserve">delta_ab</w:t>
      </w:r>
      <w:r>
        <w:rPr>
          <w:rFonts w:ascii="Times New Roman" w:cs="Times New Roman" w:eastAsia="Times New Roman" w:hAnsi="Times New Roman"/>
          <w:sz w:val="24"/>
          <w:szCs w:val="24"/>
        </w:rPr>
        <w:t xml:space="preserve">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its conditional χ² falls monotonically to its upper bound, because the objective's midpoint metric pulls the romosozumab response toward the centre of its band and the parameter cannot reach that far. The value we report satisfies the band; it is not a point estimate, and we do not treat it as one. The two PTH-pathway parameters, </w:t>
      </w:r>
      <w:r>
        <w:rPr>
          <w:rFonts w:ascii="Courier New" w:cs="Courier New" w:eastAsia="Courier New" w:hAnsi="Courier New"/>
          <w:sz w:val="24"/>
          <w:szCs w:val="24"/>
        </w:rPr>
        <w:t xml:space="preserve">K_P_sost</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lambda_P</w:t>
      </w:r>
      <w:r>
        <w:rPr>
          <w:rFonts w:ascii="Times New Roman" w:cs="Times New Roman" w:eastAsia="Times New Roman" w:hAnsi="Times New Roman"/>
          <w:sz w:val="24"/>
          <w:szCs w:val="24"/>
        </w:rPr>
        <w:t xml:space="preserve">, are </w:t>
      </w:r>
      <w:r>
        <w:rPr>
          <w:rFonts w:ascii="Times New Roman" w:cs="Times New Roman" w:eastAsia="Times New Roman" w:hAnsi="Times New Roman"/>
          <w:b/>
          <w:bCs/>
          <w:sz w:val="24"/>
          <w:szCs w:val="24"/>
        </w:rPr>
        <w:t xml:space="preserve">practically non-identifiable</w:t>
      </w:r>
      <w:r>
        <w:rPr>
          <w:rFonts w:ascii="Times New Roman" w:cs="Times New Roman" w:eastAsia="Times New Roman" w:hAnsi="Times New Roman"/>
          <w:sz w:val="24"/>
          <w:szCs w:val="24"/>
        </w:rPr>
        <w:t xml:space="preserve">: 76.9 % of the scanned grid lies inside the confidence region, and the ridge correlation is only −0.26, so they are not trading off along a ridge — both are simply weakly constrained. This is a weaker statement than we could make before the systemic calcium module was rebuilt, and for a straightforward reason: with serum calcium now properly defended, dietary calcium moves parathyroid hormone about half as far, so the targets that constrain these two parameters carry correspondingly less information. We report the joint region rather than marginal intervals, and we do not interpret either parameter's point value. </w:t>
      </w:r>
      <w:r>
        <w:rPr>
          <w:rFonts w:ascii="Courier New" w:cs="Courier New" w:eastAsia="Courier New" w:hAnsi="Courier New"/>
          <w:sz w:val="24"/>
          <w:szCs w:val="24"/>
        </w:rPr>
        <w:t xml:space="preserve">K_P_sost</w:t>
      </w:r>
      <w:r>
        <w:rPr>
          <w:rFonts w:ascii="Times New Roman" w:cs="Times New Roman" w:eastAsia="Times New Roman" w:hAnsi="Times New Roman"/>
          <w:sz w:val="24"/>
          <w:szCs w:val="24"/>
        </w:rPr>
        <w:t xml:space="preserve"> no longer sits at its upper bound, as it did before the osteocyte turnover constant was corrected, but it remains high, and the interpretation is unchanged: large values mean PTH inhibition of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is weak and the fit is asking for that pathway to be nearly absent, as Lemaire and Pivonka assume by omitting it.</w:t>
      </w:r>
    </w:p>
    <w:p>
      <w:pPr>
        <w:pStyle w:val="Heading2"/>
        <w:spacing w:after="120" w:before="240" w:line="360" w:lineRule="auto"/>
      </w:pPr>
      <w:r>
        <w:rPr>
          <w:rFonts w:ascii="Times New Roman" w:cs="Times New Roman" w:eastAsia="Times New Roman" w:hAnsi="Times New Roman"/>
          <w:b/>
          <w:bCs/>
          <w:i/>
          <w:iCs/>
          <w:sz w:val="24"/>
          <w:szCs w:val="24"/>
        </w:rPr>
        <w:t xml:space="preserve">The mechanostat set point is an output, and it lands where Frost put it</w:t>
      </w:r>
    </w:p>
    <w:p>
      <w:pPr>
        <w:spacing w:after="120" w:line="480" w:lineRule="auto"/>
      </w:pPr>
      <w:r>
        <w:rPr>
          <w:rFonts w:ascii="Times New Roman" w:cs="Times New Roman" w:eastAsia="Times New Roman" w:hAnsi="Times New Roman"/>
          <w:sz w:val="24"/>
          <w:szCs w:val="24"/>
        </w:rPr>
        <w:t xml:space="preserve">At baseline the model sits at a stable fixed point (max Re λ = −2.4 × 10⁻⁴), with 24-month areal bone mineral density drift of −0.015 % and turnover of 7.33 %/yr (</w:t>
      </w:r>
      <w:r>
        <w:rPr>
          <w:rFonts w:ascii="Times New Roman" w:cs="Times New Roman" w:eastAsia="Times New Roman" w:hAnsi="Times New Roman"/>
          <w:b/>
          <w:bCs/>
          <w:sz w:val="24"/>
          <w:szCs w:val="24"/>
        </w:rPr>
        <w:t xml:space="preserve">Fig 1</w:t>
      </w:r>
      <w:r>
        <w:rPr>
          <w:rFonts w:ascii="Times New Roman" w:cs="Times New Roman" w:eastAsia="Times New Roman" w:hAnsi="Times New Roman"/>
          <w:sz w:val="24"/>
          <w:szCs w:val="24"/>
        </w:rPr>
        <w:t xml:space="preserve">). The bar was 5–10 %/yr, the upper part of the 3–10 %/yr range conventionally quoted for cortical bone [25]; our value sits in the upper half of it, so this is a pass against a target we set at the fast end of what is quoted.</w:t>
      </w:r>
    </w:p>
    <w:p>
      <w:pPr>
        <w:spacing w:after="120" w:line="480" w:lineRule="auto"/>
      </w:pPr>
      <w:r>
        <w:rPr>
          <w:rFonts w:ascii="Times New Roman" w:cs="Times New Roman" w:eastAsia="Times New Roman" w:hAnsi="Times New Roman"/>
          <w:sz w:val="24"/>
          <w:szCs w:val="24"/>
        </w:rPr>
        <w:t xml:space="preserve">The peak strain the closed loop settles at is </w:t>
      </w:r>
      <w:r>
        <w:rPr>
          <w:rFonts w:ascii="Times New Roman" w:cs="Times New Roman" w:eastAsia="Times New Roman" w:hAnsi="Times New Roman"/>
          <w:b/>
          <w:bCs/>
          <w:sz w:val="24"/>
          <w:szCs w:val="24"/>
        </w:rPr>
        <w:t xml:space="preserve">786.8 με</w:t>
      </w:r>
      <w:r>
        <w:rPr>
          <w:rFonts w:ascii="Times New Roman" w:cs="Times New Roman" w:eastAsia="Times New Roman" w:hAnsi="Times New Roman"/>
          <w:sz w:val="24"/>
          <w:szCs w:val="24"/>
        </w:rPr>
        <w:t xml:space="preserve">. Frost [1] inferred two separate thresholds from observation: strains at or above 1500–3000 με drive modelling that adds cortical bone, and strains below 100–300 με release remodelling that removes it. The emergent value sits inside the lazy zone those thresholds bracket — above the remodelling threshold, below the modelling threshold — and it is computed here from channel gating kinetics and signalling Hill coefficients, without ever being fitted. This is the model's most direct evidence that a phenomenological law can be reduced to molecular mechanism, and it costs no free parameter.</w:t>
      </w:r>
    </w:p>
    <w:p>
      <w:pPr>
        <w:spacing w:after="120" w:line="480" w:lineRule="auto"/>
      </w:pPr>
      <w:r>
        <w:rPr>
          <w:rFonts w:ascii="Times New Roman" w:cs="Times New Roman" w:eastAsia="Times New Roman" w:hAnsi="Times New Roman"/>
          <w:sz w:val="24"/>
          <w:szCs w:val="24"/>
        </w:rPr>
        <w:t xml:space="preserve">The same run also shows why cortical bone gains size rather than density: at f_bm ≈ 0.95 the cortex is within 5 % of its densification ceiling, and d ln ε / d ln r_p = −4.27 is stronger than d ln ε / d ln f_bm = −3.13. Growing outward is simply the cheaper way to reduce strain — an emergent consequence of parameter values, not an imposed rule.</w:t>
      </w:r>
    </w:p>
    <w:p>
      <w:pPr>
        <w:pStyle w:val="Heading2"/>
        <w:spacing w:after="120" w:before="240" w:line="360" w:lineRule="auto"/>
      </w:pPr>
      <w:r>
        <w:rPr>
          <w:rFonts w:ascii="Times New Roman" w:cs="Times New Roman" w:eastAsia="Times New Roman" w:hAnsi="Times New Roman"/>
          <w:b/>
          <w:bCs/>
          <w:i/>
          <w:iCs/>
          <w:sz w:val="24"/>
          <w:szCs w:val="24"/>
        </w:rPr>
        <w:t xml:space="preserve">Loading waveform: two targets recovered, one sign disagreement</w:t>
      </w:r>
    </w:p>
    <w:p>
      <w:pPr>
        <w:spacing w:after="120" w:line="480" w:lineRule="auto"/>
      </w:pPr>
      <w:r>
        <w:rPr>
          <w:rFonts w:ascii="Times New Roman" w:cs="Times New Roman" w:eastAsia="Times New Roman" w:hAnsi="Times New Roman"/>
          <w:b/>
          <w:bCs/>
          <w:sz w:val="24"/>
          <w:szCs w:val="24"/>
        </w:rPr>
        <w:t xml:space="preserve">Fig 2</w:t>
      </w:r>
      <w:r>
        <w:rPr>
          <w:rFonts w:ascii="Times New Roman" w:cs="Times New Roman" w:eastAsia="Times New Roman" w:hAnsi="Times New Roman"/>
          <w:sz w:val="24"/>
          <w:szCs w:val="24"/>
        </w:rPr>
        <w:t xml:space="preserve"> shows three orthogonal slices through loading-waveform space.</w:t>
      </w:r>
    </w:p>
    <w:p>
      <w:pPr>
        <w:spacing w:after="120" w:line="480" w:lineRule="auto"/>
      </w:pPr>
      <w:r>
        <w:rPr>
          <w:rFonts w:ascii="Times New Roman" w:cs="Times New Roman" w:eastAsia="Times New Roman" w:hAnsi="Times New Roman"/>
          <w:i/>
          <w:iCs/>
          <w:sz w:val="24"/>
          <w:szCs w:val="24"/>
        </w:rPr>
        <w:t xml:space="preserve">Cycle number.</w:t>
      </w:r>
      <w:r>
        <w:rPr>
          <w:rFonts w:ascii="Times New Roman" w:cs="Times New Roman" w:eastAsia="Times New Roman" w:hAnsi="Times New Roman"/>
          <w:sz w:val="24"/>
          <w:szCs w:val="24"/>
        </w:rPr>
        <w:t xml:space="preserve"> Increasing cycles from 18 to 1200 raises the 12-month response from +0.503 % to +2.286 %, with marginal return falling 33-fold and monotonically. This reproduces the saturation of the osteogenic response beyond a few dozen cycles [21]. Notably, the saturation is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in the channel: at the channel level the dose is asymptotically linear in cycle number across four orders of magnitude of gating rate constants, because periodic driving puts the three-state system on a limit cycle where every subsequent cycle contributes identically. The saturation is a downstream property of the sclerostin–Wnt–cell cascade, and can only be seen at the bone level.</w:t>
      </w:r>
    </w:p>
    <w:p>
      <w:pPr>
        <w:spacing w:after="120" w:line="480" w:lineRule="auto"/>
      </w:pPr>
      <w:r>
        <w:rPr>
          <w:rFonts w:ascii="Times New Roman" w:cs="Times New Roman" w:eastAsia="Times New Roman" w:hAnsi="Times New Roman"/>
          <w:i/>
          <w:iCs/>
          <w:sz w:val="24"/>
          <w:szCs w:val="24"/>
        </w:rPr>
        <w:t xml:space="preserve">Rest insertion.</w:t>
      </w:r>
      <w:r>
        <w:rPr>
          <w:rFonts w:ascii="Times New Roman" w:cs="Times New Roman" w:eastAsia="Times New Roman" w:hAnsi="Times New Roman"/>
          <w:sz w:val="24"/>
          <w:szCs w:val="24"/>
        </w:rPr>
        <w:t xml:space="preserve"> The target here is conditional: a substantial gain at low amplitude that fades as amplitude rises. Inserting 10 s between cycles amplifies the response 4.60-fold at low amplitude, 1.66-fold at moderate and 1.45-fold at high. The </w:t>
      </w:r>
      <w:r>
        <w:rPr>
          <w:rFonts w:ascii="Times New Roman" w:cs="Times New Roman" w:eastAsia="Times New Roman" w:hAnsi="Times New Roman"/>
          <w:b/>
          <w:bCs/>
          <w:sz w:val="24"/>
          <w:szCs w:val="24"/>
        </w:rPr>
        <w:t xml:space="preserve">direction</w:t>
      </w:r>
      <w:r>
        <w:rPr>
          <w:rFonts w:ascii="Times New Roman" w:cs="Times New Roman" w:eastAsia="Times New Roman" w:hAnsi="Times New Roman"/>
          <w:sz w:val="24"/>
          <w:szCs w:val="24"/>
        </w:rPr>
        <w:t xml:space="preserve"> matches Srinivasan and colleagues [10] and the </w:t>
      </w:r>
      <w:r>
        <w:rPr>
          <w:rFonts w:ascii="Times New Roman" w:cs="Times New Roman" w:eastAsia="Times New Roman" w:hAnsi="Times New Roman"/>
          <w:b/>
          <w:bCs/>
          <w:sz w:val="24"/>
          <w:szCs w:val="24"/>
        </w:rPr>
        <w:t xml:space="preserve">magnitude is now short of it</w:t>
      </w:r>
      <w:r>
        <w:rPr>
          <w:rFonts w:ascii="Times New Roman" w:cs="Times New Roman" w:eastAsia="Times New Roman" w:hAnsi="Times New Roman"/>
          <w:sz w:val="24"/>
          <w:szCs w:val="24"/>
        </w:rPr>
        <w:t xml:space="preserve">: we obtain 4.60-fold against their measured 5.8-fold — labelled periosteal surface of 21.9 % with rest insertion against 3.8 % without, at a matched 820–830 με — a shortfall of 21 %. We report the history because it is a caution against reading close agreement as validation: this quantity read 13.99-fold before the elastic-law exponents were taken from Currey [16], 6.02-fold after that, and 4.60-fold once the osteocyte turnover constant was corrected (see Limitations). Three successive corrections, none of them aimed at this target, moved it past the measured value and out the other side. The conditional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the target is really about — a large gain at low amplitude that fades as amplitude rises — has survived all three. We flag that this agreement is recent and was not engineered: until the elastic-law exponents were taken from Currey [16] the same quantity was 13.99-fold, and the band we had been scoring against, 2–5-fold, was one we invented rather than read off the source. This too reverses between levels: at the channel level our gain rose with amplitude, contradicting experiment. Downstream saturation flips it to the observed direction, which is a non-trivial success for the cascade structure.</w:t>
      </w:r>
    </w:p>
    <w:p>
      <w:pPr>
        <w:spacing w:after="120" w:line="480" w:lineRule="auto"/>
      </w:pPr>
      <w:r>
        <w:rPr>
          <w:rFonts w:ascii="Times New Roman" w:cs="Times New Roman" w:eastAsia="Times New Roman" w:hAnsi="Times New Roman"/>
          <w:i/>
          <w:iCs/>
          <w:sz w:val="24"/>
          <w:szCs w:val="24"/>
        </w:rPr>
        <w:t xml:space="preserve">Frequency.</w:t>
      </w:r>
      <w:r>
        <w:rPr>
          <w:rFonts w:ascii="Times New Roman" w:cs="Times New Roman" w:eastAsia="Times New Roman" w:hAnsi="Times New Roman"/>
          <w:sz w:val="24"/>
          <w:szCs w:val="24"/>
        </w:rPr>
        <w:t xml:space="preserve"> Here the model disagrees with experiment, and we state it plainly. Fluid shear rises with frequency exactly as poroelasticity requires (τ 4.62 → 20.02 Pa over 1–10 Hz; r against ln f = +0.999, with no fitted parameter). The logarithmic </w:t>
      </w:r>
      <w:r>
        <w:rPr>
          <w:rFonts w:ascii="Times New Roman" w:cs="Times New Roman" w:eastAsia="Times New Roman" w:hAnsi="Times New Roman"/>
          <w:b/>
          <w:bCs/>
          <w:sz w:val="24"/>
          <w:szCs w:val="24"/>
        </w:rPr>
        <w:t xml:space="preserve">form</w:t>
      </w:r>
      <w:r>
        <w:rPr>
          <w:rFonts w:ascii="Times New Roman" w:cs="Times New Roman" w:eastAsia="Times New Roman" w:hAnsi="Times New Roman"/>
          <w:sz w:val="24"/>
          <w:szCs w:val="24"/>
        </w:rPr>
        <w:t xml:space="preserve"> survives to the bone level, but the </w:t>
      </w:r>
      <w:r>
        <w:rPr>
          <w:rFonts w:ascii="Times New Roman" w:cs="Times New Roman" w:eastAsia="Times New Roman" w:hAnsi="Times New Roman"/>
          <w:b/>
          <w:bCs/>
          <w:sz w:val="24"/>
          <w:szCs w:val="24"/>
        </w:rPr>
        <w:t xml:space="preserve">sign does not</w:t>
      </w:r>
      <w:r>
        <w:rPr>
          <w:rFonts w:ascii="Times New Roman" w:cs="Times New Roman" w:eastAsia="Times New Roman" w:hAnsi="Times New Roman"/>
          <w:sz w:val="24"/>
          <w:szCs w:val="24"/>
        </w:rPr>
        <w:t xml:space="preserve">: areal density change falls from +0.715 % to +0.560 % (r = −0.997). A duration-matched control, holding bout length fixed while cycle number scales with frequency, gives the same sign, so this is not a session-length artefact. The mechanism is that the channel opening rate saturates in shear, so the shorter loaded interval per cycle at high frequency costs more than the higher peak shear gains. Experimentally, higher frequency within this range is more osteogenic [11]. This is the sharpest falsifiable consequence of our placeholder channel rate constants and the first thing to re-examine when better values are available.</w:t>
      </w:r>
    </w:p>
    <w:p>
      <w:pPr>
        <w:pStyle w:val="Heading2"/>
        <w:spacing w:after="120" w:before="240" w:line="360" w:lineRule="auto"/>
      </w:pPr>
      <w:r>
        <w:rPr>
          <w:rFonts w:ascii="Times New Roman" w:cs="Times New Roman" w:eastAsia="Times New Roman" w:hAnsi="Times New Roman"/>
          <w:b/>
          <w:bCs/>
          <w:i/>
          <w:iCs/>
          <w:sz w:val="24"/>
          <w:szCs w:val="24"/>
        </w:rPr>
        <w:t xml:space="preserve">P1: calcium is permissive, loading is instructive — under stated measures</w:t>
      </w:r>
    </w:p>
    <w:p>
      <w:pPr>
        <w:spacing w:after="120" w:line="480" w:lineRule="auto"/>
      </w:pPr>
      <w:r>
        <w:rPr>
          <w:rFonts w:ascii="Times New Roman" w:cs="Times New Roman" w:eastAsia="Times New Roman" w:hAnsi="Times New Roman"/>
          <w:b/>
          <w:bCs/>
          <w:sz w:val="24"/>
          <w:szCs w:val="24"/>
        </w:rPr>
        <w:t xml:space="preserve">Fig 3</w:t>
      </w:r>
      <w:r>
        <w:rPr>
          <w:rFonts w:ascii="Times New Roman" w:cs="Times New Roman" w:eastAsia="Times New Roman" w:hAnsi="Times New Roman"/>
          <w:sz w:val="24"/>
          <w:szCs w:val="24"/>
        </w:rPr>
        <w:t xml:space="preserve"> shows a factorial of four calcium intakes against three loading levels over 24 months. P1 has three clauses, and we state the bar for each before giving the numbers. </w:t>
      </w:r>
      <w:r>
        <w:rPr>
          <w:rFonts w:ascii="Times New Roman" w:cs="Times New Roman" w:eastAsia="Times New Roman" w:hAnsi="Times New Roman"/>
          <w:b/>
          <w:bCs/>
          <w:sz w:val="24"/>
          <w:szCs w:val="24"/>
        </w:rPr>
        <w:t xml:space="preserve">Clause 1</w:t>
      </w:r>
      <w:r>
        <w:rPr>
          <w:rFonts w:ascii="Times New Roman" w:cs="Times New Roman" w:eastAsia="Times New Roman" w:hAnsi="Times New Roman"/>
          <w:sz w:val="24"/>
          <w:szCs w:val="24"/>
        </w:rPr>
        <w:t xml:space="preserve">: within the calcium-replete range, the marginal effect of calcium on 24-month bone density is under 1 %. </w:t>
      </w:r>
      <w:r>
        <w:rPr>
          <w:rFonts w:ascii="Times New Roman" w:cs="Times New Roman" w:eastAsia="Times New Roman" w:hAnsi="Times New Roman"/>
          <w:b/>
          <w:bCs/>
          <w:sz w:val="24"/>
          <w:szCs w:val="24"/>
        </w:rPr>
        <w:t xml:space="preserve">Clause 2</w:t>
      </w:r>
      <w:r>
        <w:rPr>
          <w:rFonts w:ascii="Times New Roman" w:cs="Times New Roman" w:eastAsia="Times New Roman" w:hAnsi="Times New Roman"/>
          <w:sz w:val="24"/>
          <w:szCs w:val="24"/>
        </w:rPr>
        <w:t xml:space="preserve">: an appropriate loading programme exceeds 4 % over the same period. </w:t>
      </w:r>
      <w:r>
        <w:rPr>
          <w:rFonts w:ascii="Times New Roman" w:cs="Times New Roman" w:eastAsia="Times New Roman" w:hAnsi="Times New Roman"/>
          <w:b/>
          <w:bCs/>
          <w:sz w:val="24"/>
          <w:szCs w:val="24"/>
        </w:rPr>
        <w:t xml:space="preserve">Clause 3</w:t>
      </w:r>
      <w:r>
        <w:rPr>
          <w:rFonts w:ascii="Times New Roman" w:cs="Times New Roman" w:eastAsia="Times New Roman" w:hAnsi="Times New Roman"/>
          <w:sz w:val="24"/>
          <w:szCs w:val="24"/>
        </w:rPr>
        <w:t xml:space="preserve">: the two interact non-additively, calcium deficiency truncating what loading can build.</w:t>
      </w:r>
    </w:p>
    <w:p>
      <w:pPr>
        <w:spacing w:after="120" w:line="480" w:lineRule="auto"/>
      </w:pPr>
      <w:r>
        <w:rPr>
          <w:rFonts w:ascii="Times New Roman" w:cs="Times New Roman" w:eastAsia="Times New Roman" w:hAnsi="Times New Roman"/>
          <w:i/>
          <w:iCs/>
          <w:sz w:val="24"/>
          <w:szCs w:val="24"/>
        </w:rPr>
        <w:t xml:space="preserve">Clause 1.</w:t>
      </w:r>
      <w:r>
        <w:rPr>
          <w:rFonts w:ascii="Times New Roman" w:cs="Times New Roman" w:eastAsia="Times New Roman" w:hAnsi="Times New Roman"/>
          <w:sz w:val="24"/>
          <w:szCs w:val="24"/>
        </w:rPr>
        <w:t xml:space="preserve"> Raising calcium from 800 to 1500 mg/day — the replete range the clause is about — changes 24-month areal density by </w:t>
      </w:r>
      <w:r>
        <w:rPr>
          <w:rFonts w:ascii="Times New Roman" w:cs="Times New Roman" w:eastAsia="Times New Roman" w:hAnsi="Times New Roman"/>
          <w:b/>
          <w:bCs/>
          <w:sz w:val="24"/>
          <w:szCs w:val="24"/>
        </w:rPr>
        <w:t xml:space="preserve">+0.304 %</w:t>
      </w:r>
      <w:r>
        <w:rPr>
          <w:rFonts w:ascii="Times New Roman" w:cs="Times New Roman" w:eastAsia="Times New Roman" w:hAnsi="Times New Roman"/>
          <w:sz w:val="24"/>
          <w:szCs w:val="24"/>
        </w:rPr>
        <w:t xml:space="preserve">, under the 1 % bar. Across the wider 400 to 1500 mg/day contrast against which calibration target V7 is defined, the change is </w:t>
      </w:r>
      <w:r>
        <w:rPr>
          <w:rFonts w:ascii="Times New Roman" w:cs="Times New Roman" w:eastAsia="Times New Roman" w:hAnsi="Times New Roman"/>
          <w:b/>
          <w:bCs/>
          <w:sz w:val="24"/>
          <w:szCs w:val="24"/>
        </w:rPr>
        <w:t xml:space="preserve">+0.663 %, just below the +0.7 to +1.8 % band</w:t>
      </w:r>
      <w:r>
        <w:rPr>
          <w:rFonts w:ascii="Times New Roman" w:cs="Times New Roman" w:eastAsia="Times New Roman" w:hAnsi="Times New Roman"/>
          <w:sz w:val="24"/>
          <w:szCs w:val="24"/>
        </w:rPr>
        <w:t xml:space="preserve"> Tai and colleagues report [6] — a miss of 0.037 against a declared tolerance of 0.8, and one we report rather than fit away. It arrived when the osteocyte turnover constant was corrected (see Limitations), and its direction is the informative part: the calcium arm had been riding on an artefact, and removing the artefact made calcium </w:t>
      </w:r>
      <w:r>
        <w:rPr>
          <w:rFonts w:ascii="Times New Roman" w:cs="Times New Roman" w:eastAsia="Times New Roman" w:hAnsi="Times New Roman"/>
          <w:i/>
          <w:iCs/>
          <w:sz w:val="24"/>
          <w:szCs w:val="24"/>
        </w:rPr>
        <w:t xml:space="preserve">less</w:t>
      </w:r>
      <w:r>
        <w:rPr>
          <w:rFonts w:ascii="Times New Roman" w:cs="Times New Roman" w:eastAsia="Times New Roman" w:hAnsi="Times New Roman"/>
          <w:sz w:val="24"/>
          <w:szCs w:val="24"/>
        </w:rPr>
        <w:t xml:space="preserve"> effective. That is the second time in this work that repairing something unrelated has shrunk the calcium effect, and both times it has strengthened P1's permissive half rather than weakened it. In both contrasts the increment reaches a plateau within the first year rather than accumulating. That non-progressive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is the discriminating feature rather than the magnitude, and it is a fitted target in its own right with its own bar: the slope of the increment over the second half of the run must be under 0.3 %/yr in absolute value, and it is −0.131 %/yr — flat, and if anything very slightly declining.</w:t>
      </w:r>
    </w:p>
    <w:p>
      <w:pPr>
        <w:spacing w:after="120" w:line="480" w:lineRule="auto"/>
      </w:pPr>
      <w:r>
        <w:rPr>
          <w:rFonts w:ascii="Times New Roman" w:cs="Times New Roman" w:eastAsia="Times New Roman" w:hAnsi="Times New Roman"/>
          <w:i/>
          <w:iCs/>
          <w:sz w:val="24"/>
          <w:szCs w:val="24"/>
        </w:rPr>
        <w:t xml:space="preserve">Clause 2.</w:t>
      </w:r>
      <w:r>
        <w:rPr>
          <w:rFonts w:ascii="Times New Roman" w:cs="Times New Roman" w:eastAsia="Times New Roman" w:hAnsi="Times New Roman"/>
          <w:sz w:val="24"/>
          <w:szCs w:val="24"/>
        </w:rPr>
        <w:t xml:space="preserve"> An appropriate loading programme — which we define explicitly as peak strain ≈2900 με, still below the 3000 με physiological ceiling and comparable to an elite tennis player's humerus — raises bone mineral content by </w:t>
      </w:r>
      <w:r>
        <w:rPr>
          <w:rFonts w:ascii="Times New Roman" w:cs="Times New Roman" w:eastAsia="Times New Roman" w:hAnsi="Times New Roman"/>
          <w:b/>
          <w:bCs/>
          <w:sz w:val="24"/>
          <w:szCs w:val="24"/>
        </w:rPr>
        <w:t xml:space="preserve">+4.582 %</w:t>
      </w:r>
      <w:r>
        <w:rPr>
          <w:rFonts w:ascii="Times New Roman" w:cs="Times New Roman" w:eastAsia="Times New Roman" w:hAnsi="Times New Roman"/>
          <w:sz w:val="24"/>
          <w:szCs w:val="24"/>
        </w:rPr>
        <w:t xml:space="preserve">, over the 4 % bar. The ratio to calcium is </w:t>
      </w:r>
      <w:r>
        <w:rPr>
          <w:rFonts w:ascii="Times New Roman" w:cs="Times New Roman" w:eastAsia="Times New Roman" w:hAnsi="Times New Roman"/>
          <w:b/>
          <w:bCs/>
          <w:sz w:val="24"/>
          <w:szCs w:val="24"/>
        </w:rPr>
        <w:t xml:space="preserve">15.1-fold</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Two qualifications are not caveats but results.</w:t>
      </w:r>
    </w:p>
    <w:p>
      <w:pPr>
        <w:spacing w:after="120" w:line="480" w:lineRule="auto"/>
      </w:pPr>
      <w:r>
        <w:rPr>
          <w:rFonts w:ascii="Times New Roman" w:cs="Times New Roman" w:eastAsia="Times New Roman" w:hAnsi="Times New Roman"/>
          <w:b/>
          <w:bCs/>
          <w:sz w:val="24"/>
          <w:szCs w:val="24"/>
        </w:rPr>
        <w:t xml:space="preserve">The measure changes the answer.</w:t>
      </w:r>
      <w:r>
        <w:rPr>
          <w:rFonts w:ascii="Times New Roman" w:cs="Times New Roman" w:eastAsia="Times New Roman" w:hAnsi="Times New Roman"/>
          <w:sz w:val="24"/>
          <w:szCs w:val="24"/>
        </w:rPr>
        <w:t xml:space="preserve"> The same loading contrast measured as areal density is +1.778 %, not +4.582 %: areal density divides bone mass by projected width, and loading moves the periosteal surface outward, so </w:t>
      </w:r>
      <w:r>
        <w:rPr>
          <w:rFonts w:ascii="Times New Roman" w:cs="Times New Roman" w:eastAsia="Times New Roman" w:hAnsi="Times New Roman"/>
          <w:b/>
          <w:bCs/>
          <w:sz w:val="24"/>
          <w:szCs w:val="24"/>
        </w:rPr>
        <w:t xml:space="preserve">dual-energy X-ray absorptiometry dilutes the loading response by 61 %</w:t>
      </w:r>
      <w:r>
        <w:rPr>
          <w:rFonts w:ascii="Times New Roman" w:cs="Times New Roman" w:eastAsia="Times New Roman" w:hAnsi="Times New Roman"/>
          <w:sz w:val="24"/>
          <w:szCs w:val="24"/>
        </w:rPr>
        <w:t xml:space="preserve">. Our model retains this size artefact deliberately, because it is what allows one model to be read against both the densitometry literature and the peripheral quantitative computed tomography literature. Reporting clause P1-2 in areal density would report a measurement artefact as biology.</w:t>
      </w:r>
    </w:p>
    <w:p>
      <w:pPr>
        <w:spacing w:after="120" w:line="480" w:lineRule="auto"/>
      </w:pPr>
      <w:r>
        <w:rPr>
          <w:rFonts w:ascii="Times New Roman" w:cs="Times New Roman" w:eastAsia="Times New Roman" w:hAnsi="Times New Roman"/>
          <w:b/>
          <w:bCs/>
          <w:sz w:val="24"/>
          <w:szCs w:val="24"/>
        </w:rPr>
        <w:t xml:space="preserve">The intensity changes the answer.</w:t>
      </w:r>
      <w:r>
        <w:rPr>
          <w:rFonts w:ascii="Times New Roman" w:cs="Times New Roman" w:eastAsia="Times New Roman" w:hAnsi="Times New Roman"/>
          <w:sz w:val="24"/>
          <w:szCs w:val="24"/>
        </w:rPr>
        <w:t xml:space="preserve"> Moderate resistance loading (2236 με) gives only +3.118 % and does not support the claim. "Appropriate loading", left undefined, makes the prediction unfalsifiable, since any shortfall can be attributed to insufficiently appropriate loading.</w:t>
      </w:r>
    </w:p>
    <w:p>
      <w:pPr>
        <w:spacing w:after="120" w:line="480" w:lineRule="auto"/>
      </w:pPr>
      <w:r>
        <w:rPr>
          <w:rFonts w:ascii="Times New Roman" w:cs="Times New Roman" w:eastAsia="Times New Roman" w:hAnsi="Times New Roman"/>
          <w:i/>
          <w:iCs/>
          <w:sz w:val="24"/>
          <w:szCs w:val="24"/>
        </w:rPr>
        <w:t xml:space="preserve">Clause 3</w:t>
      </w:r>
      <w:r>
        <w:rPr>
          <w:rFonts w:ascii="Times New Roman" w:cs="Times New Roman" w:eastAsia="Times New Roman" w:hAnsi="Times New Roman"/>
          <w:sz w:val="24"/>
          <w:szCs w:val="24"/>
        </w:rPr>
        <w:t xml:space="preserve"> is supported on both framings, and we flag that this was not true of an earlier version of the model. Calcium deficiency truncates what loading can build: under vigorous loading, severe deficiency achieves +3.994 % against +4.756 % when supplemented, so deficiency costs 16 % of the gain. The </w:t>
      </w:r>
      <w:r>
        <w:rPr>
          <w:rFonts w:ascii="Times New Roman" w:cs="Times New Roman" w:eastAsia="Times New Roman" w:hAnsi="Times New Roman"/>
          <w:i/>
          <w:iCs/>
          <w:sz w:val="24"/>
          <w:szCs w:val="24"/>
        </w:rPr>
        <w:t xml:space="preserve">difference-in-differences</w:t>
      </w:r>
      <w:r>
        <w:rPr>
          <w:rFonts w:ascii="Times New Roman" w:cs="Times New Roman" w:eastAsia="Times New Roman" w:hAnsi="Times New Roman"/>
          <w:sz w:val="24"/>
          <w:szCs w:val="24"/>
        </w:rPr>
        <w:t xml:space="preserve"> interaction — loaded minus sedentary, compared across calcium levels — is </w:t>
      </w:r>
      <w:r>
        <w:rPr>
          <w:rFonts w:ascii="Times New Roman" w:cs="Times New Roman" w:eastAsia="Times New Roman" w:hAnsi="Times New Roman"/>
          <w:b/>
          <w:bCs/>
          <w:sz w:val="24"/>
          <w:szCs w:val="24"/>
        </w:rPr>
        <w:t xml:space="preserve">+0.085</w:t>
      </w:r>
      <w:r>
        <w:rPr>
          <w:rFonts w:ascii="Times New Roman" w:cs="Times New Roman" w:eastAsia="Times New Roman" w:hAnsi="Times New Roman"/>
          <w:sz w:val="24"/>
          <w:szCs w:val="24"/>
        </w:rPr>
        <w:t xml:space="preserve"> percentage points, the same sign, so loading's marginal benefit really is larger when calcium is adequate.</w:t>
      </w:r>
    </w:p>
    <w:p>
      <w:pPr>
        <w:spacing w:after="120" w:line="480" w:lineRule="auto"/>
      </w:pPr>
      <w:r>
        <w:rPr>
          <w:rFonts w:ascii="Times New Roman" w:cs="Times New Roman" w:eastAsia="Times New Roman" w:hAnsi="Times New Roman"/>
          <w:sz w:val="24"/>
          <w:szCs w:val="24"/>
        </w:rPr>
        <w:t xml:space="preserve">We report the history because it bears on how much weight this clause can carry. Before the systemic calcium module was rebuilt (see Limitations), the same quantity was </w:t>
      </w:r>
      <w:r>
        <w:rPr>
          <w:rFonts w:ascii="Times New Roman" w:cs="Times New Roman" w:eastAsia="Times New Roman" w:hAnsi="Times New Roman"/>
          <w:b/>
          <w:bCs/>
          <w:sz w:val="24"/>
          <w:szCs w:val="24"/>
        </w:rPr>
        <w:t xml:space="preserve">−0.536</w:t>
      </w:r>
      <w:r>
        <w:rPr>
          <w:rFonts w:ascii="Times New Roman" w:cs="Times New Roman" w:eastAsia="Times New Roman" w:hAnsi="Times New Roman"/>
          <w:sz w:val="24"/>
          <w:szCs w:val="24"/>
        </w:rPr>
        <w:t xml:space="preserve"> percentage points — the opposite sign — because deficiency dragged the sedentary comparator down faster than the loaded arm, a floor effect in the comparator rather than synergy. The correction that removed a supraphysiological swing in serum calcium also flipped this interaction. A conclusion that changes sign when an unrelated module is repaired is one to hold loosely.</w:t>
      </w:r>
    </w:p>
    <w:p>
      <w:pPr>
        <w:spacing w:after="120" w:line="480" w:lineRule="auto"/>
      </w:pPr>
      <w:r>
        <w:rPr>
          <w:rFonts w:ascii="Times New Roman" w:cs="Times New Roman" w:eastAsia="Times New Roman" w:hAnsi="Times New Roman"/>
          <w:b/>
          <w:bCs/>
          <w:sz w:val="24"/>
          <w:szCs w:val="24"/>
        </w:rPr>
        <w:t xml:space="preserve">One of P1's three clauses therefore reverses sign under a different but equally reasonable measure</w:t>
      </w:r>
      <w:r>
        <w:rPr>
          <w:rFonts w:ascii="Times New Roman" w:cs="Times New Roman" w:eastAsia="Times New Roman" w:hAnsi="Times New Roman"/>
          <w:sz w:val="24"/>
          <w:szCs w:val="24"/>
        </w:rPr>
        <w:t xml:space="preserve">, and a second did so until a module elsewhere in the model was corrected. We regard this as a substantive finding about how such claims must be reported, not a weakness of the model, and we return to it in the Discussion.</w:t>
      </w:r>
    </w:p>
    <w:p>
      <w:pPr>
        <w:pStyle w:val="Heading2"/>
        <w:spacing w:after="120" w:before="240" w:line="360" w:lineRule="auto"/>
      </w:pPr>
      <w:r>
        <w:rPr>
          <w:rFonts w:ascii="Times New Roman" w:cs="Times New Roman" w:eastAsia="Times New Roman" w:hAnsi="Times New Roman"/>
          <w:b/>
          <w:bCs/>
          <w:i/>
          <w:iCs/>
          <w:sz w:val="24"/>
          <w:szCs w:val="24"/>
        </w:rPr>
        <w:t xml:space="preserve">P2: only local loading can produce a local difference</w:t>
      </w:r>
    </w:p>
    <w:p>
      <w:pPr>
        <w:spacing w:after="120" w:line="480" w:lineRule="auto"/>
      </w:pPr>
      <w:r>
        <w:rPr>
          <w:rFonts w:ascii="Times New Roman" w:cs="Times New Roman" w:eastAsia="Times New Roman" w:hAnsi="Times New Roman"/>
          <w:b/>
          <w:bCs/>
          <w:sz w:val="24"/>
          <w:szCs w:val="24"/>
        </w:rPr>
        <w:t xml:space="preserve">Fig 6</w:t>
      </w:r>
      <w:r>
        <w:rPr>
          <w:rFonts w:ascii="Times New Roman" w:cs="Times New Roman" w:eastAsia="Times New Roman" w:hAnsi="Times New Roman"/>
          <w:sz w:val="24"/>
          <w:szCs w:val="24"/>
        </w:rPr>
        <w:t xml:space="preserve"> shows the two-compartment result: one humerus loaded, one not, sharing a single systemic calcium and PTH pool, over five years. P2 has two halves, and the second is the one that can fail cleanly. </w:t>
      </w: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unilateral loading should reproduce the racquet-sport humerus. </w:t>
      </w: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no systemic intervention should produce a side-to-side difference at all — a single non-zero asymmetry under a systemic agent would falsify it.</w:t>
      </w:r>
    </w:p>
    <w:p>
      <w:pPr>
        <w:spacing w:after="120" w:line="480" w:lineRule="auto"/>
      </w:pPr>
      <w:r>
        <w:rPr>
          <w:rFonts w:ascii="Times New Roman" w:cs="Times New Roman" w:eastAsia="Times New Roman" w:hAnsi="Times New Roman"/>
          <w:sz w:val="24"/>
          <w:szCs w:val="24"/>
        </w:rPr>
        <w:t xml:space="preserve">All six pQCT indices reported by Haapasalo and colleagues [7] fall within tolerance, model against measured range: bone mineral content +12.38 % against 14–27 %, total area +12.17 % against 16–21 %, cortical area +10.40 % against 12–32 %, maximal second moment of area +24.48 % against 27–67 %, medullary cavity +13.93 % against 19 %, and cortical volumetric density +1.79 % against −2 to 0 %. Per-index tolerances are listed in </w:t>
      </w:r>
      <w:r>
        <w:rPr>
          <w:rFonts w:ascii="Times New Roman" w:cs="Times New Roman" w:eastAsia="Times New Roman" w:hAnsi="Times New Roman"/>
          <w:b/>
          <w:bCs/>
          <w:sz w:val="24"/>
          <w:szCs w:val="24"/>
        </w:rPr>
        <w:t xml:space="preserve">S2 Table</w:t>
      </w:r>
      <w:r>
        <w:rPr>
          <w:rFonts w:ascii="Times New Roman" w:cs="Times New Roman" w:eastAsia="Times New Roman" w:hAnsi="Times New Roman"/>
          <w:sz w:val="24"/>
          <w:szCs w:val="24"/>
        </w:rPr>
        <w:t xml:space="preserve">. These are </w:t>
      </w:r>
      <w:r>
        <w:rPr>
          <w:rFonts w:ascii="Times New Roman" w:cs="Times New Roman" w:eastAsia="Times New Roman" w:hAnsi="Times New Roman"/>
          <w:b/>
          <w:bCs/>
          <w:sz w:val="24"/>
          <w:szCs w:val="24"/>
        </w:rPr>
        <w:t xml:space="preserve">hold-out</w:t>
      </w:r>
      <w:r>
        <w:rPr>
          <w:rFonts w:ascii="Times New Roman" w:cs="Times New Roman" w:eastAsia="Times New Roman" w:hAnsi="Times New Roman"/>
          <w:sz w:val="24"/>
          <w:szCs w:val="24"/>
        </w:rPr>
        <w:t xml:space="preserve"> values. The discriminating one is the last: the playing arm's gain is geometric, with volumetric density essentially unchanged, and the model was never fitted to that constraint.</w:t>
      </w:r>
    </w:p>
    <w:p>
      <w:pPr>
        <w:spacing w:after="120" w:line="480" w:lineRule="auto"/>
      </w:pPr>
      <w:r>
        <w:rPr>
          <w:rFonts w:ascii="Times New Roman" w:cs="Times New Roman" w:eastAsia="Times New Roman" w:hAnsi="Times New Roman"/>
          <w:sz w:val="24"/>
          <w:szCs w:val="24"/>
        </w:rPr>
        <w:t xml:space="preserve">The complementary claim is the sharper one. With both arms loaded identically and a systemic intervention applied — 1500 mg/day calcium, or romosozumab — the side-to-side difference is </w:t>
      </w:r>
      <w:r>
        <w:rPr>
          <w:rFonts w:ascii="Times New Roman" w:cs="Times New Roman" w:eastAsia="Times New Roman" w:hAnsi="Times New Roman"/>
          <w:b/>
          <w:bCs/>
          <w:sz w:val="24"/>
          <w:szCs w:val="24"/>
        </w:rPr>
        <w:t xml:space="preserve">+12.38 %</w:t>
      </w:r>
      <w:r>
        <w:rPr>
          <w:rFonts w:ascii="Times New Roman" w:cs="Times New Roman" w:eastAsia="Times New Roman" w:hAnsi="Times New Roman"/>
          <w:sz w:val="24"/>
          <w:szCs w:val="24"/>
        </w:rPr>
        <w:t xml:space="preserve"> for loading against </w:t>
      </w:r>
      <w:r>
        <w:rPr>
          <w:rFonts w:ascii="Times New Roman" w:cs="Times New Roman" w:eastAsia="Times New Roman" w:hAnsi="Times New Roman"/>
          <w:b/>
          <w:bCs/>
          <w:sz w:val="24"/>
          <w:szCs w:val="24"/>
        </w:rPr>
        <w:t xml:space="preserve">−0.0000 %</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−0.0000 %</w:t>
      </w:r>
      <w:r>
        <w:rPr>
          <w:rFonts w:ascii="Times New Roman" w:cs="Times New Roman" w:eastAsia="Times New Roman" w:hAnsi="Times New Roman"/>
          <w:sz w:val="24"/>
          <w:szCs w:val="24"/>
        </w:rPr>
        <w:t xml:space="preserve"> respectively. Because both compartments see the identical shared PTH, no systemic agent can manufacture a local difference. The tennis-player asymmetry is not reproducible by any pill, in this framework as a matter of structure rather than of parameter values.</w:t>
      </w:r>
    </w:p>
    <w:p>
      <w:pPr>
        <w:pStyle w:val="Heading2"/>
        <w:spacing w:after="120" w:before="240" w:line="360" w:lineRule="auto"/>
      </w:pPr>
      <w:r>
        <w:rPr>
          <w:rFonts w:ascii="Times New Roman" w:cs="Times New Roman" w:eastAsia="Times New Roman" w:hAnsi="Times New Roman"/>
          <w:b/>
          <w:bCs/>
          <w:i/>
          <w:iCs/>
          <w:sz w:val="24"/>
          <w:szCs w:val="24"/>
        </w:rPr>
        <w:t xml:space="preserve">Disuse and the minimum effective countermeasure</w:t>
      </w:r>
    </w:p>
    <w:p>
      <w:pPr>
        <w:spacing w:after="120" w:line="480" w:lineRule="auto"/>
      </w:pPr>
      <w:r>
        <w:rPr>
          <w:rFonts w:ascii="Times New Roman" w:cs="Times New Roman" w:eastAsia="Times New Roman" w:hAnsi="Times New Roman"/>
          <w:sz w:val="24"/>
          <w:szCs w:val="24"/>
        </w:rPr>
        <w:t xml:space="preserve">Unloading produces 1.220 %/month bone loss over the 180-day window (</w:t>
      </w:r>
      <w:r>
        <w:rPr>
          <w:rFonts w:ascii="Times New Roman" w:cs="Times New Roman" w:eastAsia="Times New Roman" w:hAnsi="Times New Roman"/>
          <w:b/>
          <w:bCs/>
          <w:sz w:val="24"/>
          <w:szCs w:val="24"/>
        </w:rPr>
        <w:t xml:space="preserve">Fig 4</w:t>
      </w:r>
      <w:r>
        <w:rPr>
          <w:rFonts w:ascii="Times New Roman" w:cs="Times New Roman" w:eastAsia="Times New Roman" w:hAnsi="Times New Roman"/>
          <w:sz w:val="24"/>
          <w:szCs w:val="24"/>
        </w:rPr>
        <w:t xml:space="preserve">). The bar was the 1.0–1.5 %/month band, which sits inside the 1–2 %/month decline reported at weight-bearing sites over 90 days of head-down bed rest [24]. The quantity we compute is bone mineral content rather than areal density; in disuse the periosteum barely moves (−0.002 mm over 180 days) and the two agree to 0.003 percentage points per month, unlike the loading contrast above where they differ by 61 %.</w:t>
      </w:r>
    </w:p>
    <w:p>
      <w:pPr>
        <w:spacing w:after="120" w:line="480" w:lineRule="auto"/>
      </w:pPr>
      <w:r>
        <w:rPr>
          <w:rFonts w:ascii="Times New Roman" w:cs="Times New Roman" w:eastAsia="Times New Roman" w:hAnsi="Times New Roman"/>
          <w:sz w:val="24"/>
          <w:szCs w:val="24"/>
        </w:rPr>
        <w:t xml:space="preserve">Sclerostin rises, which is the direction the target requires, but the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is wrong and we report this as a partial match. Serum sclerostin in the model reaches +58.0 % and then stays there, essentially flat from day 28 onward. Measured in men over 90 days of bed rest it rises to +29 % at day 28, peaks at +42 % at day 60, and has fallen back to +22 % by day 90 [24]. We reproduce the rise but overshoot its peak by half again, and we do not reproduce the attenuation at all: sclerostin here equilibrates within days to the new mechanical dose and has no adaptive decline.</w:t>
      </w:r>
    </w:p>
    <w:p>
      <w:pPr>
        <w:spacing w:after="120" w:line="480" w:lineRule="auto"/>
      </w:pPr>
      <w:r>
        <w:rPr>
          <w:rFonts w:ascii="Times New Roman" w:cs="Times New Roman" w:eastAsia="Times New Roman" w:hAnsi="Times New Roman"/>
          <w:sz w:val="24"/>
          <w:szCs w:val="24"/>
        </w:rPr>
        <w:t xml:space="preserve">The same experiment supplies a second check, on the systemic arm, and it is one the model failed until we repaired it. In those subjects parathyroid hormone fell 17 % by day 28 and 24 % by day 60, with urinary calcium significantly elevated throughout [24] — the classic immobilisation picture, in which calcium released from unloaded bone suppresses the parathyroid. The model now reproduces it: parathyroid hormone falls </w:t>
      </w:r>
      <w:r>
        <w:rPr>
          <w:rFonts w:ascii="Times New Roman" w:cs="Times New Roman" w:eastAsia="Times New Roman" w:hAnsi="Times New Roman"/>
          <w:b/>
          <w:bCs/>
          <w:sz w:val="24"/>
          <w:szCs w:val="24"/>
        </w:rPr>
        <w:t xml:space="preserve">21.2 %</w:t>
      </w:r>
      <w:r>
        <w:rPr>
          <w:rFonts w:ascii="Times New Roman" w:cs="Times New Roman" w:eastAsia="Times New Roman" w:hAnsi="Times New Roman"/>
          <w:sz w:val="24"/>
          <w:szCs w:val="24"/>
        </w:rPr>
        <w:t xml:space="preserve"> by day 28 and </w:t>
      </w:r>
      <w:r>
        <w:rPr>
          <w:rFonts w:ascii="Times New Roman" w:cs="Times New Roman" w:eastAsia="Times New Roman" w:hAnsi="Times New Roman"/>
          <w:b/>
          <w:bCs/>
          <w:sz w:val="24"/>
          <w:szCs w:val="24"/>
        </w:rPr>
        <w:t xml:space="preserve">21.3 %</w:t>
      </w:r>
      <w:r>
        <w:rPr>
          <w:rFonts w:ascii="Times New Roman" w:cs="Times New Roman" w:eastAsia="Times New Roman" w:hAnsi="Times New Roman"/>
          <w:sz w:val="24"/>
          <w:szCs w:val="24"/>
        </w:rPr>
        <w:t xml:space="preserve"> by day 60, on a serum calcium rise of 2.8 %.</w:t>
      </w:r>
    </w:p>
    <w:p>
      <w:pPr>
        <w:spacing w:after="120" w:line="480" w:lineRule="auto"/>
      </w:pPr>
      <w:r>
        <w:rPr>
          <w:rFonts w:ascii="Times New Roman" w:cs="Times New Roman" w:eastAsia="Times New Roman" w:hAnsi="Times New Roman"/>
          <w:sz w:val="24"/>
          <w:szCs w:val="24"/>
        </w:rPr>
        <w:t xml:space="preserve">It did not before. In the version of this module we first built, the same run moved parathyroid hormone by 0.01 % — the coefficients carrying skeletal calcium into the serum pool were three orders of magnitude below the flux they were normalised against, so bone could not move serum calcium at all, and the coupling we describe as bidirectional was in practice one-way. We report this because the failure was invisible to every target we had: nothing in the validation set asked the model to move systemic calcium from bone, so nothing caught it until we tested a fact the literature had recorded and we had not.</w:t>
      </w:r>
    </w:p>
    <w:p>
      <w:pPr>
        <w:spacing w:after="120" w:line="480" w:lineRule="auto"/>
      </w:pPr>
      <w:r>
        <w:rPr>
          <w:rFonts w:ascii="Times New Roman" w:cs="Times New Roman" w:eastAsia="Times New Roman" w:hAnsi="Times New Roman"/>
          <w:sz w:val="24"/>
          <w:szCs w:val="24"/>
        </w:rPr>
        <w:t xml:space="preserve">Searching loading prescriptions under a ≤30 min/day constraint, the best regimen within budget (peak moment ×4.5, 80 cycles, 0.5 Hz, 10 s inter-cycle rest, 16.0 min/day) reduces loss to 0.771 %/month — preventing 37 % of it. </w:t>
      </w:r>
      <w:r>
        <w:rPr>
          <w:rFonts w:ascii="Times New Roman" w:cs="Times New Roman" w:eastAsia="Times New Roman" w:hAnsi="Times New Roman"/>
          <w:b/>
          <w:bCs/>
          <w:sz w:val="24"/>
          <w:szCs w:val="24"/>
        </w:rPr>
        <w:t xml:space="preserve">No regimen within the time budget holds loss below 0.25 %/month.</w:t>
      </w:r>
      <w:r>
        <w:rPr>
          <w:rFonts w:ascii="Times New Roman" w:cs="Times New Roman" w:eastAsia="Times New Roman" w:hAnsi="Times New Roman"/>
          <w:sz w:val="24"/>
          <w:szCs w:val="24"/>
        </w:rPr>
        <w:t xml:space="preserve"> We report this negative result because it is clinically relevant: in this model, time-efficient loading alone does not arrest disuse osteopenia.</w:t>
      </w:r>
    </w:p>
    <w:p>
      <w:pPr>
        <w:spacing w:after="120" w:line="480" w:lineRule="auto"/>
      </w:pPr>
      <w:r>
        <w:rPr>
          <w:rFonts w:ascii="Times New Roman" w:cs="Times New Roman" w:eastAsia="Times New Roman" w:hAnsi="Times New Roman"/>
          <w:sz w:val="24"/>
          <w:szCs w:val="24"/>
        </w:rPr>
        <w:t xml:space="preserve">We also flag a scope limit that our validity check surfaced. Beyond about 7.5 months, complete unloading drives the model to its porosity floor and out of the linear-elastic domain the entire mechanics stack assumes. Real bed rest decelerates and plateaus at 30–50 % loss. All disuse results here are confined to the 180-day window on which the target is defined, and every run reports whether it stayed inside the elastic domain.</w:t>
      </w:r>
    </w:p>
    <w:p>
      <w:pPr>
        <w:pStyle w:val="Heading2"/>
        <w:spacing w:after="120" w:before="240" w:line="360" w:lineRule="auto"/>
      </w:pPr>
      <w:r>
        <w:rPr>
          <w:rFonts w:ascii="Times New Roman" w:cs="Times New Roman" w:eastAsia="Times New Roman" w:hAnsi="Times New Roman"/>
          <w:b/>
          <w:bCs/>
          <w:i/>
          <w:iCs/>
          <w:sz w:val="24"/>
          <w:szCs w:val="24"/>
        </w:rPr>
        <w:t xml:space="preserve">Pharmacology: self-limitation, withdrawal rebound, and a shared node</w:t>
      </w:r>
    </w:p>
    <w:p>
      <w:pPr>
        <w:spacing w:after="120" w:line="480" w:lineRule="auto"/>
      </w:pPr>
      <w:r>
        <w:rPr>
          <w:rFonts w:ascii="Times New Roman" w:cs="Times New Roman" w:eastAsia="Times New Roman" w:hAnsi="Times New Roman"/>
          <w:b/>
          <w:bCs/>
          <w:sz w:val="24"/>
          <w:szCs w:val="24"/>
        </w:rPr>
        <w:t xml:space="preserve">Fig 5</w:t>
      </w:r>
      <w:r>
        <w:rPr>
          <w:rFonts w:ascii="Times New Roman" w:cs="Times New Roman" w:eastAsia="Times New Roman" w:hAnsi="Times New Roman"/>
          <w:sz w:val="24"/>
          <w:szCs w:val="24"/>
        </w:rPr>
        <w:t xml:space="preserve"> shows four arms over 24 months with romosozumab stopped at month 12.</w:t>
      </w:r>
    </w:p>
    <w:p>
      <w:pPr>
        <w:spacing w:after="120" w:line="480" w:lineRule="auto"/>
      </w:pPr>
      <w:r>
        <w:rPr>
          <w:rFonts w:ascii="Times New Roman" w:cs="Times New Roman" w:eastAsia="Times New Roman" w:hAnsi="Times New Roman"/>
          <w:sz w:val="24"/>
          <w:szCs w:val="24"/>
        </w:rPr>
        <w:t xml:space="preserve">Because the +11–14 % romosozumab target is a </w:t>
      </w:r>
      <w:r>
        <w:rPr>
          <w:rFonts w:ascii="Times New Roman" w:cs="Times New Roman" w:eastAsia="Times New Roman" w:hAnsi="Times New Roman"/>
          <w:i/>
          <w:iCs/>
          <w:sz w:val="24"/>
          <w:szCs w:val="24"/>
        </w:rPr>
        <w:t xml:space="preserve">lumbar spine</w:t>
      </w:r>
      <w:r>
        <w:rPr>
          <w:rFonts w:ascii="Times New Roman" w:cs="Times New Roman" w:eastAsia="Times New Roman" w:hAnsi="Times New Roman"/>
          <w:sz w:val="24"/>
          <w:szCs w:val="24"/>
        </w:rPr>
        <w:t xml:space="preserve"> number [14] and the spine is trabecular, we evaluate it in a trabecular vertebral compartment derived from the cortical parameter set by changing only structure, geometry and load — the biology is shared. One consistency check does not come free, and saying why is more useful than the check. Until v2.16 a single exponent served both compartments; taking the measured value shows that agreement was a compromise, not a validation. Currey's power law over compact bone [16] gives 3.13, which at a bone volume fraction of 0.12 puts the vertebra at 26 MPa — below the measured 50–300 MPa range. Trabecular bone is a cellular solid, and Gibson–Ashby open-cell scaling gives 2. Using 3.13 in cortex and 2.00 here gives an apparent modulus of 288.0 MPa, inside the measured range, on a measurement at each end rather than one value split between them.</w:t>
      </w:r>
    </w:p>
    <w:p>
      <w:pPr>
        <w:spacing w:after="120" w:line="480" w:lineRule="auto"/>
      </w:pPr>
      <w:r>
        <w:rPr>
          <w:rFonts w:ascii="Times New Roman" w:cs="Times New Roman" w:eastAsia="Times New Roman" w:hAnsi="Times New Roman"/>
          <w:sz w:val="24"/>
          <w:szCs w:val="24"/>
        </w:rPr>
        <w:t xml:space="preserve">In that compartment romosozumab gives </w:t>
      </w:r>
      <w:r>
        <w:rPr>
          <w:rFonts w:ascii="Times New Roman" w:cs="Times New Roman" w:eastAsia="Times New Roman" w:hAnsi="Times New Roman"/>
          <w:b/>
          <w:bCs/>
          <w:sz w:val="24"/>
          <w:szCs w:val="24"/>
        </w:rPr>
        <w:t xml:space="preserve">+12.459 %</w:t>
      </w:r>
      <w:r>
        <w:rPr>
          <w:rFonts w:ascii="Times New Roman" w:cs="Times New Roman" w:eastAsia="Times New Roman" w:hAnsi="Times New Roman"/>
          <w:sz w:val="24"/>
          <w:szCs w:val="24"/>
        </w:rPr>
        <w:t xml:space="preserve"> at 12 months, inside the 11–14 % target band, against +2.334 % in cortex — a 5.3-fold amplification arising from structure alone. This is a </w:t>
      </w:r>
      <w:r>
        <w:rPr>
          <w:rFonts w:ascii="Times New Roman" w:cs="Times New Roman" w:eastAsia="Times New Roman" w:hAnsi="Times New Roman"/>
          <w:b/>
          <w:bCs/>
          <w:sz w:val="24"/>
          <w:szCs w:val="24"/>
        </w:rPr>
        <w:t xml:space="preserve">calibration</w:t>
      </w:r>
      <w:r>
        <w:rPr>
          <w:rFonts w:ascii="Times New Roman" w:cs="Times New Roman" w:eastAsia="Times New Roman" w:hAnsi="Times New Roman"/>
          <w:sz w:val="24"/>
          <w:szCs w:val="24"/>
        </w:rPr>
        <w:t xml:space="preserve"> target, not a prediction: </w:t>
      </w:r>
      <w:r>
        <w:rPr>
          <w:rFonts w:ascii="Courier New" w:cs="Courier New" w:eastAsia="Courier New" w:hAnsi="Courier New"/>
          <w:sz w:val="24"/>
          <w:szCs w:val="24"/>
        </w:rPr>
        <w:t xml:space="preserve">delta_ab</w:t>
      </w:r>
      <w:r>
        <w:rPr>
          <w:rFonts w:ascii="Times New Roman" w:cs="Times New Roman" w:eastAsia="Times New Roman" w:hAnsi="Times New Roman"/>
          <w:sz w:val="24"/>
          <w:szCs w:val="24"/>
        </w:rPr>
        <w:t xml:space="preserve"> was fitted to it. The amplification factor, by contrast, has no direct empirical counterpart and we do not present it as validated. The nearest clinical comparison is the spine-to-hip contrast, +15.1 % against +5.4 % at 24 months on the 210 mg monthly regimen [23], about threefold — but the total hip is a mixed cortical–trabecular site whereas our cortical compartment is a pure diaphysis, so a larger ratio is expected and the two numbers are not like for like. Building the compartment also forced a general constraint into the open: because the signalling chain is shared, both compartments must sit at the same emergent shear set point, which a vertebra at realistic load and bone volume fraction does not do at the same tissue strain. The poroelastic transfer coefficient must therefore differ between trabecular and osteonal bone — defensible, since it is a microstructural property, and set here by matching baseline shear rather than by fitting any outcome.</w:t>
      </w:r>
    </w:p>
    <w:p>
      <w:pPr>
        <w:spacing w:after="120" w:line="480" w:lineRule="auto"/>
      </w:pPr>
      <w:r>
        <w:rPr>
          <w:rFonts w:ascii="Times New Roman" w:cs="Times New Roman" w:eastAsia="Times New Roman" w:hAnsi="Times New Roman"/>
          <w:i/>
          <w:iCs/>
          <w:sz w:val="24"/>
          <w:szCs w:val="24"/>
        </w:rPr>
        <w:t xml:space="preserve">Self-limitation.</w:t>
      </w:r>
      <w:r>
        <w:rPr>
          <w:rFonts w:ascii="Times New Roman" w:cs="Times New Roman" w:eastAsia="Times New Roman" w:hAnsi="Times New Roman"/>
          <w:sz w:val="24"/>
          <w:szCs w:val="24"/>
        </w:rPr>
        <w:t xml:space="preserve"> The formation marker rises, peaks, and then declines while dosing continues (rise +0.421 in the first half of the course against −0.259 in the second), which is the shape the marker data show. The </w:t>
      </w:r>
      <w:r>
        <w:rPr>
          <w:rFonts w:ascii="Times New Roman" w:cs="Times New Roman" w:eastAsia="Times New Roman" w:hAnsi="Times New Roman"/>
          <w:b/>
          <w:bCs/>
          <w:sz w:val="24"/>
          <w:szCs w:val="24"/>
        </w:rPr>
        <w:t xml:space="preserve">timing does not match</w:t>
      </w:r>
      <w:r>
        <w:rPr>
          <w:rFonts w:ascii="Times New Roman" w:cs="Times New Roman" w:eastAsia="Times New Roman" w:hAnsi="Times New Roman"/>
          <w:sz w:val="24"/>
          <w:szCs w:val="24"/>
        </w:rPr>
        <w:t xml:space="preserve">: our marker peaks at about month 0.2 and reaches 3.169-fold baseline, whereas formation markers clinically peak near month 1 and decline towards baseline over 6–12 months. We reproduce the self-limitation but compress its onset. The mechanism is explicit: compensatory up-regulation of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transcription accumulates under antibody exposure and progressively offsets it, so free sclerostin climbs back toward baseline by month 9 while treatment is still running.</w:t>
      </w:r>
    </w:p>
    <w:p>
      <w:pPr>
        <w:spacing w:after="120" w:line="480" w:lineRule="auto"/>
      </w:pPr>
      <w:r>
        <w:rPr>
          <w:rFonts w:ascii="Times New Roman" w:cs="Times New Roman" w:eastAsia="Times New Roman" w:hAnsi="Times New Roman"/>
          <w:i/>
          <w:iCs/>
          <w:sz w:val="24"/>
          <w:szCs w:val="24"/>
        </w:rPr>
        <w:t xml:space="preserve">Withdrawal.</w:t>
      </w:r>
      <w:r>
        <w:rPr>
          <w:rFonts w:ascii="Times New Roman" w:cs="Times New Roman" w:eastAsia="Times New Roman" w:hAnsi="Times New Roman"/>
          <w:sz w:val="24"/>
          <w:szCs w:val="24"/>
        </w:rPr>
        <w:t xml:space="preserve"> That same compensation decays on its own clock rather than the antibody's, so when clearance stops the raised production does not, sclerostin overshoots, and resorption surges through the RANKL-dependent arm of sclerostin action [15]. We calibrated this mechanism against the post-withdrawal </w:t>
      </w:r>
      <w:r>
        <w:rPr>
          <w:rFonts w:ascii="Times New Roman" w:cs="Times New Roman" w:eastAsia="Times New Roman" w:hAnsi="Times New Roman"/>
          <w:b/>
          <w:bCs/>
          <w:sz w:val="24"/>
          <w:szCs w:val="24"/>
        </w:rPr>
        <w:t xml:space="preserve">resorption marker</w:t>
      </w:r>
      <w:r>
        <w:rPr>
          <w:rFonts w:ascii="Times New Roman" w:cs="Times New Roman" w:eastAsia="Times New Roman" w:hAnsi="Times New Roman"/>
          <w:sz w:val="24"/>
          <w:szCs w:val="24"/>
        </w:rPr>
        <w:t xml:space="preserve"> overshoot (1.124 × baseline, </w:t>
      </w:r>
      <w:r>
        <w:rPr>
          <w:rFonts w:ascii="Times New Roman" w:cs="Times New Roman" w:eastAsia="Times New Roman" w:hAnsi="Times New Roman"/>
          <w:b/>
          <w:bCs/>
          <w:sz w:val="24"/>
          <w:szCs w:val="24"/>
        </w:rPr>
        <w:t xml:space="preserve">outside</w:t>
      </w:r>
      <w:r>
        <w:rPr>
          <w:rFonts w:ascii="Times New Roman" w:cs="Times New Roman" w:eastAsia="Times New Roman" w:hAnsi="Times New Roman"/>
          <w:sz w:val="24"/>
          <w:szCs w:val="24"/>
        </w:rPr>
        <w:t xml:space="preserve"> the 1.2–1.4 range corresponding to the rise of β-CTX above baseline after transition to placebo [23] — see below), deliberately not against bone density — which leaves the density fall a blind prediction.</w:t>
      </w:r>
    </w:p>
    <w:p>
      <w:pPr>
        <w:spacing w:after="120" w:line="480" w:lineRule="auto"/>
      </w:pPr>
      <w:r>
        <w:rPr>
          <w:rFonts w:ascii="Times New Roman" w:cs="Times New Roman" w:eastAsia="Times New Roman" w:hAnsi="Times New Roman"/>
          <w:sz w:val="24"/>
          <w:szCs w:val="24"/>
        </w:rPr>
        <w:t xml:space="preserve">The bar we set for that prediction was </w:t>
      </w:r>
      <w:r>
        <w:rPr>
          <w:rFonts w:ascii="Times New Roman" w:cs="Times New Roman" w:eastAsia="Times New Roman" w:hAnsi="Times New Roman"/>
          <w:b/>
          <w:bCs/>
          <w:sz w:val="24"/>
          <w:szCs w:val="24"/>
        </w:rPr>
        <w:t xml:space="preserve">direction only</w:t>
      </w:r>
      <w:r>
        <w:rPr>
          <w:rFonts w:ascii="Times New Roman" w:cs="Times New Roman" w:eastAsia="Times New Roman" w:hAnsi="Times New Roman"/>
          <w:sz w:val="24"/>
          <w:szCs w:val="24"/>
        </w:rPr>
        <w:t xml:space="preserve">: bone density must fall over the washout. It does, by </w:t>
      </w:r>
      <w:r>
        <w:rPr>
          <w:rFonts w:ascii="Times New Roman" w:cs="Times New Roman" w:eastAsia="Times New Roman" w:hAnsi="Times New Roman"/>
          <w:b/>
          <w:bCs/>
          <w:sz w:val="24"/>
          <w:szCs w:val="24"/>
        </w:rPr>
        <w:t xml:space="preserve">−8.70 %</w:t>
      </w:r>
      <w:r>
        <w:rPr>
          <w:rFonts w:ascii="Times New Roman" w:cs="Times New Roman" w:eastAsia="Times New Roman" w:hAnsi="Times New Roman"/>
          <w:sz w:val="24"/>
          <w:szCs w:val="24"/>
        </w:rPr>
        <w:t xml:space="preserve"> over the 12 months after the last dose, and we state plainly that a directional bar is a weak one. Judged on magnitude rather than sign, this hold-out is now the closest it has been. The model gives back </w:t>
      </w:r>
      <w:r>
        <w:rPr>
          <w:rFonts w:ascii="Times New Roman" w:cs="Times New Roman" w:eastAsia="Times New Roman" w:hAnsi="Times New Roman"/>
          <w:b/>
          <w:bCs/>
          <w:sz w:val="24"/>
          <w:szCs w:val="24"/>
        </w:rPr>
        <w:t xml:space="preserve">78.5 %</w:t>
      </w:r>
      <w:r>
        <w:rPr>
          <w:rFonts w:ascii="Times New Roman" w:cs="Times New Roman" w:eastAsia="Times New Roman" w:hAnsi="Times New Roman"/>
          <w:sz w:val="24"/>
          <w:szCs w:val="24"/>
        </w:rPr>
        <w:t xml:space="preserve"> of the treatment gain and finishes </w:t>
      </w:r>
      <w:r>
        <w:rPr>
          <w:rFonts w:ascii="Times New Roman" w:cs="Times New Roman" w:eastAsia="Times New Roman" w:hAnsi="Times New Roman"/>
          <w:b/>
          <w:bCs/>
          <w:sz w:val="24"/>
          <w:szCs w:val="24"/>
        </w:rPr>
        <w:t xml:space="preserve">2.68 % above</w:t>
      </w:r>
      <w:r>
        <w:rPr>
          <w:rFonts w:ascii="Times New Roman" w:cs="Times New Roman" w:eastAsia="Times New Roman" w:hAnsi="Times New Roman"/>
          <w:sz w:val="24"/>
          <w:szCs w:val="24"/>
        </w:rPr>
        <w:t xml:space="preserve"> pre-treatment baseline at 24 months, against the observation that bone density "returned toward pretreatment levels" on placebo [23] — toward baseline, not through it, which is what the model now does. We note that this improved when the osteocyte turnover constant was corrected and no drug parameter was touched: before that correction the same run overshot, finishing 0.75 % </w:t>
      </w:r>
      <w:r>
        <w:rPr>
          <w:rFonts w:ascii="Times New Roman" w:cs="Times New Roman" w:eastAsia="Times New Roman" w:hAnsi="Times New Roman"/>
          <w:i/>
          <w:iCs/>
          <w:sz w:val="24"/>
          <w:szCs w:val="24"/>
        </w:rPr>
        <w:t xml:space="preserve">below</w:t>
      </w:r>
      <w:r>
        <w:rPr>
          <w:rFonts w:ascii="Times New Roman" w:cs="Times New Roman" w:eastAsia="Times New Roman" w:hAnsi="Times New Roman"/>
          <w:sz w:val="24"/>
          <w:szCs w:val="24"/>
        </w:rPr>
        <w:t xml:space="preserve"> baseline. A hold-out moving toward the data under a change made for an unrelated reason is the kind of evidence we weight most heavily, and we flag equally that the remaining discrepancy runs the other way — real washout is slower than a step function, because the antibody has a pharmacokinetic profile the model does not.</w:t>
      </w:r>
    </w:p>
    <w:p>
      <w:pPr>
        <w:spacing w:after="120" w:line="480" w:lineRule="auto"/>
      </w:pPr>
      <w:r>
        <w:rPr>
          <w:rFonts w:ascii="Times New Roman" w:cs="Times New Roman" w:eastAsia="Times New Roman" w:hAnsi="Times New Roman"/>
          <w:sz w:val="24"/>
          <w:szCs w:val="24"/>
        </w:rPr>
        <w:t xml:space="preserve">The resorption-marker target itself is </w:t>
      </w:r>
      <w:r>
        <w:rPr>
          <w:rFonts w:ascii="Times New Roman" w:cs="Times New Roman" w:eastAsia="Times New Roman" w:hAnsi="Times New Roman"/>
          <w:b/>
          <w:bCs/>
          <w:sz w:val="24"/>
          <w:szCs w:val="24"/>
        </w:rPr>
        <w:t xml:space="preserve">missed</w:t>
      </w:r>
      <w:r>
        <w:rPr>
          <w:rFonts w:ascii="Times New Roman" w:cs="Times New Roman" w:eastAsia="Times New Roman" w:hAnsi="Times New Roman"/>
          <w:sz w:val="24"/>
          <w:szCs w:val="24"/>
        </w:rPr>
        <w:t xml:space="preserve">, at 1.124 against a band of 1.2–1.4 — but we must qualify what that means, because the band is ours rather than the literature's. McClung and colleagues report only that β-CTX "increased above baseline" after transition to placebo [23], a direction with no magnitude, and the FRAME trial cannot supply one because its patients transitioned to denosumab rather than placebo [14]. The sourced content of this target is therefore ratio &gt; 1, which the model meets. What follows concerns the band we set ourselves, and we still report the shortfall because the underlying conflict is real regardless of where the band sits. Rebuilding the systemic calcium module (see Limitations) made skeletal calcium flux large enough to move the parathyroid, and that creates a conflict: the same PTH→RANKL gain that lets dietary calcium protect bone — which target V7 requires to be strong — also lets the calcium flood released after withdrawal suppress PTH and damp the very resorption overshoot V16 is measuring. Across the admissible range of that gain, V7 needs it high and V16 needs it low, and no value satisfies both. We chose the midpoint, and both targets now sit outside their bands — V7 short by 0.037 against a tolerance of 0.8, V16 short by 0.076 against a tolerance of 0.15. That both fall on the same side is worth stating: the conflict is not a trade we won on one side, it is a constraint neither side satisfies. The decoupled module we used previously could not have exposed this conflict, because in it bone could not move serum calcium at all.</w:t>
      </w:r>
    </w:p>
    <w:p>
      <w:pPr>
        <w:spacing w:after="120" w:line="480" w:lineRule="auto"/>
      </w:pPr>
      <w:r>
        <w:rPr>
          <w:rFonts w:ascii="Times New Roman" w:cs="Times New Roman" w:eastAsia="Times New Roman" w:hAnsi="Times New Roman"/>
          <w:i/>
          <w:iCs/>
          <w:sz w:val="24"/>
          <w:szCs w:val="24"/>
        </w:rPr>
        <w:t xml:space="preserve">Interaction.</w:t>
      </w:r>
      <w:r>
        <w:rPr>
          <w:rFonts w:ascii="Times New Roman" w:cs="Times New Roman" w:eastAsia="Times New Roman" w:hAnsi="Times New Roman"/>
          <w:sz w:val="24"/>
          <w:szCs w:val="24"/>
        </w:rPr>
        <w:t xml:space="preserve"> Loading combined with the antibody gives +2.826 % at 12 months against +2.334 % and +0.765 % alone: positive and larger than either, but </w:t>
      </w:r>
      <w:r>
        <w:rPr>
          <w:rFonts w:ascii="Times New Roman" w:cs="Times New Roman" w:eastAsia="Times New Roman" w:hAnsi="Times New Roman"/>
          <w:b/>
          <w:bCs/>
          <w:sz w:val="24"/>
          <w:szCs w:val="24"/>
        </w:rPr>
        <w:t xml:space="preserve">8.8 % sub-additive</w:t>
      </w:r>
      <w:r>
        <w:rPr>
          <w:rFonts w:ascii="Times New Roman" w:cs="Times New Roman" w:eastAsia="Times New Roman" w:hAnsi="Times New Roman"/>
          <w:sz w:val="24"/>
          <w:szCs w:val="24"/>
        </w:rPr>
        <w:t xml:space="preserve">, because both act through the same sclerostin–Wnt node and partly compete for it. Schulte and colleagues [13] report loading to be additive and synergistic with anabolic agents and not with antiresorptives. Our qualitative direction agrees for the anabolic arm; our strict additivity does not. </w:t>
      </w:r>
      <w:r>
        <w:rPr>
          <w:rFonts w:ascii="Times New Roman" w:cs="Times New Roman" w:eastAsia="Times New Roman" w:hAnsi="Times New Roman"/>
          <w:b/>
          <w:bCs/>
          <w:sz w:val="24"/>
          <w:szCs w:val="24"/>
        </w:rPr>
        <w:t xml:space="preserve">The antiresorptive half of that contrast is untested here</w:t>
      </w:r>
      <w:r>
        <w:rPr>
          <w:rFonts w:ascii="Times New Roman" w:cs="Times New Roman" w:eastAsia="Times New Roman" w:hAnsi="Times New Roman"/>
          <w:sz w:val="24"/>
          <w:szCs w:val="24"/>
        </w:rPr>
        <w:t xml:space="preserve">: the model carries no bisphosphonate mechanism, so we make no claim about it.</w:t>
      </w:r>
    </w:p>
    <w:p>
      <w:pPr>
        <w:pStyle w:val="Heading2"/>
        <w:spacing w:after="120" w:before="240" w:line="360" w:lineRule="auto"/>
      </w:pPr>
      <w:r>
        <w:rPr>
          <w:rFonts w:ascii="Times New Roman" w:cs="Times New Roman" w:eastAsia="Times New Roman" w:hAnsi="Times New Roman"/>
          <w:b/>
          <w:bCs/>
          <w:i/>
          <w:iCs/>
          <w:sz w:val="24"/>
          <w:szCs w:val="24"/>
        </w:rPr>
        <w:t xml:space="preserve">Four targets we had specified but never run</w:t>
      </w:r>
    </w:p>
    <w:p>
      <w:pPr>
        <w:spacing w:after="120" w:line="480" w:lineRule="auto"/>
      </w:pPr>
      <w:r>
        <w:rPr>
          <w:rFonts w:ascii="Times New Roman" w:cs="Times New Roman" w:eastAsia="Times New Roman" w:hAnsi="Times New Roman"/>
          <w:sz w:val="24"/>
          <w:szCs w:val="24"/>
        </w:rPr>
        <w:t xml:space="preserve">Preparing this report we found that four of the twenty targets registered in </w:t>
      </w:r>
      <w:r>
        <w:rPr>
          <w:rFonts w:ascii="Times New Roman" w:cs="Times New Roman" w:eastAsia="Times New Roman" w:hAnsi="Times New Roman"/>
          <w:b/>
          <w:bCs/>
          <w:sz w:val="24"/>
          <w:szCs w:val="24"/>
        </w:rPr>
        <w:t xml:space="preserve">S2 Table</w:t>
      </w:r>
      <w:r>
        <w:rPr>
          <w:rFonts w:ascii="Times New Roman" w:cs="Times New Roman" w:eastAsia="Times New Roman" w:hAnsi="Times New Roman"/>
          <w:sz w:val="24"/>
          <w:szCs w:val="24"/>
        </w:rPr>
        <w:t xml:space="preserve"> — the Mendelian-randomisation constraint on serum calcium (V7b), the loss–recovery asymmetry (V11), the dual action of sclerostin on resorption (V13), and the geometry of the postmenopausal cortex (V15) — had mechanisms built for them, and commented in the source as existing for them, but had never been evaluated by any experiment. We ran them. One passes and three do not, and we report all four, because a validation table listing targets nobody checked is worse than a shorter table.</w:t>
      </w:r>
    </w:p>
    <w:p>
      <w:pPr>
        <w:spacing w:after="120" w:line="480" w:lineRule="auto"/>
      </w:pPr>
      <w:r>
        <w:rPr>
          <w:rFonts w:ascii="Times New Roman" w:cs="Times New Roman" w:eastAsia="Times New Roman" w:hAnsi="Times New Roman"/>
          <w:i/>
          <w:iCs/>
          <w:sz w:val="24"/>
          <w:szCs w:val="24"/>
        </w:rPr>
        <w:t xml:space="preserve">The loss–recovery asymmetry (V11) passes, and comfortably.</w:t>
      </w:r>
      <w:r>
        <w:rPr>
          <w:rFonts w:ascii="Times New Roman" w:cs="Times New Roman" w:eastAsia="Times New Roman" w:hAnsi="Times New Roman"/>
          <w:sz w:val="24"/>
          <w:szCs w:val="24"/>
        </w:rPr>
        <w:t xml:space="preserve"> After 180 days of unloading, half the lost bone mineral content accrues in 140 days but takes 2014 days to win back once loading resumes — a ratio of 14.4 against a target of 3 — and ten years of reambulation recovers all of it and then some, ending 146.5 % of the loss recovered. This is a </w:t>
      </w:r>
      <w:r>
        <w:rPr>
          <w:rFonts w:ascii="Times New Roman" w:cs="Times New Roman" w:eastAsia="Times New Roman" w:hAnsi="Times New Roman"/>
          <w:b/>
          <w:bCs/>
          <w:sz w:val="24"/>
          <w:szCs w:val="24"/>
        </w:rPr>
        <w:t xml:space="preserve">rate</w:t>
      </w:r>
      <w:r>
        <w:rPr>
          <w:rFonts w:ascii="Times New Roman" w:cs="Times New Roman" w:eastAsia="Times New Roman" w:hAnsi="Times New Roman"/>
          <w:sz w:val="24"/>
          <w:szCs w:val="24"/>
        </w:rPr>
        <w:t xml:space="preserve"> asymmetry and not bistability: recovery is monotone and still proceeding, which is consistent with, not in tension with, the falsification of P3 below.</w:t>
      </w:r>
    </w:p>
    <w:p>
      <w:pPr>
        <w:spacing w:after="120" w:line="480" w:lineRule="auto"/>
      </w:pPr>
      <w:r>
        <w:rPr>
          <w:rFonts w:ascii="Times New Roman" w:cs="Times New Roman" w:eastAsia="Times New Roman" w:hAnsi="Times New Roman"/>
          <w:i/>
          <w:iCs/>
          <w:sz w:val="24"/>
          <w:szCs w:val="24"/>
        </w:rPr>
        <w:t xml:space="preserve">The Mendelian-randomisation constraint (V7b) fails on sign.</w:t>
      </w:r>
      <w:r>
        <w:rPr>
          <w:rFonts w:ascii="Times New Roman" w:cs="Times New Roman" w:eastAsia="Times New Roman" w:hAnsi="Times New Roman"/>
          <w:sz w:val="24"/>
          <w:szCs w:val="24"/>
        </w:rPr>
        <w:t xml:space="preserve"> Clamping serum calcium 2 % above baseline at fixed intake raises 24-month areal density by +0.668 %, where the human genetic evidence requires no increase. The magnitude is an order of magnitude below the loading response, so P1's permissive-versus-instructive contrast survives; the sign does not. The same run exposed a defect no target had been written to catch, and it was serious enough that we rebuilt the module rather than report around it. Across 400 to 1500 mg/day of intake, serum ionised calcium in the model moved by 15 %, where physiology defends it within about 2 %: the transcellular absorption arm had been written as a fraction rather than a flux and so contributed under 0.1 % of absorption, leaving the unregulated paracellular route to dominate, and renal excretion was a bare power law rather than the saturable tubular reabsorption it had been specified as. Our regression suite missed it because the test guarding it was written as a runaway check with a 15 % bar and was thereafter read as a homeostasis check. After rebuilding both arms the excursion is </w:t>
      </w: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 and the V7b sign failure above is measured on the repaired module. The episode is why we now report V7's effect size as sitting at the low edge of the meta-analytic band rather than comfortably inside it: the earlier, larger value was riding on a serum-calcium swing that cannot occur.</w:t>
      </w:r>
    </w:p>
    <w:p>
      <w:pPr>
        <w:spacing w:after="120" w:line="480" w:lineRule="auto"/>
      </w:pPr>
      <w:r>
        <w:rPr>
          <w:rFonts w:ascii="Times New Roman" w:cs="Times New Roman" w:eastAsia="Times New Roman" w:hAnsi="Times New Roman"/>
          <w:i/>
          <w:iCs/>
          <w:sz w:val="24"/>
          <w:szCs w:val="24"/>
        </w:rPr>
        <w:t xml:space="preserve">The dual action of sclerostin (V13) is right in direction and short in magnitude.</w:t>
      </w:r>
      <w:r>
        <w:rPr>
          <w:rFonts w:ascii="Times New Roman" w:cs="Times New Roman" w:eastAsia="Times New Roman" w:hAnsi="Times New Roman"/>
          <w:sz w:val="24"/>
          <w:szCs w:val="24"/>
        </w:rPr>
        <w:t xml:space="preserve"> Over a twelve-fold sclerostin sweep, RANKL rises (1.00 to 1.29) and OPG falls (1.00 to 0.44) as required, and the RANKL:OPG ratio therefore rises </w:t>
      </w:r>
      <w:r>
        <w:rPr>
          <w:rFonts w:ascii="Times New Roman" w:cs="Times New Roman" w:eastAsia="Times New Roman" w:hAnsi="Times New Roman"/>
          <w:b/>
          <w:bCs/>
          <w:sz w:val="24"/>
          <w:szCs w:val="24"/>
        </w:rPr>
        <w:t xml:space="preserve">2.9-fold</w:t>
      </w:r>
      <w:r>
        <w:rPr>
          <w:rFonts w:ascii="Times New Roman" w:cs="Times New Roman" w:eastAsia="Times New Roman" w:hAnsi="Times New Roman"/>
          <w:sz w:val="24"/>
          <w:szCs w:val="24"/>
        </w:rPr>
        <w:t xml:space="preserve">, which is the quantity the source reports rising dose-dependently [15].</w:t>
      </w:r>
    </w:p>
    <w:p>
      <w:pPr>
        <w:spacing w:after="120" w:line="480" w:lineRule="auto"/>
      </w:pPr>
      <w:r>
        <w:rPr>
          <w:rFonts w:ascii="Times New Roman" w:cs="Times New Roman" w:eastAsia="Times New Roman" w:hAnsi="Times New Roman"/>
          <w:sz w:val="24"/>
          <w:szCs w:val="24"/>
        </w:rPr>
        <w:t xml:space="preserve">We had originally scored this target against the roughly 7-fold figure in the same paper and recorded it as a failure. Reading the full text shows that was our error, not the model's: the 7-fold is osteoclastic </w:t>
      </w:r>
      <w:r>
        <w:rPr>
          <w:rFonts w:ascii="Times New Roman" w:cs="Times New Roman" w:eastAsia="Times New Roman" w:hAnsi="Times New Roman"/>
          <w:b/>
          <w:bCs/>
          <w:sz w:val="24"/>
          <w:szCs w:val="24"/>
        </w:rPr>
        <w:t xml:space="preserve">resorption</w:t>
      </w:r>
      <w:r>
        <w:rPr>
          <w:rFonts w:ascii="Times New Roman" w:cs="Times New Roman" w:eastAsia="Times New Roman" w:hAnsi="Times New Roman"/>
          <w:sz w:val="24"/>
          <w:szCs w:val="24"/>
        </w:rPr>
        <w:t xml:space="preserve"> — pit area in a 14-day osteocyte–splenocyte co-culture at 100 ng/ml recombinant sclerostin — and not the instantaneous activation term we were comparing it against. It is the same wrong-contrast mistake this section exists to expose, committed by us. The activation term does carry a hard ceiling of 1.42-fold, because its Hill constant sits below baseline sclerostin, but that ceiling answers a question the source never asked. Scoring V13 properly means running the co-culture's downstream resorption output, which we have not done.</w:t>
      </w:r>
    </w:p>
    <w:p>
      <w:pPr>
        <w:spacing w:after="120" w:line="480" w:lineRule="auto"/>
      </w:pPr>
      <w:r>
        <w:rPr>
          <w:rFonts w:ascii="Times New Roman" w:cs="Times New Roman" w:eastAsia="Times New Roman" w:hAnsi="Times New Roman"/>
          <w:i/>
          <w:iCs/>
          <w:sz w:val="24"/>
          <w:szCs w:val="24"/>
        </w:rPr>
        <w:t xml:space="preserve">The postmenopausal geometry (V15) fails on its second half, and the way it fails is instructive.</w:t>
      </w:r>
      <w:r>
        <w:rPr>
          <w:rFonts w:ascii="Times New Roman" w:cs="Times New Roman" w:eastAsia="Times New Roman" w:hAnsi="Times New Roman"/>
          <w:sz w:val="24"/>
          <w:szCs w:val="24"/>
        </w:rPr>
        <w:t xml:space="preserve"> At severely reduced oestrogen the endocortical radius expands (+0.0752 mm) and the cortex thins (−0.0773 mm) as required, but the periosteal radius drifts very slightly </w:t>
      </w:r>
      <w:r>
        <w:rPr>
          <w:rFonts w:ascii="Times New Roman" w:cs="Times New Roman" w:eastAsia="Times New Roman" w:hAnsi="Times New Roman"/>
          <w:b/>
          <w:bCs/>
          <w:sz w:val="24"/>
          <w:szCs w:val="24"/>
        </w:rPr>
        <w:t xml:space="preserve">inward</w:t>
      </w:r>
      <w:r>
        <w:rPr>
          <w:rFonts w:ascii="Times New Roman" w:cs="Times New Roman" w:eastAsia="Times New Roman" w:hAnsi="Times New Roman"/>
          <w:sz w:val="24"/>
          <w:szCs w:val="24"/>
        </w:rPr>
        <w:t xml:space="preserve"> (−0.0021 mm) rather than outward, so the model does not reproduce the widening that accompanies postmenopausal thinning. A ten-year run appears to pass this target spectacularly, with 4.62 mm of periosteal expansion — but it leaves the linear-elastic domain on day 511, and is the same class of artefact that the modelling saturation bound was introduced to remove. Read inside the valid domain, the target fails.</w:t>
      </w:r>
    </w:p>
    <w:p>
      <w:pPr>
        <w:pStyle w:val="Heading2"/>
        <w:spacing w:after="120" w:before="240" w:line="360" w:lineRule="auto"/>
      </w:pPr>
      <w:r>
        <w:rPr>
          <w:rFonts w:ascii="Times New Roman" w:cs="Times New Roman" w:eastAsia="Times New Roman" w:hAnsi="Times New Roman"/>
          <w:b/>
          <w:bCs/>
          <w:i/>
          <w:iCs/>
          <w:sz w:val="24"/>
          <w:szCs w:val="24"/>
        </w:rPr>
        <w:t xml:space="preserve">P3 is falsified: the model is monostable</w:t>
      </w:r>
    </w:p>
    <w:p>
      <w:pPr>
        <w:spacing w:after="120" w:line="480" w:lineRule="auto"/>
      </w:pPr>
      <w:r>
        <w:rPr>
          <w:rFonts w:ascii="Times New Roman" w:cs="Times New Roman" w:eastAsia="Times New Roman" w:hAnsi="Times New Roman"/>
          <w:sz w:val="24"/>
          <w:szCs w:val="24"/>
        </w:rPr>
        <w:t xml:space="preserve">P3 held that osteoporosis is an </w:t>
      </w:r>
      <w:r>
        <w:rPr>
          <w:rFonts w:ascii="Times New Roman" w:cs="Times New Roman" w:eastAsia="Times New Roman" w:hAnsi="Times New Roman"/>
          <w:b/>
          <w:bCs/>
          <w:sz w:val="24"/>
          <w:szCs w:val="24"/>
        </w:rPr>
        <w:t xml:space="preserve">alternative stable state</w:t>
      </w:r>
      <w:r>
        <w:rPr>
          <w:rFonts w:ascii="Times New Roman" w:cs="Times New Roman" w:eastAsia="Times New Roman" w:hAnsi="Times New Roman"/>
          <w:sz w:val="24"/>
          <w:szCs w:val="24"/>
        </w:rPr>
        <w:t xml:space="preserve">: that past some critical loss of oestrogen the skeleton settles into a second, self-sustaining low-bone-mass equilibrium, and that removing the original insult does not bring it back. That is what a saddle-node bifurcation produces, and it is an attractive account of the clinical asymmetry between rapid loss and slow, incomplete regain. Two positive feedbacks were built into the model specifically because they could generate it: remodelling surface is lost as bone disappears, and sensing capacity is lost as osteocytes die.</w:t>
      </w:r>
    </w:p>
    <w:p>
      <w:pPr>
        <w:spacing w:after="120" w:line="480" w:lineRule="auto"/>
      </w:pPr>
      <w:r>
        <w:rPr>
          <w:rFonts w:ascii="Times New Roman" w:cs="Times New Roman" w:eastAsia="Times New Roman" w:hAnsi="Times New Roman"/>
          <w:sz w:val="24"/>
          <w:szCs w:val="24"/>
        </w:rPr>
        <w:t xml:space="preserve">Confirmation would have required three things: two stable equilibria coexisting at the same oestrogen level, a fold at which one of them vanishes, and hysteresis — a path down that the system cannot retrace on the way back up. We find none of the three (</w:t>
      </w:r>
      <w:r>
        <w:rPr>
          <w:rFonts w:ascii="Times New Roman" w:cs="Times New Roman" w:eastAsia="Times New Roman" w:hAnsi="Times New Roman"/>
          <w:b/>
          <w:bCs/>
          <w:sz w:val="24"/>
          <w:szCs w:val="24"/>
        </w:rPr>
        <w:t xml:space="preserve">Fig 7</w:t>
      </w:r>
      <w:r>
        <w:rPr>
          <w:rFonts w:ascii="Times New Roman" w:cs="Times New Roman" w:eastAsia="Times New Roman" w:hAnsi="Times New Roman"/>
          <w:sz w:val="24"/>
          <w:szCs w:val="24"/>
        </w:rPr>
        <w:t xml:space="preserve">).</w:t>
      </w:r>
    </w:p>
    <w:p>
      <w:pPr>
        <w:spacing w:after="120" w:line="480" w:lineRule="auto"/>
      </w:pPr>
      <w:r>
        <w:rPr>
          <w:rFonts w:ascii="Times New Roman" w:cs="Times New Roman" w:eastAsia="Times New Roman" w:hAnsi="Times New Roman"/>
          <w:sz w:val="24"/>
          <w:szCs w:val="24"/>
        </w:rPr>
        <w:t xml:space="preserve">Freezing the slowly-evolving envelope geometry to isolate porosity dynamics, and counting zeros of the bone-volume-fraction nullcline as oestrogen falls, gives </w:t>
      </w:r>
      <w:r>
        <w:rPr>
          <w:rFonts w:ascii="Times New Roman" w:cs="Times New Roman" w:eastAsia="Times New Roman" w:hAnsi="Times New Roman"/>
          <w:b/>
          <w:bCs/>
          <w:sz w:val="24"/>
          <w:szCs w:val="24"/>
        </w:rPr>
        <w:t xml:space="preserve">one</w:t>
      </w:r>
      <w:r>
        <w:rPr>
          <w:rFonts w:ascii="Times New Roman" w:cs="Times New Roman" w:eastAsia="Times New Roman" w:hAnsi="Times New Roman"/>
          <w:sz w:val="24"/>
          <w:szCs w:val="24"/>
        </w:rPr>
        <w:t xml:space="preserve"> fixed point throughout. It slides continuously and gently from f_bm* = 0.078 at full oestrogen to 0.059 at E₂ = 0.65, with no fold anywhere along the path. Mechanosensitivity and basal sclerostin secretion give the same answer, as does scanning the strength of the osteocyte-density positive feedback. There is no fold, no bistability and no hysteresis.</w:t>
      </w:r>
    </w:p>
    <w:p>
      <w:pPr>
        <w:spacing w:after="120" w:line="480" w:lineRule="auto"/>
      </w:pPr>
      <w:r>
        <w:rPr>
          <w:rFonts w:ascii="Times New Roman" w:cs="Times New Roman" w:eastAsia="Times New Roman" w:hAnsi="Times New Roman"/>
          <w:sz w:val="24"/>
          <w:szCs w:val="24"/>
        </w:rPr>
        <w:t xml:space="preserve">One caveat belongs with that result rather than after it. With the envelope frozen, the fixed point this construction finds lies </w:t>
      </w:r>
      <w:r>
        <w:rPr>
          <w:rFonts w:ascii="Times New Roman" w:cs="Times New Roman" w:eastAsia="Times New Roman" w:hAnsi="Times New Roman"/>
          <w:b/>
          <w:bCs/>
          <w:sz w:val="24"/>
          <w:szCs w:val="24"/>
        </w:rPr>
        <w:t xml:space="preserve">below the linear-elastic floor</w:t>
      </w:r>
      <w:r>
        <w:rPr>
          <w:rFonts w:ascii="Times New Roman" w:cs="Times New Roman" w:eastAsia="Times New Roman" w:hAnsi="Times New Roman"/>
          <w:sz w:val="24"/>
          <w:szCs w:val="24"/>
        </w:rPr>
        <w:t xml:space="preserve"> (bone volume fraction 0.468) at every oestrogen level, so it is a fixed point of the porosity dynamics but not a state the mechanics stack is entitled to describe. It can support the negative claim — no fold is found — and not a positive one about where the skeleton would settle. The weight therefore falls on the second route below, which stays inside the valid domain end to end. We note that this construction's numbers moved substantially when the osteocyte turnover constant was corrected, while its verdict did not.</w:t>
      </w:r>
    </w:p>
    <w:p>
      <w:pPr>
        <w:spacing w:after="120" w:line="480" w:lineRule="auto"/>
      </w:pPr>
      <w:r>
        <w:rPr>
          <w:rFonts w:ascii="Times New Roman" w:cs="Times New Roman" w:eastAsia="Times New Roman" w:hAnsi="Times New Roman"/>
          <w:sz w:val="24"/>
          <w:szCs w:val="24"/>
        </w:rPr>
        <w:t xml:space="preserve">A second, independent route agrees. Driving oestrogen down and then restoring it in the </w:t>
      </w:r>
      <w:r>
        <w:rPr>
          <w:rFonts w:ascii="Times New Roman" w:cs="Times New Roman" w:eastAsia="Times New Roman" w:hAnsi="Times New Roman"/>
          <w:b/>
          <w:bCs/>
          <w:sz w:val="24"/>
          <w:szCs w:val="24"/>
        </w:rPr>
        <w:t xml:space="preserve">full model with geometry free</w:t>
      </w:r>
      <w:r>
        <w:rPr>
          <w:rFonts w:ascii="Times New Roman" w:cs="Times New Roman" w:eastAsia="Times New Roman" w:hAnsi="Times New Roman"/>
          <w:sz w:val="24"/>
          <w:szCs w:val="24"/>
        </w:rPr>
        <w:t xml:space="preserve"> — a trajectory that stays inside the linear-elastic domain end to end — takes bone volume fraction from 0.950 down to 0.836 and back to </w:t>
      </w:r>
      <w:r>
        <w:rPr>
          <w:rFonts w:ascii="Times New Roman" w:cs="Times New Roman" w:eastAsia="Times New Roman" w:hAnsi="Times New Roman"/>
          <w:b/>
          <w:bCs/>
          <w:sz w:val="24"/>
          <w:szCs w:val="24"/>
        </w:rPr>
        <w:t xml:space="preserve">0.953, that is 100.3 % of baseline</w:t>
      </w:r>
      <w:r>
        <w:rPr>
          <w:rFonts w:ascii="Times New Roman" w:cs="Times New Roman" w:eastAsia="Times New Roman" w:hAnsi="Times New Roman"/>
          <w:sz w:val="24"/>
          <w:szCs w:val="24"/>
        </w:rPr>
        <w:t xml:space="preserve">, with no hysteresis.</w:t>
      </w:r>
    </w:p>
    <w:p>
      <w:pPr>
        <w:spacing w:after="120" w:line="480" w:lineRule="auto"/>
      </w:pPr>
      <w:r>
        <w:rPr>
          <w:rFonts w:ascii="Times New Roman" w:cs="Times New Roman" w:eastAsia="Times New Roman" w:hAnsi="Times New Roman"/>
          <w:sz w:val="24"/>
          <w:szCs w:val="24"/>
        </w:rPr>
        <w:t xml:space="preserve">The mechanism of monostability is instructive. Falling bone volume fraction collapses the apparent modulus, strain rises steeply, mechanical dose and modelling drift both increase, and the resulting recovery drive overwhelms the two positive feedbacks we built in specifically to produce bistability — loss of remodelling surface as bone disappears [18], and loss of sensing capacity as osteocytes die. </w:t>
      </w:r>
      <w:r>
        <w:rPr>
          <w:rFonts w:ascii="Times New Roman" w:cs="Times New Roman" w:eastAsia="Times New Roman" w:hAnsi="Times New Roman"/>
          <w:b/>
          <w:bCs/>
          <w:sz w:val="24"/>
          <w:szCs w:val="24"/>
        </w:rPr>
        <w:t xml:space="preserve">The mechanostat rescues low bone mass.</w:t>
      </w:r>
    </w:p>
    <w:p>
      <w:pPr>
        <w:spacing w:after="120" w:line="480" w:lineRule="auto"/>
      </w:pPr>
      <w:r>
        <w:rPr>
          <w:rFonts w:ascii="Times New Roman" w:cs="Times New Roman" w:eastAsia="Times New Roman" w:hAnsi="Times New Roman"/>
          <w:sz w:val="24"/>
          <w:szCs w:val="24"/>
        </w:rPr>
        <w:t xml:space="preserve">One caution and one nuance. The deep branch of the continuation, below f_bm ≈ 0.391, lies outside the linear-elastic domain the mechanics assumes [17] and must be read as extrapolation; the monostability conclusion depends on zero-counting and is unaffected. And the recovery cycle leaves a permanent +0.005 mm of periosteal expansion, because modelling adds to the outer surface and nothing removes it. That is structural memory — physically real, since periosteal apposition is largely irreversible </w:t>
      </w:r>
      <w:r>
        <w:rPr>
          <w:rFonts w:ascii="Times New Roman" w:cs="Times New Roman" w:eastAsia="Times New Roman" w:hAnsi="Times New Roman"/>
          <w:i/>
          <w:iCs/>
          <w:sz w:val="24"/>
          <w:szCs w:val="24"/>
        </w:rPr>
        <w:t xml:space="preserve">in vivo</w:t>
      </w:r>
      <w:r>
        <w:rPr>
          <w:rFonts w:ascii="Times New Roman" w:cs="Times New Roman" w:eastAsia="Times New Roman" w:hAnsi="Times New Roman"/>
          <w:sz w:val="24"/>
          <w:szCs w:val="24"/>
        </w:rPr>
        <w:t xml:space="preserve"> — and it is emphatically not dynamical bistability, since bone volume fraction recovers completely.</w:t>
      </w:r>
    </w:p>
    <w:p>
      <w:pPr>
        <w:spacing w:after="120" w:line="480" w:lineRule="auto"/>
      </w:pPr>
      <w:r>
        <w:rPr>
          <w:rFonts w:ascii="Times New Roman" w:cs="Times New Roman" w:eastAsia="Times New Roman" w:hAnsi="Times New Roman"/>
          <w:sz w:val="24"/>
          <w:szCs w:val="24"/>
        </w:rPr>
        <w:t xml:space="preserve">We note that a numerical artefact nearly produced the opposite conclusion. An early full-system test showed bone volume fraction stuck at its floor for 40 years, which read as irreversibility. Inspection showed the "collapsed" state had a cortical thickness of 99 mm: the modelling term was linear in strain excess and therefore unbounded, and at pathological strain it demanded 1513 mm/yr of periosteal apposition. Bounding it — at a ceiling of 1.93 μm/day, which the yield strain of cortical bone [17,20] and the documented maximum mineral apposition rate independently agree on — removed the artefact and made the geometry-free probe above possible.</w:t>
      </w:r>
    </w:p>
    <w:p>
      <w:pPr>
        <w:pStyle w:val="Heading1"/>
        <w:spacing w:after="160" w:before="360" w:line="360" w:lineRule="auto"/>
      </w:pPr>
      <w:r>
        <w:rPr>
          <w:rFonts w:ascii="Times New Roman" w:cs="Times New Roman" w:eastAsia="Times New Roman" w:hAnsi="Times New Roman"/>
          <w:b/>
          <w:bCs/>
          <w:sz w:val="28"/>
          <w:szCs w:val="28"/>
        </w:rPr>
        <w:t xml:space="preserve">Discussion</w:t>
      </w:r>
    </w:p>
    <w:p>
      <w:pPr>
        <w:pStyle w:val="Heading2"/>
        <w:spacing w:after="120" w:before="240" w:line="360" w:lineRule="auto"/>
      </w:pPr>
      <w:r>
        <w:rPr>
          <w:rFonts w:ascii="Times New Roman" w:cs="Times New Roman" w:eastAsia="Times New Roman" w:hAnsi="Times New Roman"/>
          <w:b/>
          <w:bCs/>
          <w:i/>
          <w:iCs/>
          <w:sz w:val="24"/>
          <w:szCs w:val="24"/>
        </w:rPr>
        <w:t xml:space="preserve">What the model buys</w:t>
      </w:r>
    </w:p>
    <w:p>
      <w:pPr>
        <w:spacing w:after="120" w:line="480" w:lineRule="auto"/>
      </w:pPr>
      <w:r>
        <w:rPr>
          <w:rFonts w:ascii="Times New Roman" w:cs="Times New Roman" w:eastAsia="Times New Roman" w:hAnsi="Times New Roman"/>
          <w:sz w:val="24"/>
          <w:szCs w:val="24"/>
        </w:rPr>
        <w:t xml:space="preserve">The end-to-end chain lets three questions be asked that neither half of the literature could answer alone, and each returns a number rather than a direction: loading outweighs calcium 15.1-fold under stated conditions; a systemic agent cannot produce a local asymmetry, structurally rather than parametrically; and an anti-sclerostin antibody and mechanical loading compete for a shared node to the tune of 13 % sub-additivity.</w:t>
      </w:r>
    </w:p>
    <w:p>
      <w:pPr>
        <w:spacing w:after="120" w:line="480" w:lineRule="auto"/>
      </w:pPr>
      <w:r>
        <w:rPr>
          <w:rFonts w:ascii="Times New Roman" w:cs="Times New Roman" w:eastAsia="Times New Roman" w:hAnsi="Times New Roman"/>
          <w:sz w:val="24"/>
          <w:szCs w:val="24"/>
        </w:rPr>
        <w:t xml:space="preserve">The result we would defend most strongly is the one that cost nothing. Frost's set point, a phenomenological constant inferred from observation in 1987, emerges here at 787 με from channel gating kinetics and signalling Hill functions, inside the band he proposed, without being fitted. Together with the six held-out tennis-player indices and the held-out withdrawal loss, this is evidence that the model predicts rather than accommodates.</w:t>
      </w:r>
    </w:p>
    <w:p>
      <w:pPr>
        <w:pStyle w:val="Heading2"/>
        <w:spacing w:after="120" w:before="240" w:line="360" w:lineRule="auto"/>
      </w:pPr>
      <w:r>
        <w:rPr>
          <w:rFonts w:ascii="Times New Roman" w:cs="Times New Roman" w:eastAsia="Times New Roman" w:hAnsi="Times New Roman"/>
          <w:b/>
          <w:bCs/>
          <w:i/>
          <w:iCs/>
          <w:sz w:val="24"/>
          <w:szCs w:val="24"/>
        </w:rPr>
        <w:t xml:space="preserve">Falsifying our own hypothesis</w:t>
      </w:r>
    </w:p>
    <w:p>
      <w:pPr>
        <w:spacing w:after="120" w:line="480" w:lineRule="auto"/>
      </w:pPr>
      <w:r>
        <w:rPr>
          <w:rFonts w:ascii="Times New Roman" w:cs="Times New Roman" w:eastAsia="Times New Roman" w:hAnsi="Times New Roman"/>
          <w:sz w:val="24"/>
          <w:szCs w:val="24"/>
        </w:rPr>
        <w:t xml:space="preserve">P3 is the result we expected to confirm and did not. We report it in the main text for two reasons.</w:t>
      </w:r>
    </w:p>
    <w:p>
      <w:pPr>
        <w:spacing w:after="120" w:line="480" w:lineRule="auto"/>
      </w:pPr>
      <w:r>
        <w:rPr>
          <w:rFonts w:ascii="Times New Roman" w:cs="Times New Roman" w:eastAsia="Times New Roman" w:hAnsi="Times New Roman"/>
          <w:sz w:val="24"/>
          <w:szCs w:val="24"/>
        </w:rPr>
        <w:t xml:space="preserve">First, it is more informative than confirmation would have been. Complex physiological models exhibit bistability readily, and such findings are fragile — ours would have been, since a numerical artefact almost delivered exactly that conclusion. What the falsification buys instead is a boundary: the mechanostat's mechanical negative feedback is strong enough, at the porosity scale, to rescue low bone mass, so clinical irreversibility </w:t>
      </w:r>
      <w:r>
        <w:rPr>
          <w:rFonts w:ascii="Times New Roman" w:cs="Times New Roman" w:eastAsia="Times New Roman" w:hAnsi="Times New Roman"/>
          <w:b/>
          <w:bCs/>
          <w:sz w:val="24"/>
          <w:szCs w:val="24"/>
        </w:rPr>
        <w:t xml:space="preserve">cannot</w:t>
      </w:r>
      <w:r>
        <w:rPr>
          <w:rFonts w:ascii="Times New Roman" w:cs="Times New Roman" w:eastAsia="Times New Roman" w:hAnsi="Times New Roman"/>
          <w:sz w:val="24"/>
          <w:szCs w:val="24"/>
        </w:rPr>
        <w:t xml:space="preserve"> originate in continuum remodelling dynamics. It must come from mechanisms this model does not represent — trabecular perforation, which is loss of the template a continuous bone volume fraction cannot describe; osteocyte death; or geometric degradation.</w:t>
      </w:r>
    </w:p>
    <w:p>
      <w:pPr>
        <w:spacing w:after="120" w:line="480" w:lineRule="auto"/>
      </w:pPr>
      <w:r>
        <w:rPr>
          <w:rFonts w:ascii="Times New Roman" w:cs="Times New Roman" w:eastAsia="Times New Roman" w:hAnsi="Times New Roman"/>
          <w:sz w:val="24"/>
          <w:szCs w:val="24"/>
        </w:rPr>
        <w:t xml:space="preserve">Second, that boundary is a testable prediction rather than a shrug. It says that a compartment which can lose its template — a trabecular one, where struts perforate and cannot be rebuilt — should show the bistability that a cortical one does not. Our trabecular compartment is the natural place to look, and we did not find bistability there either, because the compartment is still described by a continuous bone volume fraction. Representing perforation explicitly is the concrete next step.</w:t>
      </w:r>
    </w:p>
    <w:p>
      <w:pPr>
        <w:spacing w:after="120" w:line="480" w:lineRule="auto"/>
      </w:pPr>
      <w:r>
        <w:rPr>
          <w:rFonts w:ascii="Times New Roman" w:cs="Times New Roman" w:eastAsia="Times New Roman" w:hAnsi="Times New Roman"/>
          <w:sz w:val="24"/>
          <w:szCs w:val="24"/>
        </w:rPr>
        <w:t xml:space="preserve">We would also distinguish two things the literature often conflates. The clinical asymmetry between rapid loss and slow regain is a </w:t>
      </w:r>
      <w:r>
        <w:rPr>
          <w:rFonts w:ascii="Times New Roman" w:cs="Times New Roman" w:eastAsia="Times New Roman" w:hAnsi="Times New Roman"/>
          <w:b/>
          <w:bCs/>
          <w:sz w:val="24"/>
          <w:szCs w:val="24"/>
        </w:rPr>
        <w:t xml:space="preserve">rate</w:t>
      </w:r>
      <w:r>
        <w:rPr>
          <w:rFonts w:ascii="Times New Roman" w:cs="Times New Roman" w:eastAsia="Times New Roman" w:hAnsi="Times New Roman"/>
          <w:sz w:val="24"/>
          <w:szCs w:val="24"/>
        </w:rPr>
        <w:t xml:space="preserve"> asymmetry, present in our monostable model, and it is not evidence of dynamical irreversibility. Steepness is not bistability either: the transition at E₂ ≈ 0.92 is sharp enough to look like a jump, and the sensitivity of disuse loss to the sclerostin Hill constant is likewise steep, but both are high gain near a single fixed point.</w:t>
      </w:r>
    </w:p>
    <w:p>
      <w:pPr>
        <w:pStyle w:val="Heading2"/>
        <w:spacing w:after="120" w:before="240" w:line="360" w:lineRule="auto"/>
      </w:pPr>
      <w:r>
        <w:rPr>
          <w:rFonts w:ascii="Times New Roman" w:cs="Times New Roman" w:eastAsia="Times New Roman" w:hAnsi="Times New Roman"/>
          <w:b/>
          <w:bCs/>
          <w:i/>
          <w:iCs/>
          <w:sz w:val="24"/>
          <w:szCs w:val="24"/>
        </w:rPr>
        <w:t xml:space="preserve">Measurement choice is a result, not a detail</w:t>
      </w:r>
    </w:p>
    <w:p>
      <w:pPr>
        <w:spacing w:after="120" w:line="480" w:lineRule="auto"/>
      </w:pPr>
      <w:r>
        <w:rPr>
          <w:rFonts w:ascii="Times New Roman" w:cs="Times New Roman" w:eastAsia="Times New Roman" w:hAnsi="Times New Roman"/>
          <w:sz w:val="24"/>
          <w:szCs w:val="24"/>
        </w:rPr>
        <w:t xml:space="preserve">One of P1's three clauses reverses sign under a different measure: the loading effect is +4.582 % in bone mineral content and +1.778 % in areal density. A second clause, the calcium–loading interaction, did the same until the systemic calcium module was rebuilt, and is now positive on both framings — which makes the same point more sharply, since the sign of a reported interaction turned on a defect two modules away.</w:t>
      </w:r>
    </w:p>
    <w:p>
      <w:pPr>
        <w:spacing w:after="120" w:line="480" w:lineRule="auto"/>
      </w:pPr>
      <w:r>
        <w:rPr>
          <w:rFonts w:ascii="Times New Roman" w:cs="Times New Roman" w:eastAsia="Times New Roman" w:hAnsi="Times New Roman"/>
          <w:sz w:val="24"/>
          <w:szCs w:val="24"/>
        </w:rPr>
        <w:t xml:space="preserve">Neither reversal is a modelling error. The areal-density dilution is a faithful reproduction of a known limitation: loading translates the cortex outward, and dividing by projected width discards much of the gain. The interaction reversal is a floor effect in the comparator, since calcium deficiency harms the sedentary arm more than the loaded one.</w:t>
      </w:r>
    </w:p>
    <w:p>
      <w:pPr>
        <w:spacing w:after="120" w:line="480" w:lineRule="auto"/>
      </w:pPr>
      <w:r>
        <w:rPr>
          <w:rFonts w:ascii="Times New Roman" w:cs="Times New Roman" w:eastAsia="Times New Roman" w:hAnsi="Times New Roman"/>
          <w:sz w:val="24"/>
          <w:szCs w:val="24"/>
        </w:rPr>
        <w:t xml:space="preserve">The implication is practical. A trial powered on areal density will see roughly two-fifths of the loading effect that a trial measuring bone mass would see, and a trial reporting an interaction term may report the opposite sign from a trial reporting achieved gains, from identical underlying biology. We therefore state each clause of P1 with its measure and its loading intensity attached, and we would encourage the same discipline in the empirical literature.</w:t>
      </w:r>
    </w:p>
    <w:p>
      <w:pPr>
        <w:pStyle w:val="Heading2"/>
        <w:spacing w:after="120" w:before="240" w:line="360" w:lineRule="auto"/>
      </w:pPr>
      <w:r>
        <w:rPr>
          <w:rFonts w:ascii="Times New Roman" w:cs="Times New Roman" w:eastAsia="Times New Roman" w:hAnsi="Times New Roman"/>
          <w:b/>
          <w:bCs/>
          <w:i/>
          <w:iCs/>
          <w:sz w:val="24"/>
          <w:szCs w:val="24"/>
        </w:rPr>
        <w:t xml:space="preserve">Limitations</w:t>
      </w:r>
    </w:p>
    <w:p>
      <w:pPr>
        <w:spacing w:after="120" w:line="480" w:lineRule="auto"/>
      </w:pPr>
      <w:r>
        <w:rPr>
          <w:rFonts w:ascii="Times New Roman" w:cs="Times New Roman" w:eastAsia="Times New Roman" w:hAnsi="Times New Roman"/>
          <w:sz w:val="24"/>
          <w:szCs w:val="24"/>
        </w:rPr>
        <w:t xml:space="preserve">The frequency response disagrees with experiment in sign [11], traced to saturation in channel opening rate; the mechanosensitive channel rate constants are placeholders taken from [2] and this is the first quantity to re-check against better values. The logarithmic </w:t>
      </w:r>
      <w:r>
        <w:rPr>
          <w:rFonts w:ascii="Times New Roman" w:cs="Times New Roman" w:eastAsia="Times New Roman" w:hAnsi="Times New Roman"/>
          <w:i/>
          <w:iCs/>
          <w:sz w:val="24"/>
          <w:szCs w:val="24"/>
        </w:rPr>
        <w:t xml:space="preserve">form</w:t>
      </w:r>
      <w:r>
        <w:rPr>
          <w:rFonts w:ascii="Times New Roman" w:cs="Times New Roman" w:eastAsia="Times New Roman" w:hAnsi="Times New Roman"/>
          <w:sz w:val="24"/>
          <w:szCs w:val="24"/>
        </w:rPr>
        <w:t xml:space="preserve"> of the frequency dependence is consistent with time-lapsed micro-computed tomography estimates of mechanostat parameters [12] [12]; only the direction is not.</w:t>
      </w:r>
    </w:p>
    <w:p>
      <w:pPr>
        <w:spacing w:after="120" w:line="480" w:lineRule="auto"/>
      </w:pPr>
      <w:r>
        <w:rPr>
          <w:rFonts w:ascii="Times New Roman" w:cs="Times New Roman" w:eastAsia="Times New Roman" w:hAnsi="Times New Roman"/>
          <w:sz w:val="24"/>
          <w:szCs w:val="24"/>
        </w:rPr>
        <w:t xml:space="preserve">The specific surface function relating available remodelling surface to bone volume fraction is a placeholder, and we can now say exactly how wrong it is. Lerebours and colleagues [19] measured the relationship in human cortical bone and report that at high bone volume fraction it behaves as (1 − BV/TV)^b with b = 0.5, the square-root fit outperforming both the classical fifth-order polynomial and a harmonic-mean form (r² = 0.84 against 0.82 and 0.77), and above BV/TV = 0.9 their data converge on a fractional degree rather than any integer one. </w:t>
      </w:r>
      <w:r>
        <w:rPr>
          <w:rFonts w:ascii="Times New Roman" w:cs="Times New Roman" w:eastAsia="Times New Roman" w:hAnsi="Times New Roman"/>
          <w:b/>
          <w:bCs/>
          <w:sz w:val="24"/>
          <w:szCs w:val="24"/>
        </w:rPr>
        <w:t xml:space="preserve">Our exponent is 3</w:t>
      </w:r>
      <w:r>
        <w:rPr>
          <w:rFonts w:ascii="Times New Roman" w:cs="Times New Roman" w:eastAsia="Times New Roman" w:hAnsi="Times New Roman"/>
          <w:sz w:val="24"/>
          <w:szCs w:val="24"/>
        </w:rPr>
        <w:t xml:space="preserve">, six times the measured value, and our cortical compartment sits at a bone volume fraction of 0.95 — inside the range they measured. The consequence is that specific surface here responds about six-fold too steeply to a change in porosity: d ln S_v / d ln f_bm is −56 at our cortical baseline where Lerebours implies about −9.5. Baseline turnover is unaffected, since specific surface is normalised at baseline, but every rate that passes through it is exaggerated.</w:t>
      </w:r>
    </w:p>
    <w:p>
      <w:pPr>
        <w:spacing w:after="120" w:line="480" w:lineRule="auto"/>
      </w:pPr>
      <w:r>
        <w:rPr>
          <w:rFonts w:ascii="Times New Roman" w:cs="Times New Roman" w:eastAsia="Times New Roman" w:hAnsi="Times New Roman"/>
          <w:b/>
          <w:bCs/>
          <w:sz w:val="24"/>
          <w:szCs w:val="24"/>
        </w:rPr>
        <w:t xml:space="preserve">We report a negative result from trying to fix this, because it is more informative than the fix would have been.</w:t>
      </w:r>
      <w:r>
        <w:rPr>
          <w:rFonts w:ascii="Times New Roman" w:cs="Times New Roman" w:eastAsia="Times New Roman" w:hAnsi="Times New Roman"/>
          <w:sz w:val="24"/>
          <w:szCs w:val="24"/>
        </w:rPr>
        <w:t xml:space="preserve"> Setting the cortical exponent to the measured 0.5 works mechanically — the sensitivity becomes −8.51, close to what the measurement implies — but it drops the disuse target to 0.44 %/month, and the sclerostin sensitivity cannot recover it: scanning that parameter to the bottom of its admissible range saturates at 0.99 %/month without entering the 1.0–1.5 %/month band. So a substantial part of the disuse loss this model produces has been carried by a specific-surface response six times steeper than the real one, and with the measured exponent something else must supply it.</w:t>
      </w:r>
    </w:p>
    <w:p>
      <w:pPr>
        <w:spacing w:after="120" w:line="480" w:lineRule="auto"/>
      </w:pPr>
      <w:r>
        <w:rPr>
          <w:rFonts w:ascii="Times New Roman" w:cs="Times New Roman" w:eastAsia="Times New Roman" w:hAnsi="Times New Roman"/>
          <w:b/>
          <w:bCs/>
          <w:sz w:val="24"/>
          <w:szCs w:val="24"/>
        </w:rPr>
        <w:t xml:space="preserve">We should be precise about what that does and does not establish, because our first statement of it was too strong.</w:t>
      </w:r>
      <w:r>
        <w:rPr>
          <w:rFonts w:ascii="Times New Roman" w:cs="Times New Roman" w:eastAsia="Times New Roman" w:hAnsi="Times New Roman"/>
          <w:sz w:val="24"/>
          <w:szCs w:val="24"/>
        </w:rPr>
        <w:t xml:space="preserve"> Holding the turnover constant fixed, as above, no setting of the sclerostin sensitivity reaches the band. Releasing the turnover constant as well, a refit does reach 1.01 %/month — but it puts adult turnover at 10.2 %/yr, outside the 5–10 %/yr band that is itself the upper half of what is conventionally quoted [25]. The accurate claim is therefore not that the disuse target is unreachable with the measured exponent. It is that every route we have found pays for it with a different target.</w:t>
      </w:r>
    </w:p>
    <w:p>
      <w:pPr>
        <w:spacing w:after="120" w:line="480" w:lineRule="auto"/>
      </w:pPr>
      <w:r>
        <w:rPr>
          <w:rFonts w:ascii="Times New Roman" w:cs="Times New Roman" w:eastAsia="Times New Roman" w:hAnsi="Times New Roman"/>
          <w:sz w:val="24"/>
          <w:szCs w:val="24"/>
        </w:rPr>
        <w:t xml:space="preserve">We then built the mechanism that would have to supply it, and the result changed twice — which is why we report the sequence rather than only the conclusion. The candidate is forced: the mechanical arm of sclerostin production is already saturated in disuse, reaching 99.97 % of its absolute ceiling after 180 days of simulated bed rest, so no route through mechanosensing can supply further loss and the missing term must bypass sclerostin entirely. Dying osteocytes releasing RANKL directly is such a route, and we implemented it as a factor on the osteocyte deficit, exactly inert at baseline.</w:t>
      </w:r>
    </w:p>
    <w:p>
      <w:pPr>
        <w:spacing w:after="120" w:line="480" w:lineRule="auto"/>
      </w:pPr>
      <w:r>
        <w:rPr>
          <w:rFonts w:ascii="Times New Roman" w:cs="Times New Roman" w:eastAsia="Times New Roman" w:hAnsi="Times New Roman"/>
          <w:sz w:val="24"/>
          <w:szCs w:val="24"/>
        </w:rPr>
        <w:t xml:space="preserve">Measured against the model as it then stood, the term worked and the objection was its cost: it returned disuse loss to its band but made calcium deficiency progressive, because the only thing that lowers osteocyte density here is resorption itself, so the term amplifies every resorption-driven scenario rather than disuse alone. Measured again after the osteocyte turnover constant was corrected (below), it does not work at all. Pushed to the top of its admissible range it lifts disuse loss only from 0.44 to 0.50 %/month, nowhere near the 1.0–1.5 band, because the osteocyte deficit that drives it over 180 days of bed rest is 2.2 % rather than the 20.7 % we had measured before — and that 20.7 % was itself a product of the error. </w:t>
      </w:r>
      <w:r>
        <w:rPr>
          <w:rFonts w:ascii="Times New Roman" w:cs="Times New Roman" w:eastAsia="Times New Roman" w:hAnsi="Times New Roman"/>
          <w:b/>
          <w:bCs/>
          <w:sz w:val="24"/>
          <w:szCs w:val="24"/>
        </w:rPr>
        <w:t xml:space="preserve">The mechanism did not fail; the evidence that it could succeed was an artefact.</w:t>
      </w:r>
      <w:r>
        <w:rPr>
          <w:rFonts w:ascii="Times New Roman" w:cs="Times New Roman" w:eastAsia="Times New Roman" w:hAnsi="Times New Roman"/>
          <w:sz w:val="24"/>
          <w:szCs w:val="24"/>
        </w:rPr>
        <w:t xml:space="preserve"> We report both passes because the first would have been a defensible published result and was wrong for a reason no target would have caught.</w:t>
      </w:r>
    </w:p>
    <w:p>
      <w:pPr>
        <w:spacing w:after="120" w:line="480" w:lineRule="auto"/>
      </w:pPr>
      <w:r>
        <w:rPr>
          <w:rFonts w:ascii="Times New Roman" w:cs="Times New Roman" w:eastAsia="Times New Roman" w:hAnsi="Times New Roman"/>
          <w:sz w:val="24"/>
          <w:szCs w:val="24"/>
        </w:rPr>
        <w:t xml:space="preserve">Two independent checks agree with where this ended. Adding unloading-induced osteocyte apoptosis, so that the deficit is generated mechanically rather than by resorption, makes it disuse-specific as intended but changes nothing, and the inductions it would need are far outside measurement: two weeks of hind-limb unloading raises the proportion of apoptotic osteocytes by 66 % [26], where this route needs a fold two orders of magnitude larger. And the experiment has been done. Blocking osteocyte apoptosis with a bisphosphonate analogue that does not itself inhibit resorption prevents the rise in osteocytic RANKL but does not prevent the resorption or the bone loss caused by unloading [27], from which the authors conclude that RANKL from non-osteocytic sources carries the loss. Our model and that experiment reach the same place by different routes: the apoptotic RANKL arm is real, and it is not what carries disuse bone loss.</w:t>
      </w:r>
    </w:p>
    <w:p>
      <w:pPr>
        <w:spacing w:after="120" w:line="480" w:lineRule="auto"/>
      </w:pPr>
      <w:r>
        <w:rPr>
          <w:rFonts w:ascii="Times New Roman" w:cs="Times New Roman" w:eastAsia="Times New Roman" w:hAnsi="Times New Roman"/>
          <w:sz w:val="24"/>
          <w:szCs w:val="24"/>
        </w:rPr>
        <w:t xml:space="preserve">A third mechanism completes the search, and it is the one that came closest. Immobilisation raises cortical </w:t>
      </w:r>
      <w:r>
        <w:rPr>
          <w:rFonts w:ascii="Times New Roman" w:cs="Times New Roman" w:eastAsia="Times New Roman" w:hAnsi="Times New Roman"/>
          <w:i/>
          <w:iCs/>
          <w:sz w:val="24"/>
          <w:szCs w:val="24"/>
        </w:rPr>
        <w:t xml:space="preserve">porosity</w:t>
      </w:r>
      <w:r>
        <w:rPr>
          <w:rFonts w:ascii="Times New Roman" w:cs="Times New Roman" w:eastAsia="Times New Roman" w:hAnsi="Times New Roman"/>
          <w:sz w:val="24"/>
          <w:szCs w:val="24"/>
        </w:rPr>
        <w:t xml:space="preserve"> — that is resorption moving to the intracortical surface, and it is measured in humans: the femoral cortex of long-term immobilised individuals is significantly more porous, in a pattern distinguishable from postmenopausal osteoporosis [29]. Written as a bias on the resorption surface split driven by the mechanical dose deficit, this route is disuse-specific by construction and by measurement — the deficit is 0.886 over 180 days of bed rest against 0.0016 in the low-calcium arm, so it does not repeat the failure above. It also has the authority the apoptotic route lacked: it lifts disuse loss from 0.44 to 1.04 %/month with the calcium effect, its plateau and the romosozumab response all inside their bands.</w:t>
      </w:r>
    </w:p>
    <w:p>
      <w:pPr>
        <w:spacing w:after="120" w:line="480" w:lineRule="auto"/>
      </w:pPr>
      <w:r>
        <w:rPr>
          <w:rFonts w:ascii="Times New Roman" w:cs="Times New Roman" w:eastAsia="Times New Roman" w:hAnsi="Times New Roman"/>
          <w:b/>
          <w:bCs/>
          <w:sz w:val="24"/>
          <w:szCs w:val="24"/>
        </w:rPr>
        <w:t xml:space="preserve">It fails on physiology instead.</w:t>
      </w:r>
      <w:r>
        <w:rPr>
          <w:rFonts w:ascii="Times New Roman" w:cs="Times New Roman" w:eastAsia="Times New Roman" w:hAnsi="Times New Roman"/>
          <w:sz w:val="24"/>
          <w:szCs w:val="24"/>
        </w:rPr>
        <w:t xml:space="preserve"> Closing the gap requires a coefficient at which 94.5 % of disuse resorption is intracortical and 5.0 % endocortical, against a 50/45 baseline split — that is nearly all resorption moved to one surface, and human bed rest thins the endocortex as well as opening porosity. A coefficient that only works where the state it produces is not observed is a fitting parameter wearing a mechanism's name, and we decline to report it as the resolution.</w:t>
      </w:r>
    </w:p>
    <w:p>
      <w:pPr>
        <w:spacing w:after="120" w:line="480" w:lineRule="auto"/>
      </w:pPr>
      <w:r>
        <w:rPr>
          <w:rFonts w:ascii="Times New Roman" w:cs="Times New Roman" w:eastAsia="Times New Roman" w:hAnsi="Times New Roman"/>
          <w:b/>
          <w:bCs/>
          <w:sz w:val="24"/>
          <w:szCs w:val="24"/>
        </w:rPr>
        <w:t xml:space="preserve">Three routes have now failed in three different ways, and the pattern is more informative than any of them.</w:t>
      </w:r>
      <w:r>
        <w:rPr>
          <w:rFonts w:ascii="Times New Roman" w:cs="Times New Roman" w:eastAsia="Times New Roman" w:hAnsi="Times New Roman"/>
          <w:sz w:val="24"/>
          <w:szCs w:val="24"/>
        </w:rPr>
        <w:t xml:space="preserve"> The apoptotic arm was not scenario-specific, because the deficit driving it is produced by resorption itself, and it cost the calcium plateau. Making that deficit mechanical fixed the specificity and left the route with no authority, since basal apoptosis is about 1 % of osteocyte removal here. The surface bias has both specificity and authority and asks for a surface split that is not observed. Specificity, authority, physiology: each route fails a different one of the three, which is a stronger statement than three failures of the same kind would be. On this evidence, reproducing disuse loss at the measured specific-surface exponent needs a mechanism none of these three supplies, and we think the most likely candidate is one this model does not represent at all — the loss of trabecular and endocortical </w:t>
      </w:r>
      <w:r>
        <w:rPr>
          <w:rFonts w:ascii="Times New Roman" w:cs="Times New Roman" w:eastAsia="Times New Roman" w:hAnsi="Times New Roman"/>
          <w:i/>
          <w:iCs/>
          <w:sz w:val="24"/>
          <w:szCs w:val="24"/>
        </w:rPr>
        <w:t xml:space="preserve">template</w:t>
      </w:r>
      <w:r>
        <w:rPr>
          <w:rFonts w:ascii="Times New Roman" w:cs="Times New Roman" w:eastAsia="Times New Roman" w:hAnsi="Times New Roman"/>
          <w:sz w:val="24"/>
          <w:szCs w:val="24"/>
        </w:rPr>
        <w:t xml:space="preserve">, which is also where the falsification of P3 points.</w:t>
      </w:r>
    </w:p>
    <w:p>
      <w:pPr>
        <w:spacing w:after="120" w:line="480" w:lineRule="auto"/>
      </w:pPr>
      <w:r>
        <w:rPr>
          <w:rFonts w:ascii="Times New Roman" w:cs="Times New Roman" w:eastAsia="Times New Roman" w:hAnsi="Times New Roman"/>
          <w:sz w:val="24"/>
          <w:szCs w:val="24"/>
        </w:rPr>
        <w:t xml:space="preserve">One further consequence of the measured exponent deserves recording, because it survived every pass: it makes disuse loss effectively irreversible. Ten years of normal loading after 180 days of bed rest ends 5.7 % below baseline with no net recovery, against a full recovery at the exponent we ship — flattening the exponent damps recovery more than it damps loss.</w:t>
      </w:r>
    </w:p>
    <w:p>
      <w:pPr>
        <w:spacing w:after="120" w:line="480" w:lineRule="auto"/>
      </w:pPr>
      <w:r>
        <w:rPr>
          <w:rFonts w:ascii="Times New Roman" w:cs="Times New Roman" w:eastAsia="Times New Roman" w:hAnsi="Times New Roman"/>
          <w:sz w:val="24"/>
          <w:szCs w:val="24"/>
        </w:rPr>
        <w:t xml:space="preserve">We therefore know what the exaggerated exponent was standing in for, and we know that </w:t>
      </w:r>
      <w:r>
        <w:rPr>
          <w:rFonts w:ascii="Times New Roman" w:cs="Times New Roman" w:eastAsia="Times New Roman" w:hAnsi="Times New Roman"/>
          <w:b/>
          <w:bCs/>
          <w:sz w:val="24"/>
          <w:szCs w:val="24"/>
        </w:rPr>
        <w:t xml:space="preserve">the evidence it could be replaced was itself an artefact</w:t>
      </w:r>
      <w:r>
        <w:rPr>
          <w:rFonts w:ascii="Times New Roman" w:cs="Times New Roman" w:eastAsia="Times New Roman" w:hAnsi="Times New Roman"/>
          <w:sz w:val="24"/>
          <w:szCs w:val="24"/>
        </w:rPr>
        <w:t xml:space="preserve">. The reason for shipping the value we do is no longer that the exchange is a bad bargain; it is that the candidate route cannot supply the disuse loss at all once the model is self-consistent. The measured 0.5 remains the sourced value and we ship 3, and we record that plainly.</w:t>
      </w:r>
    </w:p>
    <w:p>
      <w:pPr>
        <w:spacing w:after="120" w:line="480" w:lineRule="auto"/>
      </w:pPr>
      <w:r>
        <w:rPr>
          <w:rFonts w:ascii="Times New Roman" w:cs="Times New Roman" w:eastAsia="Times New Roman" w:hAnsi="Times New Roman"/>
          <w:b/>
          <w:bCs/>
          <w:sz w:val="24"/>
          <w:szCs w:val="24"/>
        </w:rPr>
        <w:t xml:space="preserve">A second and larger error came out of checking the first, and it was an internal contradiction rather than a disagreement with a measurement.</w:t>
      </w:r>
      <w:r>
        <w:rPr>
          <w:rFonts w:ascii="Times New Roman" w:cs="Times New Roman" w:eastAsia="Times New Roman" w:hAnsi="Times New Roman"/>
          <w:sz w:val="24"/>
          <w:szCs w:val="24"/>
        </w:rPr>
        <w:t xml:space="preserve"> Osteocytes leave the tissue when the bone they occupy is resorbed, so the fractional turnover of the osteocyte population must equal the fractional turnover of bone. Until we checked, it did not. Bone was resorbed at 1.93 × 10⁻⁴ per day, the rate implied by our own adult turnover, while osteocytes were removed at 9.9 × 10⁻² per day — a factor of 514, and a mean osteocyte residence of ten days rather than years. No external data are needed to see this; the model disagreed with itself, and every target it had passed for two years.</w:t>
      </w:r>
    </w:p>
    <w:p>
      <w:pPr>
        <w:spacing w:after="120" w:line="480" w:lineRule="auto"/>
      </w:pPr>
      <w:r>
        <w:rPr>
          <w:rFonts w:ascii="Times New Roman" w:cs="Times New Roman" w:eastAsia="Times New Roman" w:hAnsi="Times New Roman"/>
          <w:sz w:val="24"/>
          <w:szCs w:val="24"/>
        </w:rPr>
        <w:t xml:space="preserve">An independent estimate confirms which side was wrong: 42 billion osteocytes in the adult skeleton with 9.1 million replenished daily [28] gives 2.17 × 10⁻⁴ per day, a residence of 12.6 years, agreeing with the bone-turnover side and not with ours. We have corrected it, and the correction is structural rather than a new value: the burial constant is now </w:t>
      </w:r>
      <w:r>
        <w:rPr>
          <w:rFonts w:ascii="Times New Roman" w:cs="Times New Roman" w:eastAsia="Times New Roman" w:hAnsi="Times New Roman"/>
          <w:b/>
          <w:bCs/>
          <w:sz w:val="24"/>
          <w:szCs w:val="24"/>
        </w:rPr>
        <w:t xml:space="preserve">derived</w:t>
      </w:r>
      <w:r>
        <w:rPr>
          <w:rFonts w:ascii="Times New Roman" w:cs="Times New Roman" w:eastAsia="Times New Roman" w:hAnsi="Times New Roman"/>
          <w:sz w:val="24"/>
          <w:szCs w:val="24"/>
        </w:rPr>
        <w:t xml:space="preserve"> from bone turnover at every parameter set, as the formation constant already was, so the contradiction cannot recur. All results in this paper are computed after that correction and a five-parameter recalibration.</w:t>
      </w:r>
    </w:p>
    <w:p>
      <w:pPr>
        <w:spacing w:after="120" w:line="480" w:lineRule="auto"/>
      </w:pPr>
      <w:r>
        <w:rPr>
          <w:rFonts w:ascii="Times New Roman" w:cs="Times New Roman" w:eastAsia="Times New Roman" w:hAnsi="Times New Roman"/>
          <w:sz w:val="24"/>
          <w:szCs w:val="24"/>
        </w:rPr>
        <w:t xml:space="preserve">The consequences are worth stating in both directions, because they run both ways. Against: the calcium effect fell to +0.663 %, just outside its band, since the calcium arm had been amplified by an osteocyte-density feedback that a ten-day residence made unphysiologically fast. In favour: the post-withdrawal hold-out improved from finishing 0.75 % below pre-treatment baseline to finishing 2.68 % above it, which is the direction the clinical observation describes, with no drug parameter touched; ten-year recovery after bed rest became complete rather than partial; and the reported PTH-pathway parameter left the upper bound it had previously been pinned to. Baseline drift, the elastic domain and monostability are unaffected. We think the exchange is clearly worth making — an artefact that inflates one calibration target is not a reason to keep an internal contradiction — but a reader who weights the calcium band more heavily than we do should know exactly what was traded.</w:t>
      </w:r>
    </w:p>
    <w:p>
      <w:pPr>
        <w:spacing w:after="120" w:line="480" w:lineRule="auto"/>
      </w:pPr>
      <w:r>
        <w:rPr>
          <w:rFonts w:ascii="Times New Roman" w:cs="Times New Roman" w:eastAsia="Times New Roman" w:hAnsi="Times New Roman"/>
          <w:sz w:val="24"/>
          <w:szCs w:val="24"/>
        </w:rPr>
        <w:t xml:space="preserve">We therefore report results computed with an exponent we know to be too steep, and say so rather than quietly adopting the measured value and reporting a broken disuse target. A further caution comes from the title of the same paper: the relationship is </w:t>
      </w:r>
      <w:r>
        <w:rPr>
          <w:rFonts w:ascii="Times New Roman" w:cs="Times New Roman" w:eastAsia="Times New Roman" w:hAnsi="Times New Roman"/>
          <w:b/>
          <w:bCs/>
          <w:sz w:val="24"/>
          <w:szCs w:val="24"/>
        </w:rPr>
        <w:t xml:space="preserve">subject specific</w:t>
      </w:r>
      <w:r>
        <w:rPr>
          <w:rFonts w:ascii="Times New Roman" w:cs="Times New Roman" w:eastAsia="Times New Roman" w:hAnsi="Times New Roman"/>
          <w:sz w:val="24"/>
          <w:szCs w:val="24"/>
        </w:rPr>
        <w:t xml:space="preserve">, not intrinsic — per-subject fits reach r² of 0.87–0.98 against 0.84 pooled, correlating with sex and pore density but not with age, height or weight. A single curve is an approximation not only between compartments but between individuals. Complete unloading beyond about 7.5 months leaves the model's valid domain, so long-duration disuse is out of scope. The antibody is a step function rather than a pharmacokinetic profile, which sharpens the withdrawal transient — the calibrated quantity is the downstream resorption overshoot, which is unaffected in magnitude. Two PTH-pathway parameters are identifiable only jointly. The cortical geometry is an idealised circular annulus.</w:t>
      </w:r>
    </w:p>
    <w:p>
      <w:pPr>
        <w:spacing w:after="120" w:line="480" w:lineRule="auto"/>
      </w:pPr>
      <w:r>
        <w:rPr>
          <w:rFonts w:ascii="Times New Roman" w:cs="Times New Roman" w:eastAsia="Times New Roman" w:hAnsi="Times New Roman"/>
          <w:sz w:val="24"/>
          <w:szCs w:val="24"/>
        </w:rPr>
        <w:t xml:space="preserve">Three limitations follow directly from the four targets reported above, and we regard them as the most useful things a reader can take from this paper about where it is weakest. The systemic calcium module was rebuilt during this work, having failed in both directions at once: serum calcium swung 15 % with dietary intake where physiology allows about 2 %, and the coefficients carrying skeletal calcium into the serum pool were three orders of magnitude below the flux they were normalised against, so the coupling was bidirectional in structure but one-way in magnitude. Both are repaired — the excursion is now 1.6 % and unloading suppresses parathyroid hormone by 21.3 % against a reported 24 % [24] — but two consequences remain. The repair cost the calcium effect size: V7 fell towards the low edge of its band, and a later correction to osteocyte turnover took it just outside, because the earlier value depended on the swing that has been removed. And it created the V7/V16 conflict described above, in which no single PTH→RANKL gain satisfies both the calcium target and the withdrawal-rebound target. Neither is hidden, and both are consequences of making the module more physiological rather than less. The RANKL response to sclerostin cannot reach its reported magnitude at any parameter value, because the relevant half-saturation constant sits below baseline sclerostin. And the model does not produce postmenopausal periosteal widening, so the geometry of the ageing cortex is reproduced only in its thinning half. Finally, the model has no representation of trabecular architecture as architecture, which is precisely where the P3 falsification points.</w:t>
      </w:r>
    </w:p>
    <w:p>
      <w:pPr>
        <w:pStyle w:val="Heading2"/>
        <w:spacing w:after="120" w:before="240" w:line="360" w:lineRule="auto"/>
      </w:pPr>
      <w:r>
        <w:rPr>
          <w:rFonts w:ascii="Times New Roman" w:cs="Times New Roman" w:eastAsia="Times New Roman" w:hAnsi="Times New Roman"/>
          <w:b/>
          <w:bCs/>
          <w:i/>
          <w:iCs/>
          <w:sz w:val="24"/>
          <w:szCs w:val="24"/>
        </w:rPr>
        <w:t xml:space="preserve">Conclusion</w:t>
      </w:r>
    </w:p>
    <w:p>
      <w:pPr>
        <w:spacing w:after="120" w:line="480" w:lineRule="auto"/>
      </w:pPr>
      <w:r>
        <w:rPr>
          <w:rFonts w:ascii="Times New Roman" w:cs="Times New Roman" w:eastAsia="Times New Roman" w:hAnsi="Times New Roman"/>
          <w:sz w:val="24"/>
          <w:szCs w:val="24"/>
        </w:rPr>
        <w:t xml:space="preserve">Joining a validated mechanotransduction front end to a validated bone-cell back end produces a model that predicts blind observations, computes a set point that was previously only observed, and settles the calcium-versus-loading question quantitatively — while overturning our own hypothesis about the dynamical nature of osteoporosis, and showing that two of our three quantitative claims depend on which measure is used to state them.</w:t>
      </w:r>
    </w:p>
    <w:p>
      <w:pPr>
        <w:pStyle w:val="Heading1"/>
        <w:spacing w:after="160" w:before="360" w:line="360" w:lineRule="auto"/>
      </w:pPr>
      <w:r>
        <w:rPr>
          <w:rFonts w:ascii="Times New Roman" w:cs="Times New Roman" w:eastAsia="Times New Roman" w:hAnsi="Times New Roman"/>
          <w:b/>
          <w:bCs/>
          <w:sz w:val="28"/>
          <w:szCs w:val="28"/>
        </w:rPr>
        <w:t xml:space="preserve">Materials and methods</w:t>
      </w:r>
    </w:p>
    <w:p>
      <w:pPr>
        <w:pStyle w:val="Heading2"/>
        <w:spacing w:after="120" w:before="240" w:line="360" w:lineRule="auto"/>
      </w:pPr>
      <w:r>
        <w:rPr>
          <w:rFonts w:ascii="Times New Roman" w:cs="Times New Roman" w:eastAsia="Times New Roman" w:hAnsi="Times New Roman"/>
          <w:b/>
          <w:bCs/>
          <w:i/>
          <w:iCs/>
          <w:sz w:val="24"/>
          <w:szCs w:val="24"/>
        </w:rPr>
        <w:t xml:space="preserve">Model structure</w:t>
      </w:r>
    </w:p>
    <w:p>
      <w:pPr>
        <w:spacing w:after="120" w:line="480" w:lineRule="auto"/>
      </w:pPr>
      <w:r>
        <w:rPr>
          <w:rFonts w:ascii="Times New Roman" w:cs="Times New Roman" w:eastAsia="Times New Roman" w:hAnsi="Times New Roman"/>
          <w:sz w:val="24"/>
          <w:szCs w:val="24"/>
        </w:rPr>
        <w:t xml:space="preserve">Eight modules; full equations in </w:t>
      </w:r>
      <w:r>
        <w:rPr>
          <w:rFonts w:ascii="Times New Roman" w:cs="Times New Roman" w:eastAsia="Times New Roman" w:hAnsi="Times New Roman"/>
          <w:b/>
          <w:bCs/>
          <w:sz w:val="24"/>
          <w:szCs w:val="24"/>
        </w:rPr>
        <w:t xml:space="preserve">S1 Text</w:t>
      </w:r>
      <w:r>
        <w:rPr>
          <w:rFonts w:ascii="Times New Roman" w:cs="Times New Roman" w:eastAsia="Times New Roman" w:hAnsi="Times New Roman"/>
          <w:sz w:val="24"/>
          <w:szCs w:val="24"/>
        </w:rPr>
        <w:t xml:space="preserve">. State vectors: 17 (single compartment), 30 (two compartments; 13 local states per site plus four shared systemic states). Integration with </w:t>
      </w:r>
      <w:r>
        <w:rPr>
          <w:rFonts w:ascii="Courier New" w:cs="Courier New" w:eastAsia="Courier New" w:hAnsi="Courier New"/>
          <w:sz w:val="24"/>
          <w:szCs w:val="24"/>
        </w:rPr>
        <w:t xml:space="preserve">ode15s</w:t>
      </w:r>
      <w:r>
        <w:rPr>
          <w:rFonts w:ascii="Times New Roman" w:cs="Times New Roman" w:eastAsia="Times New Roman" w:hAnsi="Times New Roman"/>
          <w:sz w:val="24"/>
          <w:szCs w:val="24"/>
        </w:rPr>
        <w:t xml:space="preserve">, relative tolerance 1 × 10⁻⁶, absolute tolerance 1 × 10⁻⁹, non-negativity enforced on all states.</w:t>
      </w:r>
    </w:p>
    <w:p>
      <w:pPr>
        <w:spacing w:after="120" w:line="480" w:lineRule="auto"/>
      </w:pPr>
      <w:r>
        <w:rPr>
          <w:rFonts w:ascii="Times New Roman" w:cs="Times New Roman" w:eastAsia="Times New Roman" w:hAnsi="Times New Roman"/>
          <w:sz w:val="24"/>
          <w:szCs w:val="24"/>
        </w:rPr>
        <w:t xml:space="preserve">The per-site biology is implemented once and called by both the single- and two-compartment right-hand sides, so the two cannot diverge. Mechanosensitive channel gating exists in exactly one place; the interface between fast (sub-second) and slow (daily) timescales is a single scalar, the daily integral of channel open probability. An earlier version represented the same phenomena four times over and left that scalar with no downstream consumer, so mechanical signalling never actually crossed the timescale boundary.</w:t>
      </w:r>
    </w:p>
    <w:p>
      <w:pPr>
        <w:pStyle w:val="Heading2"/>
        <w:spacing w:after="120" w:before="240" w:line="360" w:lineRule="auto"/>
      </w:pPr>
      <w:r>
        <w:rPr>
          <w:rFonts w:ascii="Times New Roman" w:cs="Times New Roman" w:eastAsia="Times New Roman" w:hAnsi="Times New Roman"/>
          <w:b/>
          <w:bCs/>
          <w:i/>
          <w:iCs/>
          <w:sz w:val="24"/>
          <w:szCs w:val="24"/>
        </w:rPr>
        <w:t xml:space="preserve">Loading specification</w:t>
      </w:r>
    </w:p>
    <w:p>
      <w:pPr>
        <w:spacing w:after="120" w:line="480" w:lineRule="auto"/>
      </w:pPr>
      <w:r>
        <w:rPr>
          <w:rFonts w:ascii="Times New Roman" w:cs="Times New Roman" w:eastAsia="Times New Roman" w:hAnsi="Times New Roman"/>
          <w:sz w:val="24"/>
          <w:szCs w:val="24"/>
        </w:rPr>
        <w:t xml:space="preserve">Scenarios specify peak bending moment and peak axial force per loading bout, with cycle count, frequency, inter-cycle rest, post-bout rest and days of week. </w:t>
      </w:r>
      <w:r>
        <w:rPr>
          <w:rFonts w:ascii="Times New Roman" w:cs="Times New Roman" w:eastAsia="Times New Roman" w:hAnsi="Times New Roman"/>
          <w:b/>
          <w:bCs/>
          <w:sz w:val="24"/>
          <w:szCs w:val="24"/>
        </w:rPr>
        <w:t xml:space="preserve">Strain is never an input.</w:t>
      </w:r>
      <w:r>
        <w:rPr>
          <w:rFonts w:ascii="Times New Roman" w:cs="Times New Roman" w:eastAsia="Times New Roman" w:hAnsi="Times New Roman"/>
          <w:sz w:val="24"/>
          <w:szCs w:val="24"/>
        </w:rPr>
        <w:t xml:space="preserve"> This is enforced by an automated check that rejects any scenario carrying a strain-like field.</w:t>
      </w:r>
    </w:p>
    <w:p>
      <w:pPr>
        <w:pStyle w:val="Heading2"/>
        <w:spacing w:after="120" w:before="240" w:line="360" w:lineRule="auto"/>
      </w:pPr>
      <w:r>
        <w:rPr>
          <w:rFonts w:ascii="Times New Roman" w:cs="Times New Roman" w:eastAsia="Times New Roman" w:hAnsi="Times New Roman"/>
          <w:b/>
          <w:bCs/>
          <w:i/>
          <w:iCs/>
          <w:sz w:val="24"/>
          <w:szCs w:val="24"/>
        </w:rPr>
        <w:t xml:space="preserve">Calibration and validation</w:t>
      </w:r>
    </w:p>
    <w:p>
      <w:pPr>
        <w:spacing w:after="120" w:line="480" w:lineRule="auto"/>
      </w:pPr>
      <w:r>
        <w:rPr>
          <w:rFonts w:ascii="Times New Roman" w:cs="Times New Roman" w:eastAsia="Times New Roman" w:hAnsi="Times New Roman"/>
          <w:sz w:val="24"/>
          <w:szCs w:val="24"/>
        </w:rPr>
        <w:t xml:space="preserve">Five free parameters fitted with </w:t>
      </w:r>
      <w:r>
        <w:rPr>
          <w:rFonts w:ascii="Courier New" w:cs="Courier New" w:eastAsia="Courier New" w:hAnsi="Courier New"/>
          <w:sz w:val="24"/>
          <w:szCs w:val="24"/>
        </w:rPr>
        <w:t xml:space="preserve">surrogateopt</w:t>
      </w:r>
      <w:r>
        <w:rPr>
          <w:rFonts w:ascii="Times New Roman" w:cs="Times New Roman" w:eastAsia="Times New Roman" w:hAnsi="Times New Roman"/>
          <w:sz w:val="24"/>
          <w:szCs w:val="24"/>
        </w:rPr>
        <w:t xml:space="preserve"> (fixed seed) against five targets; </w:t>
      </w:r>
      <w:r>
        <w:rPr>
          <w:rFonts w:ascii="Courier New" w:cs="Courier New" w:eastAsia="Courier New" w:hAnsi="Courier New"/>
          <w:sz w:val="24"/>
          <w:szCs w:val="24"/>
        </w:rPr>
        <w:t xml:space="preserve">k_form</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k_ot</w:t>
      </w:r>
      <w:r>
        <w:rPr>
          <w:rFonts w:ascii="Times New Roman" w:cs="Times New Roman" w:eastAsia="Times New Roman" w:hAnsi="Times New Roman"/>
          <w:sz w:val="24"/>
          <w:szCs w:val="24"/>
        </w:rPr>
        <w:t xml:space="preserve"> derived at each evaluation, from bone-mass balance and from bone turnover respectively. Eight observations held out: the six pQCT indices of the loaded humerus, the post-withdrawal areal density change, and the emergent set point. Targets and tolerances are listed in </w:t>
      </w:r>
      <w:r>
        <w:rPr>
          <w:rFonts w:ascii="Times New Roman" w:cs="Times New Roman" w:eastAsia="Times New Roman" w:hAnsi="Times New Roman"/>
          <w:b/>
          <w:bCs/>
          <w:sz w:val="24"/>
          <w:szCs w:val="24"/>
        </w:rPr>
        <w:t xml:space="preserve">S2 Table</w:t>
      </w:r>
      <w:r>
        <w:rPr>
          <w:rFonts w:ascii="Times New Roman" w:cs="Times New Roman" w:eastAsia="Times New Roman" w:hAnsi="Times New Roman"/>
          <w:sz w:val="24"/>
          <w:szCs w:val="24"/>
        </w:rPr>
        <w:t xml:space="preserve">; all parameters, with source and confidence grading, in </w:t>
      </w:r>
      <w:r>
        <w:rPr>
          <w:rFonts w:ascii="Times New Roman" w:cs="Times New Roman" w:eastAsia="Times New Roman" w:hAnsi="Times New Roman"/>
          <w:b/>
          <w:bCs/>
          <w:sz w:val="24"/>
          <w:szCs w:val="24"/>
        </w:rPr>
        <w:t xml:space="preserve">S1 Table</w:t>
      </w:r>
      <w:r>
        <w:rPr>
          <w:rFonts w:ascii="Times New Roman" w:cs="Times New Roman" w:eastAsia="Times New Roman" w:hAnsi="Times New Roman"/>
          <w:sz w:val="24"/>
          <w:szCs w:val="24"/>
        </w:rPr>
        <w:t xml:space="preserve">. Hard-coded numerical constants in source are treated as defects and are caught by an automated check.</w:t>
      </w:r>
    </w:p>
    <w:p>
      <w:pPr>
        <w:pStyle w:val="Heading2"/>
        <w:spacing w:after="120" w:before="240" w:line="360" w:lineRule="auto"/>
      </w:pPr>
      <w:r>
        <w:rPr>
          <w:rFonts w:ascii="Times New Roman" w:cs="Times New Roman" w:eastAsia="Times New Roman" w:hAnsi="Times New Roman"/>
          <w:b/>
          <w:bCs/>
          <w:i/>
          <w:iCs/>
          <w:sz w:val="24"/>
          <w:szCs w:val="24"/>
        </w:rPr>
        <w:t xml:space="preserve">Validity domain</w:t>
      </w:r>
    </w:p>
    <w:p>
      <w:pPr>
        <w:spacing w:after="120" w:line="480" w:lineRule="auto"/>
      </w:pPr>
      <w:r>
        <w:rPr>
          <w:rFonts w:ascii="Times New Roman" w:cs="Times New Roman" w:eastAsia="Times New Roman" w:hAnsi="Times New Roman"/>
          <w:sz w:val="24"/>
          <w:szCs w:val="24"/>
        </w:rPr>
        <w:t xml:space="preserve">Every simulation reports whether peak strain remained below the yield strain of cortical bone (7000 με), beyond which the linear elasticity assumed throughout the mechanics stack fails. Results from runs that leave this domain are not interpreted. This check is what identified the long-duration disuse scope limit and the extrapolated deep branch of the bifurcation diagram.</w:t>
      </w:r>
    </w:p>
    <w:p>
      <w:pPr>
        <w:pStyle w:val="Heading2"/>
        <w:spacing w:after="120" w:before="240" w:line="360" w:lineRule="auto"/>
      </w:pPr>
      <w:r>
        <w:rPr>
          <w:rFonts w:ascii="Times New Roman" w:cs="Times New Roman" w:eastAsia="Times New Roman" w:hAnsi="Times New Roman"/>
          <w:b/>
          <w:bCs/>
          <w:i/>
          <w:iCs/>
          <w:sz w:val="24"/>
          <w:szCs w:val="24"/>
        </w:rPr>
        <w:t xml:space="preserve">Bifurcation analysis</w:t>
      </w:r>
    </w:p>
    <w:p>
      <w:pPr>
        <w:spacing w:after="120" w:line="480" w:lineRule="auto"/>
      </w:pPr>
      <w:r>
        <w:rPr>
          <w:rFonts w:ascii="Times New Roman" w:cs="Times New Roman" w:eastAsia="Times New Roman" w:hAnsi="Times New Roman"/>
          <w:sz w:val="24"/>
          <w:szCs w:val="24"/>
        </w:rPr>
        <w:t xml:space="preserve">Monostability was assessed two ways: by counting zeros of the bone-volume-fraction nullcline with envelope geometry frozen, and independently by a withdrawal-and-recovery trajectory in the full model with geometry free. Fixed-point stability from Jacobian eigenvalues.</w:t>
      </w:r>
    </w:p>
    <w:p>
      <w:pPr>
        <w:pStyle w:val="Heading2"/>
        <w:spacing w:after="120" w:before="240" w:line="360" w:lineRule="auto"/>
      </w:pPr>
      <w:r>
        <w:rPr>
          <w:rFonts w:ascii="Times New Roman" w:cs="Times New Roman" w:eastAsia="Times New Roman" w:hAnsi="Times New Roman"/>
          <w:b/>
          <w:bCs/>
          <w:i/>
          <w:iCs/>
          <w:sz w:val="24"/>
          <w:szCs w:val="24"/>
        </w:rPr>
        <w:t xml:space="preserve">Software and reproducibility</w:t>
      </w:r>
    </w:p>
    <w:p>
      <w:pPr>
        <w:spacing w:after="120" w:line="480" w:lineRule="auto"/>
      </w:pPr>
      <w:r>
        <w:rPr>
          <w:rFonts w:ascii="Times New Roman" w:cs="Times New Roman" w:eastAsia="Times New Roman" w:hAnsi="Times New Roman"/>
          <w:sz w:val="24"/>
          <w:szCs w:val="24"/>
        </w:rPr>
        <w:t xml:space="preserve">MATLAB R2026a. The model, the parameter and target tables, all seven experiment scripts and a 91-assertion automated test suite are available at https://github.com/myhsieh1002/bone-mechanostat and archived on Zenodo (concept DOI 10.5281/zenodo.21592303; this version 10.5281/zenodo.21784609). Every figure in this paper is regenerated by a single named script.</w:t>
      </w:r>
    </w:p>
    <w:p>
      <w:pPr>
        <w:pStyle w:val="Heading1"/>
        <w:spacing w:after="160" w:before="360" w:line="360" w:lineRule="auto"/>
      </w:pPr>
      <w:r>
        <w:rPr>
          <w:rFonts w:ascii="Times New Roman" w:cs="Times New Roman" w:eastAsia="Times New Roman" w:hAnsi="Times New Roman"/>
          <w:b/>
          <w:bCs/>
          <w:sz w:val="28"/>
          <w:szCs w:val="28"/>
        </w:rPr>
        <w:t xml:space="preserve">Figure captions</w:t>
      </w:r>
    </w:p>
    <w:p>
      <w:pPr>
        <w:spacing w:after="120" w:line="480" w:lineRule="auto"/>
      </w:pPr>
      <w:r>
        <w:rPr>
          <w:rFonts w:ascii="Times New Roman" w:cs="Times New Roman" w:eastAsia="Times New Roman" w:hAnsi="Times New Roman"/>
          <w:b/>
          <w:bCs/>
          <w:sz w:val="24"/>
          <w:szCs w:val="24"/>
        </w:rPr>
        <w:t xml:space="preserve">Fig 1. Baseline steady state and the emergent mechanostat set point.</w:t>
      </w:r>
    </w:p>
    <w:p>
      <w:pPr>
        <w:spacing w:after="120" w:line="480" w:lineRule="auto"/>
      </w:pPr>
      <w:r>
        <w:rPr>
          <w:rFonts w:ascii="Times New Roman" w:cs="Times New Roman" w:eastAsia="Times New Roman" w:hAnsi="Times New Roman"/>
          <w:sz w:val="24"/>
          <w:szCs w:val="24"/>
        </w:rPr>
        <w:t xml:space="preserve">(A) Areal bone mineral density over 24 months at baseline; drift −0.015 %. (B) Bone volume fraction over the same period. (C) The peak strain the closed loop settles at, 786.8 με, against the 300–1500 με band Frost inferred from observation. This value is computed, not fitted, and was held out of calibration.</w:t>
      </w:r>
    </w:p>
    <w:p>
      <w:pPr>
        <w:spacing w:after="120" w:line="480" w:lineRule="auto"/>
      </w:pPr>
      <w:r>
        <w:rPr>
          <w:rFonts w:ascii="Times New Roman" w:cs="Times New Roman" w:eastAsia="Times New Roman" w:hAnsi="Times New Roman"/>
          <w:b/>
          <w:bCs/>
          <w:sz w:val="24"/>
          <w:szCs w:val="24"/>
        </w:rPr>
        <w:t xml:space="preserve">Fig 2. Mechanical dose–response.</w:t>
      </w:r>
    </w:p>
    <w:p>
      <w:pPr>
        <w:spacing w:after="120" w:line="480" w:lineRule="auto"/>
      </w:pPr>
      <w:r>
        <w:rPr>
          <w:rFonts w:ascii="Times New Roman" w:cs="Times New Roman" w:eastAsia="Times New Roman" w:hAnsi="Times New Roman"/>
          <w:sz w:val="24"/>
          <w:szCs w:val="24"/>
        </w:rPr>
        <w:t xml:space="preserve">(A) Cycle number against 12-month areal density change; marginal return falls 33-fold from 18 to 1200 cycles. The saturation is a downstream property — at the channel level the dose is linear in cycle number. (B) Frequency at both levels: fluid shear (grey, left axis) rises with ln f as poroelasticity requires, while the bone-level response (teal, right axis) falls. The logarithmic form survives to bone; the sign does not. (C) Rest insertion at three amplitudes. The gain falls with amplitude, matching experiment, and reverses the direction seen at the channel level.</w:t>
      </w:r>
    </w:p>
    <w:p>
      <w:pPr>
        <w:spacing w:after="120" w:line="480" w:lineRule="auto"/>
      </w:pPr>
      <w:r>
        <w:rPr>
          <w:rFonts w:ascii="Times New Roman" w:cs="Times New Roman" w:eastAsia="Times New Roman" w:hAnsi="Times New Roman"/>
          <w:b/>
          <w:bCs/>
          <w:sz w:val="24"/>
          <w:szCs w:val="24"/>
        </w:rPr>
        <w:t xml:space="preserve">Fig 3. Calcium against loading (P1).</w:t>
      </w:r>
    </w:p>
    <w:p>
      <w:pPr>
        <w:spacing w:after="120" w:line="480" w:lineRule="auto"/>
      </w:pPr>
      <w:r>
        <w:rPr>
          <w:rFonts w:ascii="Times New Roman" w:cs="Times New Roman" w:eastAsia="Times New Roman" w:hAnsi="Times New Roman"/>
          <w:sz w:val="24"/>
          <w:szCs w:val="24"/>
        </w:rPr>
        <w:t xml:space="preserve">(A) 24-month bone mineral content change across four calcium intakes and three loading levels; dashed line marks P1's 4 % threshold. Only the vigorous programme (2949 με) clears it. (B) The same vigorous-loading contrast in bone mineral content and in areal density: dual-energy X-ray absorptiometry dilutes the loading response by 61 %, because loading moves the periosteal surface outward and areal density divides by projected width.</w:t>
      </w:r>
    </w:p>
    <w:p>
      <w:pPr>
        <w:spacing w:after="120" w:line="480" w:lineRule="auto"/>
      </w:pPr>
      <w:r>
        <w:rPr>
          <w:rFonts w:ascii="Times New Roman" w:cs="Times New Roman" w:eastAsia="Times New Roman" w:hAnsi="Times New Roman"/>
          <w:b/>
          <w:bCs/>
          <w:sz w:val="24"/>
          <w:szCs w:val="24"/>
        </w:rPr>
        <w:t xml:space="preserve">Fig 4. Disuse and the minimum effective countermeasure.</w:t>
      </w:r>
    </w:p>
    <w:p>
      <w:pPr>
        <w:spacing w:after="120" w:line="480" w:lineRule="auto"/>
      </w:pPr>
      <w:r>
        <w:rPr>
          <w:rFonts w:ascii="Times New Roman" w:cs="Times New Roman" w:eastAsia="Times New Roman" w:hAnsi="Times New Roman"/>
          <w:sz w:val="24"/>
          <w:szCs w:val="24"/>
        </w:rPr>
        <w:t xml:space="preserve">(A) Bone mineral content over 180 days of unloading, unprotected and with the best in-budget countermeasure. (B) Monthly loss across the countermeasure grid; blank cells exceed the 30 min/day budget. No in-budget regimen holds loss below 0.25 %/month.</w:t>
      </w:r>
    </w:p>
    <w:p>
      <w:pPr>
        <w:spacing w:after="120" w:line="480" w:lineRule="auto"/>
      </w:pPr>
      <w:r>
        <w:rPr>
          <w:rFonts w:ascii="Times New Roman" w:cs="Times New Roman" w:eastAsia="Times New Roman" w:hAnsi="Times New Roman"/>
          <w:b/>
          <w:bCs/>
          <w:sz w:val="24"/>
          <w:szCs w:val="24"/>
        </w:rPr>
        <w:t xml:space="preserve">Fig 5. Romosozumab, withdrawal and loading.</w:t>
      </w:r>
    </w:p>
    <w:p>
      <w:pPr>
        <w:spacing w:after="120" w:line="480" w:lineRule="auto"/>
      </w:pPr>
      <w:r>
        <w:rPr>
          <w:rFonts w:ascii="Times New Roman" w:cs="Times New Roman" w:eastAsia="Times New Roman" w:hAnsi="Times New Roman"/>
          <w:sz w:val="24"/>
          <w:szCs w:val="24"/>
        </w:rPr>
        <w:t xml:space="preserve">(A) Four arms over 24 months, drug stopped at month 12. (B) The osteoblast population on drug: it peaks early and declines while dosing continues, because compensatory </w:t>
      </w:r>
      <w:r>
        <w:rPr>
          <w:rFonts w:ascii="Times New Roman" w:cs="Times New Roman" w:eastAsia="Times New Roman" w:hAnsi="Times New Roman"/>
          <w:i/>
          <w:iCs/>
          <w:sz w:val="24"/>
          <w:szCs w:val="24"/>
        </w:rPr>
        <w:t xml:space="preserve">SOST</w:t>
      </w:r>
      <w:r>
        <w:rPr>
          <w:rFonts w:ascii="Times New Roman" w:cs="Times New Roman" w:eastAsia="Times New Roman" w:hAnsi="Times New Roman"/>
          <w:sz w:val="24"/>
          <w:szCs w:val="24"/>
        </w:rPr>
        <w:t xml:space="preserve"> transcription progressively offsets the antibody. (C) Trabecular against cortical response, with the +11–14 % spine target band shaded; the 5.3-fold amplification comes from structure alone.</w:t>
      </w:r>
    </w:p>
    <w:p>
      <w:pPr>
        <w:spacing w:after="120" w:line="480" w:lineRule="auto"/>
      </w:pPr>
      <w:r>
        <w:rPr>
          <w:rFonts w:ascii="Times New Roman" w:cs="Times New Roman" w:eastAsia="Times New Roman" w:hAnsi="Times New Roman"/>
          <w:b/>
          <w:bCs/>
          <w:sz w:val="24"/>
          <w:szCs w:val="24"/>
        </w:rPr>
        <w:t xml:space="preserve">Fig 6. Site specificity (P2).</w:t>
      </w:r>
    </w:p>
    <w:p>
      <w:pPr>
        <w:spacing w:after="120" w:line="480" w:lineRule="auto"/>
      </w:pPr>
      <w:r>
        <w:rPr>
          <w:rFonts w:ascii="Times New Roman" w:cs="Times New Roman" w:eastAsia="Times New Roman" w:hAnsi="Times New Roman"/>
          <w:sz w:val="24"/>
          <w:szCs w:val="24"/>
        </w:rPr>
        <w:t xml:space="preserve">(A) The six pQCT indices of the loaded humerus against Haapasalo's measured ranges (grey bands). All six fall within tolerance, and all six were held out of calibration. (B) Side-to-side difference by intervention type: only unilateral loading produces one; systemic calcium and systemic romosozumab produce 0.0000 %.</w:t>
      </w:r>
    </w:p>
    <w:p>
      <w:pPr>
        <w:spacing w:after="120" w:line="480" w:lineRule="auto"/>
      </w:pPr>
      <w:r>
        <w:rPr>
          <w:rFonts w:ascii="Times New Roman" w:cs="Times New Roman" w:eastAsia="Times New Roman" w:hAnsi="Times New Roman"/>
          <w:b/>
          <w:bCs/>
          <w:sz w:val="24"/>
          <w:szCs w:val="24"/>
        </w:rPr>
        <w:t xml:space="preserve">Fig 7. Osteoporosis is a steep continuous shift, not a second stable state (P3).</w:t>
      </w:r>
    </w:p>
    <w:p>
      <w:pPr>
        <w:spacing w:after="120" w:line="480" w:lineRule="auto"/>
      </w:pPr>
      <w:r>
        <w:rPr>
          <w:rFonts w:ascii="Times New Roman" w:cs="Times New Roman" w:eastAsia="Times New Roman" w:hAnsi="Times New Roman"/>
          <w:sz w:val="24"/>
          <w:szCs w:val="24"/>
        </w:rPr>
        <w:t xml:space="preserve">(A) The oestrogen continuation with envelope geometry frozen: a single branch throughout, sliding steeply but continuously, with no fold. Shading marks bone volume fractions below the linear-elastic validity floor, where the branch is extrapolation. (B) The independent full-model probe with geometry free: driving oestrogen down and restoring it recovers 100.3 % of baseline with no hysteresis.</w:t>
      </w:r>
    </w:p>
    <w:p>
      <w:pPr>
        <w:pStyle w:val="Heading1"/>
        <w:spacing w:after="160" w:before="360" w:line="360" w:lineRule="auto"/>
      </w:pPr>
      <w:r>
        <w:rPr>
          <w:rFonts w:ascii="Times New Roman" w:cs="Times New Roman" w:eastAsia="Times New Roman" w:hAnsi="Times New Roman"/>
          <w:b/>
          <w:bCs/>
          <w:sz w:val="28"/>
          <w:szCs w:val="28"/>
        </w:rPr>
        <w:t xml:space="preserve">Supporting information</w:t>
      </w:r>
    </w:p>
    <w:p>
      <w:pPr>
        <w:spacing w:after="120" w:line="480" w:lineRule="auto"/>
      </w:pPr>
      <w:r>
        <w:rPr>
          <w:rFonts w:ascii="Times New Roman" w:cs="Times New Roman" w:eastAsia="Times New Roman" w:hAnsi="Times New Roman"/>
          <w:b/>
          <w:bCs/>
          <w:sz w:val="24"/>
          <w:szCs w:val="24"/>
        </w:rPr>
        <w:t xml:space="preserve">S1 Text. Model equations.</w:t>
      </w:r>
      <w:r>
        <w:rPr>
          <w:rFonts w:ascii="Times New Roman" w:cs="Times New Roman" w:eastAsia="Times New Roman" w:hAnsi="Times New Roman"/>
          <w:sz w:val="24"/>
          <w:szCs w:val="24"/>
        </w:rPr>
        <w:t xml:space="preserve"> Full specification of modules M1–M8, state vector layout, and the derivation of the two rate constants the baseline state determines rather than leaves free: the formation constant, from bone-mass balance, and the osteocyte burial constant, from bone turnover.</w:t>
      </w:r>
    </w:p>
    <w:p>
      <w:pPr>
        <w:spacing w:after="120" w:line="480" w:lineRule="auto"/>
      </w:pPr>
      <w:r>
        <w:rPr>
          <w:rFonts w:ascii="Times New Roman" w:cs="Times New Roman" w:eastAsia="Times New Roman" w:hAnsi="Times New Roman"/>
          <w:b/>
          <w:bCs/>
          <w:sz w:val="24"/>
          <w:szCs w:val="24"/>
        </w:rPr>
        <w:t xml:space="preserve">S1 Table. Parameters.</w:t>
      </w:r>
      <w:r>
        <w:rPr>
          <w:rFonts w:ascii="Times New Roman" w:cs="Times New Roman" w:eastAsia="Times New Roman" w:hAnsi="Times New Roman"/>
          <w:sz w:val="24"/>
          <w:szCs w:val="24"/>
        </w:rPr>
        <w:t xml:space="preserve"> Every parameter with value, unit, bounds, owning module, literature source and confidence grading.</w:t>
      </w:r>
    </w:p>
    <w:p>
      <w:pPr>
        <w:spacing w:after="120" w:line="480" w:lineRule="auto"/>
      </w:pPr>
      <w:r>
        <w:rPr>
          <w:rFonts w:ascii="Times New Roman" w:cs="Times New Roman" w:eastAsia="Times New Roman" w:hAnsi="Times New Roman"/>
          <w:b/>
          <w:bCs/>
          <w:sz w:val="24"/>
          <w:szCs w:val="24"/>
        </w:rPr>
        <w:t xml:space="preserve">S2 Table. Validation targets.</w:t>
      </w:r>
      <w:r>
        <w:rPr>
          <w:rFonts w:ascii="Times New Roman" w:cs="Times New Roman" w:eastAsia="Times New Roman" w:hAnsi="Times New Roman"/>
          <w:sz w:val="24"/>
          <w:szCs w:val="24"/>
        </w:rPr>
        <w:t xml:space="preserve"> All targets with ranges, tolerances, associated experiment and hold-out status.</w:t>
      </w:r>
    </w:p>
    <w:p>
      <w:pPr>
        <w:spacing w:after="120" w:line="480" w:lineRule="auto"/>
      </w:pPr>
      <w:r>
        <w:rPr>
          <w:rFonts w:ascii="Times New Roman" w:cs="Times New Roman" w:eastAsia="Times New Roman" w:hAnsi="Times New Roman"/>
          <w:b/>
          <w:bCs/>
          <w:sz w:val="24"/>
          <w:szCs w:val="24"/>
        </w:rPr>
        <w:t xml:space="preserve">S1 Fig. Identifiability.</w:t>
      </w:r>
      <w:r>
        <w:rPr>
          <w:rFonts w:ascii="Times New Roman" w:cs="Times New Roman" w:eastAsia="Times New Roman" w:hAnsi="Times New Roman"/>
          <w:sz w:val="24"/>
          <w:szCs w:val="24"/>
        </w:rPr>
        <w:t xml:space="preserve"> Two-dimensional χ² surface for the correlated PTH-pathway pair and one-dimensional profiles for the three remaining fitted parameters, of which two are individually identifiable and the antibody clearance constant is not.</w:t>
      </w:r>
    </w:p>
    <w:p>
      <w:pPr>
        <w:pStyle w:val="Heading1"/>
        <w:spacing w:after="160" w:before="360" w:line="360" w:lineRule="auto"/>
      </w:pPr>
      <w:r>
        <w:rPr>
          <w:rFonts w:ascii="Times New Roman" w:cs="Times New Roman" w:eastAsia="Times New Roman" w:hAnsi="Times New Roman"/>
          <w:b/>
          <w:bCs/>
          <w:sz w:val="28"/>
          <w:szCs w:val="28"/>
        </w:rPr>
        <w:t xml:space="preserve">References</w:t>
      </w:r>
    </w:p>
    <w:p>
      <w:pPr>
        <w:spacing w:after="80" w:line="300" w:lineRule="auto"/>
      </w:pPr>
      <w:r>
        <w:rPr>
          <w:rFonts w:ascii="Times New Roman" w:cs="Times New Roman" w:eastAsia="Times New Roman" w:hAnsi="Times New Roman"/>
          <w:sz w:val="24"/>
          <w:szCs w:val="24"/>
        </w:rPr>
        <w:t xml:space="preserve">1. Frost HM. Bone "mass" and the "mechanostat": a proposal. Anat Rec. 1987;219(1):1–9. doi:10.1002/ar.1092190104</w:t>
      </w:r>
    </w:p>
    <w:p>
      <w:pPr>
        <w:spacing w:after="80" w:line="300" w:lineRule="auto"/>
      </w:pPr>
      <w:r>
        <w:rPr>
          <w:rFonts w:ascii="Times New Roman" w:cs="Times New Roman" w:eastAsia="Times New Roman" w:hAnsi="Times New Roman"/>
          <w:sz w:val="24"/>
          <w:szCs w:val="24"/>
        </w:rPr>
        <w:t xml:space="preserve">2. Fu R, Wang C, Shahneela N, Ud Din R, Yang H. A whole bone–lacunocanalicular network–osteocyte model examining bone adaptation to distinct loading parameters. Int J Mech Sci. 2025;286:109931. doi:10.1016/j.ijmecsci.2025.109931</w:t>
      </w:r>
    </w:p>
    <w:p>
      <w:pPr>
        <w:spacing w:after="80" w:line="300" w:lineRule="auto"/>
      </w:pPr>
      <w:r>
        <w:rPr>
          <w:rFonts w:ascii="Times New Roman" w:cs="Times New Roman" w:eastAsia="Times New Roman" w:hAnsi="Times New Roman"/>
          <w:sz w:val="24"/>
          <w:szCs w:val="24"/>
        </w:rPr>
        <w:t xml:space="preserve">3. Lemaire V, Tobin FL, Greller LD, Cho CR, Suva LJ. Modeling the interactions between osteoblast and osteoclast activities in bone remodeling. J Theor Biol. 2004;229(3):293–309. doi:10.1016/j.jtbi.2004.03.023</w:t>
      </w:r>
    </w:p>
    <w:p>
      <w:pPr>
        <w:spacing w:after="80" w:line="300" w:lineRule="auto"/>
      </w:pPr>
      <w:r>
        <w:rPr>
          <w:rFonts w:ascii="Times New Roman" w:cs="Times New Roman" w:eastAsia="Times New Roman" w:hAnsi="Times New Roman"/>
          <w:sz w:val="24"/>
          <w:szCs w:val="24"/>
        </w:rPr>
        <w:t xml:space="preserve">4. Pivonka P, Zimak J, Smith DW, Gardiner BS, Dunstan CR, Sims NA, et al. Model structure and control of bone remodeling: a theoretical study. Bone. 2008;43(2):249–263. doi:10.1016/j.bone.2008.03.025</w:t>
      </w:r>
    </w:p>
    <w:p>
      <w:pPr>
        <w:spacing w:after="80" w:line="300" w:lineRule="auto"/>
      </w:pPr>
      <w:r>
        <w:rPr>
          <w:rFonts w:ascii="Times New Roman" w:cs="Times New Roman" w:eastAsia="Times New Roman" w:hAnsi="Times New Roman"/>
          <w:sz w:val="24"/>
          <w:szCs w:val="24"/>
        </w:rPr>
        <w:t xml:space="preserve">5. Scheiner S, Pivonka P, Hellmich C. Coupling systems biology with multiscale mechanics, for computer simulations of bone remodeling. Comput Methods Appl Mech Eng. 2013;254:181–196.</w:t>
      </w:r>
    </w:p>
    <w:p>
      <w:pPr>
        <w:spacing w:after="80" w:line="300" w:lineRule="auto"/>
      </w:pPr>
      <w:r>
        <w:rPr>
          <w:rFonts w:ascii="Times New Roman" w:cs="Times New Roman" w:eastAsia="Times New Roman" w:hAnsi="Times New Roman"/>
          <w:sz w:val="24"/>
          <w:szCs w:val="24"/>
        </w:rPr>
        <w:t xml:space="preserve">6. Tai V, Leung W, Grey A, Reid IR, Bolland MJ. Calcium intake and bone mineral density: systematic review and meta-analysis. BMJ. 2015;351:h4183. doi:10.1136/bmj.h4183</w:t>
      </w:r>
    </w:p>
    <w:p>
      <w:pPr>
        <w:spacing w:after="80" w:line="300" w:lineRule="auto"/>
      </w:pPr>
      <w:r>
        <w:rPr>
          <w:rFonts w:ascii="Times New Roman" w:cs="Times New Roman" w:eastAsia="Times New Roman" w:hAnsi="Times New Roman"/>
          <w:sz w:val="24"/>
          <w:szCs w:val="24"/>
        </w:rPr>
        <w:t xml:space="preserve">7. Haapasalo H, Kontulainen S, Sievanen H, Kannus P, Jarvinen M, Vuori I. Exercise-induced bone gain is due to enlargement in bone size without a change in volumetric bone density: a peripheral quantitative computed tomography study of the upper arms of male tennis players. Bone. 2000;27(3):351–357. doi:10.1016/s8756-3282(00)00331-8</w:t>
      </w:r>
    </w:p>
    <w:p>
      <w:pPr>
        <w:spacing w:after="80" w:line="300" w:lineRule="auto"/>
      </w:pPr>
      <w:r>
        <w:rPr>
          <w:rFonts w:ascii="Times New Roman" w:cs="Times New Roman" w:eastAsia="Times New Roman" w:hAnsi="Times New Roman"/>
          <w:sz w:val="24"/>
          <w:szCs w:val="24"/>
        </w:rPr>
        <w:t xml:space="preserve">8. Peterson MC, Riggs MM. A physiologically based mathematical model of integrated calcium homeostasis and bone remodeling. Bone. 2010;46(1):49–63. doi:10.1016/j.bone.2009.08.053</w:t>
      </w:r>
    </w:p>
    <w:p>
      <w:pPr>
        <w:spacing w:after="80" w:line="300" w:lineRule="auto"/>
      </w:pPr>
      <w:r>
        <w:rPr>
          <w:rFonts w:ascii="Times New Roman" w:cs="Times New Roman" w:eastAsia="Times New Roman" w:hAnsi="Times New Roman"/>
          <w:sz w:val="24"/>
          <w:szCs w:val="24"/>
        </w:rPr>
        <w:t xml:space="preserve">9. Weinbaum S, Cowin SC, Zeng Y. A model for the excitation of osteocytes by mechanical loading-induced bone fluid shear stresses. J Biomech. 1994;27(3):339–360. doi:10.1016/0021-9290(94)90010-8</w:t>
      </w:r>
    </w:p>
    <w:p>
      <w:pPr>
        <w:spacing w:after="80" w:line="300" w:lineRule="auto"/>
      </w:pPr>
      <w:r>
        <w:rPr>
          <w:rFonts w:ascii="Times New Roman" w:cs="Times New Roman" w:eastAsia="Times New Roman" w:hAnsi="Times New Roman"/>
          <w:sz w:val="24"/>
          <w:szCs w:val="24"/>
        </w:rPr>
        <w:t xml:space="preserve">10. Srinivasan S, Weimer DA, Agans SC, Bain SD, Gross TS. Low-magnitude mechanical loading becomes osteogenic when rest is inserted between each load cycle. J Bone Miner Res. 2002;17(9):1613–1620. doi:10.1359/jbmr.2002.17.9.1613</w:t>
      </w:r>
    </w:p>
    <w:p>
      <w:pPr>
        <w:spacing w:after="80" w:line="300" w:lineRule="auto"/>
      </w:pPr>
      <w:r>
        <w:rPr>
          <w:rFonts w:ascii="Times New Roman" w:cs="Times New Roman" w:eastAsia="Times New Roman" w:hAnsi="Times New Roman"/>
          <w:sz w:val="24"/>
          <w:szCs w:val="24"/>
        </w:rPr>
        <w:t xml:space="preserve">11. Hsieh YF, Turner CH. Effects of loading frequency on mechanically induced bone formation. J Bone Miner Res. 2001;16(5):918–924. doi:10.1359/jbmr.2001.16.5.918</w:t>
      </w:r>
    </w:p>
    <w:p>
      <w:pPr>
        <w:spacing w:after="80" w:line="300" w:lineRule="auto"/>
      </w:pPr>
      <w:r>
        <w:rPr>
          <w:rFonts w:ascii="Times New Roman" w:cs="Times New Roman" w:eastAsia="Times New Roman" w:hAnsi="Times New Roman"/>
          <w:sz w:val="24"/>
          <w:szCs w:val="24"/>
        </w:rPr>
        <w:t xml:space="preserve">12. Marques FC, Boaretti D, Walle M, Scheuren AC, Schulte FA, Muller R. Mechanostat parameters estimated from time-lapsed in vivo micro-computed tomography data of mechanically driven bone adaptation are logarithmically dependent on loading frequency. Front Bioeng Biotechnol. 2023;11:1140673. doi:10.3389/fbioe.2023.1140673</w:t>
      </w:r>
    </w:p>
    <w:p>
      <w:pPr>
        <w:spacing w:after="80" w:line="300" w:lineRule="auto"/>
      </w:pPr>
      <w:r>
        <w:rPr>
          <w:rFonts w:ascii="Times New Roman" w:cs="Times New Roman" w:eastAsia="Times New Roman" w:hAnsi="Times New Roman"/>
          <w:sz w:val="24"/>
          <w:szCs w:val="24"/>
        </w:rPr>
        <w:t xml:space="preserve">13. Schulte FA, Marques FC, Griesbach JK, Weigt C, von Salis-Soglio M, Lambers FM, et al. Combined physical and pharmacological anabolic osteoporosis therapies increase bone response and mechanoregulation in female mice. Nat Commun. 2026;17:3759. doi:10.1038/s41467-026-70309-2</w:t>
      </w:r>
    </w:p>
    <w:p>
      <w:pPr>
        <w:spacing w:after="80" w:line="300" w:lineRule="auto"/>
      </w:pPr>
      <w:r>
        <w:rPr>
          <w:rFonts w:ascii="Times New Roman" w:cs="Times New Roman" w:eastAsia="Times New Roman" w:hAnsi="Times New Roman"/>
          <w:sz w:val="24"/>
          <w:szCs w:val="24"/>
        </w:rPr>
        <w:t xml:space="preserve">14. Cosman F, Crittenden DB, Adachi JD, Binkley N, Czerwinski E, Ferrari S, et al. Romosozumab treatment in postmenopausal women with osteoporosis. N Engl J Med. 2016;375(16):1532–1543. doi:10.1056/NEJMoa1607948</w:t>
      </w:r>
    </w:p>
    <w:p>
      <w:pPr>
        <w:spacing w:after="80" w:line="300" w:lineRule="auto"/>
      </w:pPr>
      <w:r>
        <w:rPr>
          <w:rFonts w:ascii="Times New Roman" w:cs="Times New Roman" w:eastAsia="Times New Roman" w:hAnsi="Times New Roman"/>
          <w:sz w:val="24"/>
          <w:szCs w:val="24"/>
        </w:rPr>
        <w:t xml:space="preserve">15. Wijenayaka AR, Kogawa M, Lim HP, Bonewald LF, Findlay DM, Atkins GJ. Sclerostin stimulates osteocyte support of osteoclast activity by a RANKL-dependent pathway. PLoS One. 2011;6(10):e25900. doi:10.1371/journal.pone.0025900</w:t>
      </w:r>
    </w:p>
    <w:p>
      <w:pPr>
        <w:spacing w:after="80" w:line="300" w:lineRule="auto"/>
      </w:pPr>
      <w:r>
        <w:rPr>
          <w:rFonts w:ascii="Times New Roman" w:cs="Times New Roman" w:eastAsia="Times New Roman" w:hAnsi="Times New Roman"/>
          <w:sz w:val="24"/>
          <w:szCs w:val="24"/>
        </w:rPr>
        <w:t xml:space="preserve">16. Currey JD. The effect of porosity and mineral content on the Young's modulus of elasticity of compact bone. J Biomech. 1988;21(2):131–139. doi:10.1016/0021-9290(88)90006-1</w:t>
      </w:r>
    </w:p>
    <w:p>
      <w:pPr>
        <w:spacing w:after="80" w:line="300" w:lineRule="auto"/>
      </w:pPr>
      <w:r>
        <w:rPr>
          <w:rFonts w:ascii="Times New Roman" w:cs="Times New Roman" w:eastAsia="Times New Roman" w:hAnsi="Times New Roman"/>
          <w:sz w:val="24"/>
          <w:szCs w:val="24"/>
        </w:rPr>
        <w:t xml:space="preserve">17. Bayraktar HH, Morgan EF, Niebur GL, Morris GE, Wong EK, Keaveny TM. Comparison of the elastic and yield properties of human femoral trabecular and cortical bone tissue. J Biomech. 2004;37(1):27–35. doi:10.1016/s0021-9290(03)00257-4</w:t>
      </w:r>
    </w:p>
    <w:p>
      <w:pPr>
        <w:spacing w:after="80" w:line="300" w:lineRule="auto"/>
      </w:pPr>
      <w:r>
        <w:rPr>
          <w:rFonts w:ascii="Times New Roman" w:cs="Times New Roman" w:eastAsia="Times New Roman" w:hAnsi="Times New Roman"/>
          <w:sz w:val="24"/>
          <w:szCs w:val="24"/>
        </w:rPr>
        <w:t xml:space="preserve">18. Martin RB. Porosity and specific surface of bone. Crit Rev Biomed Eng. 1984;10(3):179–222.</w:t>
      </w:r>
    </w:p>
    <w:p>
      <w:pPr>
        <w:spacing w:after="80" w:line="300" w:lineRule="auto"/>
      </w:pPr>
      <w:r>
        <w:rPr>
          <w:rFonts w:ascii="Times New Roman" w:cs="Times New Roman" w:eastAsia="Times New Roman" w:hAnsi="Times New Roman"/>
          <w:sz w:val="24"/>
          <w:szCs w:val="24"/>
        </w:rPr>
        <w:t xml:space="preserve">19. Lerebours C, Thomas CDL, Clement JG, Buenzli PR, Pivonka P. The relationship between porosity and specific surface in human cortical bone is subject specific. Bone. 2015;72:109–117. doi:10.1016/j.bone.2014.11.016</w:t>
      </w:r>
    </w:p>
    <w:p>
      <w:pPr>
        <w:spacing w:after="80" w:line="300" w:lineRule="auto"/>
      </w:pPr>
      <w:r>
        <w:rPr>
          <w:rFonts w:ascii="Times New Roman" w:cs="Times New Roman" w:eastAsia="Times New Roman" w:hAnsi="Times New Roman"/>
          <w:sz w:val="24"/>
          <w:szCs w:val="24"/>
        </w:rPr>
        <w:t xml:space="preserve">20. Morgan EF, Keaveny TM. Dependence of yield strain of human trabecular bone on anatomic site. J Biomech. 2001;34(5):569–577.</w:t>
      </w:r>
    </w:p>
    <w:p>
      <w:pPr>
        <w:spacing w:after="80" w:line="300" w:lineRule="auto"/>
      </w:pPr>
      <w:r>
        <w:rPr>
          <w:rFonts w:ascii="Times New Roman" w:cs="Times New Roman" w:eastAsia="Times New Roman" w:hAnsi="Times New Roman"/>
          <w:sz w:val="24"/>
          <w:szCs w:val="24"/>
        </w:rPr>
        <w:t xml:space="preserve">21. Yang H, Embry RE, Main RP. Effects of loading duration and short rest insertion on cancellous and cortical bone adaptation in the mouse tibia. PLoS One. 2017;12(1):e0169601.</w:t>
      </w:r>
    </w:p>
    <w:p>
      <w:pPr>
        <w:spacing w:after="80" w:line="300" w:lineRule="auto"/>
      </w:pPr>
      <w:r>
        <w:rPr>
          <w:rFonts w:ascii="Times New Roman" w:cs="Times New Roman" w:eastAsia="Times New Roman" w:hAnsi="Times New Roman"/>
          <w:sz w:val="24"/>
          <w:szCs w:val="24"/>
        </w:rPr>
        <w:t xml:space="preserve">22. Li X, Han L, Nookaew I, Mannen E, Silva MJ, Almeida M, et al. Stimulation of Piezo1 by mechanical signals promotes bone anabolism. eLife. 2019;8:e49631.</w:t>
      </w:r>
    </w:p>
    <w:p>
      <w:pPr>
        <w:spacing w:after="80" w:line="300" w:lineRule="auto"/>
      </w:pPr>
      <w:r>
        <w:rPr>
          <w:rFonts w:ascii="Times New Roman" w:cs="Times New Roman" w:eastAsia="Times New Roman" w:hAnsi="Times New Roman"/>
          <w:sz w:val="24"/>
          <w:szCs w:val="24"/>
        </w:rPr>
        <w:t xml:space="preserve">23. McClung MR, Brown JP, Diez-Perez A, Resch H, Caminis J, Meisner P, et al. Effects of 24 months of treatment with romosozumab followed by 12 months of denosumab or placebo in postmenopausal women with low bone mineral density: a randomized, double-blind, phase 2, parallel group study. J Bone Miner Res. 2018;33(8):1397-1406.</w:t>
      </w:r>
    </w:p>
    <w:p>
      <w:pPr>
        <w:spacing w:after="80" w:line="300" w:lineRule="auto"/>
      </w:pPr>
      <w:r>
        <w:rPr>
          <w:rFonts w:ascii="Times New Roman" w:cs="Times New Roman" w:eastAsia="Times New Roman" w:hAnsi="Times New Roman"/>
          <w:sz w:val="24"/>
          <w:szCs w:val="24"/>
        </w:rPr>
        <w:t xml:space="preserve">24. Spatz JM, Fields EE, Yu EW, Divieti Pajevic P, Bouxsein ML, Sibonga JD, et al. Serum sclerostin increases in healthy adult men during bed rest. J Clin Endocrinol Metab. 2012;97(9):E1736-40.</w:t>
      </w:r>
    </w:p>
    <w:p>
      <w:pPr>
        <w:spacing w:after="80" w:line="300" w:lineRule="auto"/>
      </w:pPr>
      <w:r>
        <w:rPr>
          <w:rFonts w:ascii="Times New Roman" w:cs="Times New Roman" w:eastAsia="Times New Roman" w:hAnsi="Times New Roman"/>
          <w:sz w:val="24"/>
          <w:szCs w:val="24"/>
        </w:rPr>
        <w:t xml:space="preserve">25. Parfitt AM. Misconceptions (2): turnover is always higher in cancellous than in cortical bone. Bone. 2002;30(6):807-809.</w:t>
      </w:r>
    </w:p>
    <w:p>
      <w:pPr>
        <w:spacing w:after="80" w:line="300" w:lineRule="auto"/>
      </w:pPr>
      <w:r>
        <w:rPr>
          <w:rFonts w:ascii="Times New Roman" w:cs="Times New Roman" w:eastAsia="Times New Roman" w:hAnsi="Times New Roman"/>
          <w:sz w:val="24"/>
          <w:szCs w:val="24"/>
        </w:rPr>
        <w:t xml:space="preserve">26. Basso N, Heersche JNM. Effects of hind limb unloading and reloading on nitric oxide synthase expression and apoptosis of osteocytes and chondrocytes. Bone. 2006;39(4):807-814. doi:10.1016/j.bone.2006.04.014</w:t>
      </w:r>
    </w:p>
    <w:p>
      <w:pPr>
        <w:spacing w:after="80" w:line="300" w:lineRule="auto"/>
      </w:pPr>
      <w:r>
        <w:rPr>
          <w:rFonts w:ascii="Times New Roman" w:cs="Times New Roman" w:eastAsia="Times New Roman" w:hAnsi="Times New Roman"/>
          <w:sz w:val="24"/>
          <w:szCs w:val="24"/>
        </w:rPr>
        <w:t xml:space="preserve">27. Plotkin LI, Gortazar AR, Davis HM, Condon KW, Gabilondo H, Maycas M, et al. Inhibition of osteocyte apoptosis prevents the increase in osteocytic receptor activator of nuclear factor κB ligand (RANKL) but does not stop bone resorption or the loss of bone induced by unloading. J Biol Chem. 2015;290(31):18934-18942. doi:10.1074/jbc.M115.642090</w:t>
      </w:r>
    </w:p>
    <w:p>
      <w:pPr>
        <w:spacing w:after="80" w:line="300" w:lineRule="auto"/>
      </w:pPr>
      <w:r>
        <w:rPr>
          <w:rFonts w:ascii="Times New Roman" w:cs="Times New Roman" w:eastAsia="Times New Roman" w:hAnsi="Times New Roman"/>
          <w:sz w:val="24"/>
          <w:szCs w:val="24"/>
        </w:rPr>
        <w:t xml:space="preserve">28. Buenzli PR, Sims NA. Quantifying the osteocyte network in the human skeleton. Bone. 2015;75:144-150. doi:10.1016/j.bone.2015.02.016</w:t>
      </w:r>
    </w:p>
    <w:p>
      <w:pPr>
        <w:spacing w:after="80" w:line="300" w:lineRule="auto"/>
      </w:pPr>
      <w:r>
        <w:rPr>
          <w:rFonts w:ascii="Times New Roman" w:cs="Times New Roman" w:eastAsia="Times New Roman" w:hAnsi="Times New Roman"/>
          <w:sz w:val="24"/>
          <w:szCs w:val="24"/>
        </w:rPr>
        <w:t xml:space="preserve">29. Rolvien T, Milovanovic P, Schmidt FN, von Kroge S, Wölfel EM, Krause M, et al. Long-term immobilization in elderly females causes a specific pattern of cortical bone and osteocyte deterioration different from postmenopausal osteoporosis. J Bone Miner Res. 2020;35(7):1343-1351. doi:10.1002/jbmr.3970</w:t>
      </w:r>
    </w:p>
    <w:p>
      <w:pPr>
        <w:spacing w:after="120" w:line="480" w:lineRule="auto"/>
      </w:pPr>
      <w:r>
        <w:rPr>
          <w:rFonts w:ascii="Times New Roman" w:cs="Times New Roman" w:eastAsia="Times New Roman" w:hAnsi="Times New Roman"/>
          <w:i/>
          <w:iCs/>
          <w:sz w:val="24"/>
          <w:szCs w:val="24"/>
        </w:rPr>
        <w:t xml:space="preserve">All 22 references were verified against PubMed or, for the engineering title PubMed does not index (reference 2), against Semantic Scholar/Scopus and the publisher record, on 2026-07-26. Verification detail is in references_verified.md.</w:t>
      </w:r>
    </w:p>
    <w:p>
      <w:pPr>
        <w:pStyle w:val="Heading1"/>
        <w:spacing w:after="160" w:before="360" w:line="360" w:lineRule="auto"/>
      </w:pPr>
      <w:r>
        <w:rPr>
          <w:rFonts w:ascii="Times New Roman" w:cs="Times New Roman" w:eastAsia="Times New Roman" w:hAnsi="Times New Roman"/>
          <w:b/>
          <w:bCs/>
          <w:sz w:val="28"/>
          <w:szCs w:val="28"/>
        </w:rPr>
        <w:t xml:space="preserve">Declarations</w:t>
      </w:r>
    </w:p>
    <w:p>
      <w:pPr>
        <w:spacing w:after="120" w:line="480" w:lineRule="auto"/>
      </w:pPr>
      <w:r>
        <w:rPr>
          <w:rFonts w:ascii="Times New Roman" w:cs="Times New Roman" w:eastAsia="Times New Roman" w:hAnsi="Times New Roman"/>
          <w:b/>
          <w:bCs/>
          <w:sz w:val="24"/>
          <w:szCs w:val="24"/>
        </w:rPr>
        <w:t xml:space="preserve">Data availability.</w:t>
      </w:r>
      <w:r>
        <w:rPr>
          <w:rFonts w:ascii="Times New Roman" w:cs="Times New Roman" w:eastAsia="Times New Roman" w:hAnsi="Times New Roman"/>
          <w:sz w:val="24"/>
          <w:szCs w:val="24"/>
        </w:rPr>
        <w:t xml:space="preserve"> All model code, parameter tables, validation target definitions, experiment scripts and the automated test suite are deposited at https://github.com/myhsieh1002/bone-mechanostat and archived on Zenodo (concept DOI 10.5281/zenodo.21592303; this version 10.5281/zenodo.21784609). No empirical data were generated; all validation targets are drawn from published literature and are listed with sources in S2 Table.</w:t>
      </w:r>
    </w:p>
    <w:p>
      <w:pPr>
        <w:spacing w:after="120" w:line="480" w:lineRule="auto"/>
      </w:pPr>
      <w:r>
        <w:rPr>
          <w:rFonts w:ascii="Times New Roman" w:cs="Times New Roman" w:eastAsia="Times New Roman" w:hAnsi="Times New Roman"/>
          <w:b/>
          <w:bCs/>
          <w:sz w:val="24"/>
          <w:szCs w:val="24"/>
        </w:rPr>
        <w:t xml:space="preserve">Author contributions.</w:t>
      </w:r>
      <w:r>
        <w:rPr>
          <w:rFonts w:ascii="Times New Roman" w:cs="Times New Roman" w:eastAsia="Times New Roman" w:hAnsi="Times New Roman"/>
          <w:sz w:val="24"/>
          <w:szCs w:val="24"/>
        </w:rPr>
        <w:t xml:space="preserve"> PLOS collects contributions through the submission system using the CRediT taxonomy; this statement mirrors what is entered there. Hsiang-Lin Lee: Conceptualization; Investigation; Supervision; Validation; Writing – review &amp; editing. Tzu-Ling Wang: Data curation; Investigation; Resources; Writing – review &amp; editing. Ming-Yu Hsieh: Conceptualization; Data curation; Formal analysis; Investigation; Methodology; Project administration; Software; Validation; Visualization; Writing – original draft; Writing – review &amp; editing.</w:t>
      </w:r>
    </w:p>
    <w:p>
      <w:pPr>
        <w:spacing w:after="120" w:line="480" w:lineRule="auto"/>
      </w:pPr>
      <w:r>
        <w:rPr>
          <w:rFonts w:ascii="Times New Roman" w:cs="Times New Roman" w:eastAsia="Times New Roman" w:hAnsi="Times New Roman"/>
          <w:b/>
          <w:bCs/>
          <w:sz w:val="24"/>
          <w:szCs w:val="24"/>
        </w:rPr>
        <w:t xml:space="preserve">Funding.</w:t>
      </w:r>
      <w:r>
        <w:rPr>
          <w:rFonts w:ascii="Times New Roman" w:cs="Times New Roman" w:eastAsia="Times New Roman" w:hAnsi="Times New Roman"/>
          <w:sz w:val="24"/>
          <w:szCs w:val="24"/>
        </w:rPr>
        <w:t xml:space="preserve"> The authors received no funding for this work.</w:t>
      </w:r>
    </w:p>
    <w:p>
      <w:pPr>
        <w:spacing w:after="120" w:line="480" w:lineRule="auto"/>
      </w:pPr>
      <w:r>
        <w:rPr>
          <w:rFonts w:ascii="Times New Roman" w:cs="Times New Roman" w:eastAsia="Times New Roman" w:hAnsi="Times New Roman"/>
          <w:b/>
          <w:bCs/>
          <w:sz w:val="24"/>
          <w:szCs w:val="24"/>
        </w:rPr>
        <w:t xml:space="preserve">Competing interests.</w:t>
      </w:r>
      <w:r>
        <w:rPr>
          <w:rFonts w:ascii="Times New Roman" w:cs="Times New Roman" w:eastAsia="Times New Roman" w:hAnsi="Times New Roman"/>
          <w:sz w:val="24"/>
          <w:szCs w:val="24"/>
        </w:rPr>
        <w:t xml:space="preserve"> The authors declare no competing interests.</w:t>
      </w:r>
    </w:p>
    <w:p>
      <w:pPr>
        <w:spacing w:after="120" w:line="480" w:lineRule="auto"/>
      </w:pPr>
      <w:r>
        <w:rPr>
          <w:rFonts w:ascii="Times New Roman" w:cs="Times New Roman" w:eastAsia="Times New Roman" w:hAnsi="Times New Roman"/>
          <w:b/>
          <w:bCs/>
          <w:sz w:val="24"/>
          <w:szCs w:val="24"/>
        </w:rPr>
        <w:t xml:space="preserve">Ethics.</w:t>
      </w:r>
      <w:r>
        <w:rPr>
          <w:rFonts w:ascii="Times New Roman" w:cs="Times New Roman" w:eastAsia="Times New Roman" w:hAnsi="Times New Roman"/>
          <w:sz w:val="24"/>
          <w:szCs w:val="24"/>
        </w:rPr>
        <w:t xml:space="preserve"> This is a purely computational study involving no human or animal subjects and requiring no institutional review board approval.</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fluid shear to sclerostin</dc:title>
  <dc:creator>Ming-Yu Hsieh</dc:creator>
  <cp:lastModifiedBy>Un-named</cp:lastModifiedBy>
  <cp:revision>1</cp:revision>
  <dcterms:created xsi:type="dcterms:W3CDTF">2026-08-04T05:01:32.661Z</dcterms:created>
  <dcterms:modified xsi:type="dcterms:W3CDTF">2026-08-04T05:01:32.662Z</dcterms:modified>
</cp:coreProperties>
</file>

<file path=docProps/custom.xml><?xml version="1.0" encoding="utf-8"?>
<Properties xmlns="http://schemas.openxmlformats.org/officeDocument/2006/custom-properties" xmlns:vt="http://schemas.openxmlformats.org/officeDocument/2006/docPropsVTypes"/>
</file>