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left"/>
      </w:pPr>
      <w:r>
        <w:rPr>
          <w:rFonts w:ascii="PingFang TC" w:cs="PingFang TC" w:eastAsia="PingFang TC" w:hAnsi="PingFang TC"/>
          <w:b/>
          <w:bCs/>
          <w:sz w:val="32"/>
          <w:szCs w:val="32"/>
        </w:rPr>
        <w:t xml:space="preserve">從流體剪應力到硬化蛋白：一個力學傳導解析的骨適應多尺度模型，以及它所否證的</w:t>
      </w:r>
    </w:p>
    <w:p>
      <w:pPr>
        <w:spacing w:after="120" w:line="480" w:lineRule="auto"/>
      </w:pPr>
      <w:r>
        <w:rPr>
          <w:rFonts w:ascii="PingFang TC" w:cs="PingFang TC" w:eastAsia="PingFang TC" w:hAnsi="PingFang TC"/>
          <w:b/>
          <w:bCs/>
          <w:sz w:val="24"/>
          <w:szCs w:val="24"/>
        </w:rPr>
        <w:t xml:space="preserve">Short title（短標題）：</w:t>
      </w:r>
      <w:r>
        <w:rPr>
          <w:rFonts w:ascii="PingFang TC" w:cs="PingFang TC" w:eastAsia="PingFang TC" w:hAnsi="PingFang TC"/>
          <w:sz w:val="24"/>
          <w:szCs w:val="24"/>
        </w:rPr>
        <w:t xml:space="preserve"> A mechanotransduction-resolved multiscale model of bone adaptation</w:t>
      </w:r>
    </w:p>
    <w:p>
      <w:pPr>
        <w:spacing w:after="100" w:line="360" w:lineRule="auto"/>
        <w:ind w:left="400"/>
      </w:pPr>
      <w:r>
        <w:rPr>
          <w:rFonts w:ascii="PingFang TC" w:cs="PingFang TC" w:eastAsia="PingFang TC" w:hAnsi="PingFang TC"/>
          <w:b/>
          <w:bCs/>
          <w:sz w:val="24"/>
          <w:szCs w:val="24"/>
        </w:rPr>
        <w:t xml:space="preserve">中文校稿版。</w:t>
      </w:r>
      <w:r>
        <w:rPr>
          <w:rFonts w:ascii="PingFang TC" w:cs="PingFang TC" w:eastAsia="PingFang TC" w:hAnsi="PingFang TC"/>
          <w:sz w:val="24"/>
          <w:szCs w:val="24"/>
        </w:rPr>
        <w:t xml:space="preserve"> 與 </w:t>
      </w:r>
      <w:r>
        <w:rPr>
          <w:rFonts w:ascii="Courier New" w:cs="Courier New" w:eastAsia="Courier New" w:hAnsi="Courier New"/>
          <w:sz w:val="24"/>
          <w:szCs w:val="24"/>
        </w:rPr>
        <w:t xml:space="preserve">manuscript.md</w:t>
      </w:r>
      <w:r>
        <w:rPr>
          <w:rFonts w:ascii="PingFang TC" w:cs="PingFang TC" w:eastAsia="PingFang TC" w:hAnsi="PingFang TC"/>
          <w:sz w:val="24"/>
          <w:szCs w:val="24"/>
        </w:rPr>
        <w:t xml:space="preserve"> / </w:t>
      </w:r>
      <w:r>
        <w:rPr>
          <w:rFonts w:ascii="Courier New" w:cs="Courier New" w:eastAsia="Courier New" w:hAnsi="Courier New"/>
          <w:sz w:val="24"/>
          <w:szCs w:val="24"/>
        </w:rPr>
        <w:t xml:space="preserve">manuscript.docx</w:t>
      </w:r>
      <w:r>
        <w:rPr>
          <w:rFonts w:ascii="PingFang TC" w:cs="PingFang TC" w:eastAsia="PingFang TC" w:hAnsi="PingFang TC"/>
          <w:sz w:val="24"/>
          <w:szCs w:val="24"/>
        </w:rPr>
        <w:t xml:space="preserve"> 逐段對應，供內容校對用，</w:t>
      </w:r>
      <w:r>
        <w:rPr>
          <w:rFonts w:ascii="PingFang TC" w:cs="PingFang TC" w:eastAsia="PingFang TC" w:hAnsi="PingFang TC"/>
          <w:b/>
          <w:bCs/>
          <w:sz w:val="24"/>
          <w:szCs w:val="24"/>
        </w:rPr>
        <w:t xml:space="preserve">非投稿檔案</w:t>
      </w:r>
      <w:r>
        <w:rPr>
          <w:rFonts w:ascii="PingFang TC" w:cs="PingFang TC" w:eastAsia="PingFang TC" w:hAnsi="PingFang TC"/>
          <w:sz w:val="24"/>
          <w:szCs w:val="24"/>
        </w:rPr>
        <w:t xml:space="preserve">。</w:t>
      </w:r>
    </w:p>
    <w:p>
      <w:pPr>
        <w:spacing w:after="100" w:line="360" w:lineRule="auto"/>
        <w:ind w:left="400"/>
      </w:pPr>
      <w:r>
        <w:rPr>
          <w:rFonts w:ascii="PingFang TC" w:cs="PingFang TC" w:eastAsia="PingFang TC" w:hAnsi="PingFang TC"/>
          <w:sz w:val="24"/>
          <w:szCs w:val="24"/>
        </w:rPr>
        <w:t xml:space="preserve">所有數值與英文版完全一致；關鍵術語首次出現時以括號附原文，方便比對。</w:t>
      </w:r>
    </w:p>
    <w:p>
      <w:pPr>
        <w:spacing w:after="100" w:line="360" w:lineRule="auto"/>
        <w:ind w:left="400"/>
      </w:pPr>
      <w:r>
        <w:rPr>
          <w:rFonts w:ascii="PingFang TC" w:cs="PingFang TC" w:eastAsia="PingFang TC" w:hAnsi="PingFang TC"/>
          <w:sz w:val="24"/>
          <w:szCs w:val="24"/>
        </w:rPr>
        <w:t xml:space="preserve">參考文獻依慣例不翻譯。</w:t>
      </w:r>
    </w:p>
    <w:p>
      <w:pPr>
        <w:spacing w:after="120" w:line="480" w:lineRule="auto"/>
      </w:pPr>
      <w:r>
        <w:rPr>
          <w:rFonts w:ascii="PingFang TC" w:cs="PingFang TC" w:eastAsia="PingFang TC" w:hAnsi="PingFang TC"/>
          <w:b/>
          <w:bCs/>
          <w:sz w:val="24"/>
          <w:szCs w:val="24"/>
        </w:rPr>
        <w:t xml:space="preserve">Hsiang-Lin Lee</w:t>
      </w:r>
      <w:r>
        <w:rPr>
          <w:rFonts w:ascii="PingFang TC" w:cs="PingFang TC" w:eastAsia="PingFang TC" w:hAnsi="PingFang TC"/>
          <w:sz w:val="24"/>
          <w:szCs w:val="24"/>
          <w:vertAlign w:val="superscript"/>
        </w:rPr>
        <w:t xml:space="preserve">1,2</w:t>
      </w:r>
      <w:r>
        <w:rPr>
          <w:rFonts w:ascii="PingFang TC" w:cs="PingFang TC" w:eastAsia="PingFang TC" w:hAnsi="PingFang TC"/>
          <w:sz w:val="24"/>
          <w:szCs w:val="24"/>
        </w:rPr>
        <w:t xml:space="preserve">、</w:t>
      </w:r>
      <w:r>
        <w:rPr>
          <w:rFonts w:ascii="PingFang TC" w:cs="PingFang TC" w:eastAsia="PingFang TC" w:hAnsi="PingFang TC"/>
          <w:b/>
          <w:bCs/>
          <w:sz w:val="24"/>
          <w:szCs w:val="24"/>
        </w:rPr>
        <w:t xml:space="preserve">Tzu-Ling Wang</w:t>
      </w:r>
      <w:r>
        <w:rPr>
          <w:rFonts w:ascii="PingFang TC" w:cs="PingFang TC" w:eastAsia="PingFang TC" w:hAnsi="PingFang TC"/>
          <w:sz w:val="24"/>
          <w:szCs w:val="24"/>
          <w:vertAlign w:val="superscript"/>
        </w:rPr>
        <w:t xml:space="preserve">3</w:t>
      </w:r>
      <w:r>
        <w:rPr>
          <w:rFonts w:ascii="PingFang TC" w:cs="PingFang TC" w:eastAsia="PingFang TC" w:hAnsi="PingFang TC"/>
          <w:sz w:val="24"/>
          <w:szCs w:val="24"/>
        </w:rPr>
        <w:t xml:space="preserve">、</w:t>
      </w:r>
      <w:r>
        <w:rPr>
          <w:rFonts w:ascii="PingFang TC" w:cs="PingFang TC" w:eastAsia="PingFang TC" w:hAnsi="PingFang TC"/>
          <w:b/>
          <w:bCs/>
          <w:sz w:val="24"/>
          <w:szCs w:val="24"/>
        </w:rPr>
        <w:t xml:space="preserve">Ming-Yu Hsieh</w:t>
      </w:r>
      <w:r>
        <w:rPr>
          <w:rFonts w:ascii="PingFang TC" w:cs="PingFang TC" w:eastAsia="PingFang TC" w:hAnsi="PingFang TC"/>
          <w:sz w:val="24"/>
          <w:szCs w:val="24"/>
          <w:vertAlign w:val="superscript"/>
        </w:rPr>
        <w:t xml:space="preserve">4,5,6</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sz w:val="24"/>
          <w:szCs w:val="24"/>
          <w:vertAlign w:val="superscript"/>
        </w:rPr>
        <w:t xml:space="preserve">1</w:t>
      </w:r>
      <w:r>
        <w:rPr>
          <w:rFonts w:ascii="PingFang TC" w:cs="PingFang TC" w:eastAsia="PingFang TC" w:hAnsi="PingFang TC"/>
          <w:sz w:val="24"/>
          <w:szCs w:val="24"/>
        </w:rPr>
        <w:t xml:space="preserve"> 中山醫學大學醫學研究所</w:t>
      </w:r>
    </w:p>
    <w:p>
      <w:pPr>
        <w:spacing w:after="120" w:line="480" w:lineRule="auto"/>
      </w:pPr>
      <w:r>
        <w:rPr>
          <w:rFonts w:ascii="PingFang TC" w:cs="PingFang TC" w:eastAsia="PingFang TC" w:hAnsi="PingFang TC"/>
          <w:sz w:val="24"/>
          <w:szCs w:val="24"/>
          <w:vertAlign w:val="superscript"/>
        </w:rPr>
        <w:t xml:space="preserve">2</w:t>
      </w:r>
      <w:r>
        <w:rPr>
          <w:rFonts w:ascii="PingFang TC" w:cs="PingFang TC" w:eastAsia="PingFang TC" w:hAnsi="PingFang TC"/>
          <w:sz w:val="24"/>
          <w:szCs w:val="24"/>
        </w:rPr>
        <w:t xml:space="preserve"> 中山醫學大學附設醫院外科部</w:t>
      </w:r>
    </w:p>
    <w:p>
      <w:pPr>
        <w:spacing w:after="120" w:line="480" w:lineRule="auto"/>
      </w:pPr>
      <w:r>
        <w:rPr>
          <w:rFonts w:ascii="PingFang TC" w:cs="PingFang TC" w:eastAsia="PingFang TC" w:hAnsi="PingFang TC"/>
          <w:sz w:val="24"/>
          <w:szCs w:val="24"/>
          <w:vertAlign w:val="superscript"/>
        </w:rPr>
        <w:t xml:space="preserve">3</w:t>
      </w:r>
      <w:r>
        <w:rPr>
          <w:rFonts w:ascii="PingFang TC" w:cs="PingFang TC" w:eastAsia="PingFang TC" w:hAnsi="PingFang TC"/>
          <w:sz w:val="24"/>
          <w:szCs w:val="24"/>
        </w:rPr>
        <w:t xml:space="preserve"> 中山醫學大學護理學系</w:t>
      </w:r>
    </w:p>
    <w:p>
      <w:pPr>
        <w:spacing w:after="120" w:line="480" w:lineRule="auto"/>
      </w:pPr>
      <w:r>
        <w:rPr>
          <w:rFonts w:ascii="PingFang TC" w:cs="PingFang TC" w:eastAsia="PingFang TC" w:hAnsi="PingFang TC"/>
          <w:sz w:val="24"/>
          <w:szCs w:val="24"/>
          <w:vertAlign w:val="superscript"/>
        </w:rPr>
        <w:t xml:space="preserve">4</w:t>
      </w:r>
      <w:r>
        <w:rPr>
          <w:rFonts w:ascii="PingFang TC" w:cs="PingFang TC" w:eastAsia="PingFang TC" w:hAnsi="PingFang TC"/>
          <w:sz w:val="24"/>
          <w:szCs w:val="24"/>
        </w:rPr>
        <w:t xml:space="preserve"> 中山醫學大學醫學系</w:t>
      </w:r>
    </w:p>
    <w:p>
      <w:pPr>
        <w:spacing w:after="120" w:line="480" w:lineRule="auto"/>
      </w:pPr>
      <w:r>
        <w:rPr>
          <w:rFonts w:ascii="PingFang TC" w:cs="PingFang TC" w:eastAsia="PingFang TC" w:hAnsi="PingFang TC"/>
          <w:sz w:val="24"/>
          <w:szCs w:val="24"/>
          <w:vertAlign w:val="superscript"/>
        </w:rPr>
        <w:t xml:space="preserve">5</w:t>
      </w:r>
      <w:r>
        <w:rPr>
          <w:rFonts w:ascii="PingFang TC" w:cs="PingFang TC" w:eastAsia="PingFang TC" w:hAnsi="PingFang TC"/>
          <w:sz w:val="24"/>
          <w:szCs w:val="24"/>
        </w:rPr>
        <w:t xml:space="preserve"> 中山醫學大學附設醫院小兒外科</w:t>
      </w:r>
    </w:p>
    <w:p>
      <w:pPr>
        <w:spacing w:after="120" w:line="480" w:lineRule="auto"/>
      </w:pPr>
      <w:r>
        <w:rPr>
          <w:rFonts w:ascii="PingFang TC" w:cs="PingFang TC" w:eastAsia="PingFang TC" w:hAnsi="PingFang TC"/>
          <w:sz w:val="24"/>
          <w:szCs w:val="24"/>
          <w:vertAlign w:val="superscript"/>
        </w:rPr>
        <w:t xml:space="preserve">6</w:t>
      </w:r>
      <w:r>
        <w:rPr>
          <w:rFonts w:ascii="PingFang TC" w:cs="PingFang TC" w:eastAsia="PingFang TC" w:hAnsi="PingFang TC"/>
          <w:sz w:val="24"/>
          <w:szCs w:val="24"/>
        </w:rPr>
        <w:t xml:space="preserve"> 中山醫學大學附設醫院實證醫學中心</w:t>
      </w:r>
    </w:p>
    <w:p>
      <w:pPr>
        <w:spacing w:after="120" w:line="480" w:lineRule="auto"/>
      </w:pPr>
      <w:r>
        <w:rPr>
          <w:rFonts w:ascii="PingFang TC" w:cs="PingFang TC" w:eastAsia="PingFang TC" w:hAnsi="PingFang TC"/>
          <w:sz w:val="24"/>
          <w:szCs w:val="24"/>
        </w:rPr>
        <w:t xml:space="preserve">* 通訊作者：cshy1392@csh.org.tw</w:t>
      </w:r>
    </w:p>
    <w:p>
      <w:pPr>
        <w:spacing w:after="120" w:line="480" w:lineRule="auto"/>
      </w:pPr>
      <w:r>
        <w:rPr>
          <w:rFonts w:ascii="PingFang TC" w:cs="PingFang TC" w:eastAsia="PingFang TC" w:hAnsi="PingFang TC"/>
          <w:sz w:val="24"/>
          <w:szCs w:val="24"/>
        </w:rPr>
        <w:t xml:space="preserve">ORCID —— Hsiang-Lin Lee：0000-0003-1422-1042 · Tzu-Ling Wang：0000-0003-3520-0531 · Ming-Yu Hsieh：0000-0002-5797-3474</w:t>
      </w:r>
    </w:p>
    <w:p>
      <w:pPr>
        <w:pStyle w:val="Heading1"/>
        <w:spacing w:after="160" w:before="360" w:line="360" w:lineRule="auto"/>
      </w:pPr>
      <w:r>
        <w:rPr>
          <w:rFonts w:ascii="PingFang TC" w:cs="PingFang TC" w:eastAsia="PingFang TC" w:hAnsi="PingFang TC"/>
          <w:b/>
          <w:bCs/>
          <w:sz w:val="28"/>
          <w:szCs w:val="28"/>
        </w:rPr>
        <w:t xml:space="preserve">作者摘要（Author summary）</w:t>
      </w:r>
    </w:p>
    <w:p>
      <w:pPr>
        <w:spacing w:after="120" w:line="480" w:lineRule="auto"/>
      </w:pPr>
      <w:r>
        <w:rPr>
          <w:rFonts w:ascii="PingFang TC" w:cs="PingFang TC" w:eastAsia="PingFang TC" w:hAnsi="PingFang TC"/>
          <w:sz w:val="24"/>
          <w:szCs w:val="24"/>
        </w:rPr>
        <w:t xml:space="preserve">骨骼會因應施加其上的力而適應。一般會提到兩個要素：鈣，是骨骼建造的材料；以及機械負荷，是告訴骨骼「該在哪裡建造」的訊號。臨床工作者與病人常把這兩者當成可以互換的槓桿，但它們不是同一類東西——而且從來沒有一個計算模型能把兩者放進同一個架構裡比較，因為描述骨細胞如何感測力的模型止於骨密度之前，而預測骨密度的模型裡沒有真正的力。</w:t>
      </w:r>
    </w:p>
    <w:p>
      <w:pPr>
        <w:spacing w:after="120" w:line="480" w:lineRule="auto"/>
      </w:pPr>
      <w:r>
        <w:rPr>
          <w:rFonts w:ascii="PingFang TC" w:cs="PingFang TC" w:eastAsia="PingFang TC" w:hAnsi="PingFang TC"/>
          <w:sz w:val="24"/>
          <w:szCs w:val="24"/>
        </w:rPr>
        <w:t xml:space="preserve">我們把兩端接起來了。本模型追蹤一個負荷的完整路徑：從整根骨的彎曲，經過被擠壓流過骨內細胞的液體，經過這些細胞開啟的離子通道，經過它們釋放的分子訊號，到增添與移除骨質的細胞族群，最後到臨床掃描所測得的密度。因為這條鏈是不中斷的，我們得以提出兩端各自都無法回答的問題。</w:t>
      </w:r>
    </w:p>
    <w:p>
      <w:pPr>
        <w:spacing w:after="120" w:line="480" w:lineRule="auto"/>
      </w:pPr>
      <w:r>
        <w:rPr>
          <w:rFonts w:ascii="PingFang TC" w:cs="PingFang TC" w:eastAsia="PingFang TC" w:hAnsi="PingFang TC"/>
          <w:sz w:val="24"/>
          <w:szCs w:val="24"/>
        </w:rPr>
        <w:t xml:space="preserve">三個結果值得注意。負荷提升骨量的幅度約為鈣的十倍，</w:t>
      </w:r>
      <w:r>
        <w:rPr>
          <w:rFonts w:ascii="PingFang TC" w:cs="PingFang TC" w:eastAsia="PingFang TC" w:hAnsi="PingFang TC"/>
          <w:b/>
          <w:bCs/>
          <w:sz w:val="24"/>
          <w:szCs w:val="24"/>
        </w:rPr>
        <w:t xml:space="preserve">但前提是負荷強度與測量方式都被精確陳述</w:t>
      </w:r>
      <w:r>
        <w:rPr>
          <w:rFonts w:ascii="PingFang TC" w:cs="PingFang TC" w:eastAsia="PingFang TC" w:hAnsi="PingFang TC"/>
          <w:sz w:val="24"/>
          <w:szCs w:val="24"/>
        </w:rPr>
        <w:t xml:space="preserve">——同一個模型在不同度量下會給出相反的答案，這對這類主張該如何報告是一個警訊。純粹的局部負荷能產生網球選手身上所見的左右不對稱，而任何全身性治療都無法模仿。而我們自己的起始假說——骨質疏鬆是骨骼可能落入且爬不出來的第二個穩態——在此架構下是錯的：模型完全恢復了。不可逆性必然來自本模型尚未涵蓋的結構性損傷。</w:t>
      </w:r>
    </w:p>
    <w:p>
      <w:pPr>
        <w:pStyle w:val="Heading1"/>
        <w:spacing w:after="160" w:before="360" w:line="360" w:lineRule="auto"/>
      </w:pPr>
      <w:r>
        <w:rPr>
          <w:rFonts w:ascii="PingFang TC" w:cs="PingFang TC" w:eastAsia="PingFang TC" w:hAnsi="PingFang TC"/>
          <w:b/>
          <w:bCs/>
          <w:sz w:val="28"/>
          <w:szCs w:val="28"/>
        </w:rPr>
        <w:t xml:space="preserve">摘要（Abstract）</w:t>
      </w:r>
    </w:p>
    <w:p>
      <w:pPr>
        <w:spacing w:after="120" w:line="480" w:lineRule="auto"/>
      </w:pPr>
      <w:r>
        <w:rPr>
          <w:rFonts w:ascii="PingFang TC" w:cs="PingFang TC" w:eastAsia="PingFang TC" w:hAnsi="PingFang TC"/>
          <w:b/>
          <w:bCs/>
          <w:sz w:val="24"/>
          <w:szCs w:val="24"/>
        </w:rPr>
        <w:t xml:space="preserve">背景。</w:t>
      </w:r>
      <w:r>
        <w:rPr>
          <w:rFonts w:ascii="PingFang TC" w:cs="PingFang TC" w:eastAsia="PingFang TC" w:hAnsi="PingFang TC"/>
          <w:sz w:val="24"/>
          <w:szCs w:val="24"/>
        </w:rPr>
        <w:t xml:space="preserve"> 機械負荷與鈣的可得性是骨骼健康最常被提及的兩個槓桿，但沒有任何模型能將兩者相互權衡，因為力學傳導模型止於骨細胞，而骨重塑模型裡沒有力學。</w:t>
      </w:r>
    </w:p>
    <w:p>
      <w:pPr>
        <w:spacing w:after="120" w:line="480" w:lineRule="auto"/>
      </w:pPr>
      <w:r>
        <w:rPr>
          <w:rFonts w:ascii="PingFang TC" w:cs="PingFang TC" w:eastAsia="PingFang TC" w:hAnsi="PingFang TC"/>
          <w:b/>
          <w:bCs/>
          <w:sz w:val="24"/>
          <w:szCs w:val="24"/>
        </w:rPr>
        <w:t xml:space="preserve">方法。</w:t>
      </w:r>
      <w:r>
        <w:rPr>
          <w:rFonts w:ascii="PingFang TC" w:cs="PingFang TC" w:eastAsia="PingFang TC" w:hAnsi="PingFang TC"/>
          <w:sz w:val="24"/>
          <w:szCs w:val="24"/>
        </w:rPr>
        <w:t xml:space="preserve"> 我們建立一個八模組的多尺度模型，將負荷連續地從器官層級的彎曲，經孔彈性骨小管液體剪應力、三態機械敏感離子通道閘控、Piezo1–Ca²⁺–YAP/TAZ–硬化蛋白–Wnt 訊號傳導、RANK/RANKL/OPG 細胞族群，一路帶到三表面皮質幾何、礦化與面積骨密度，並與全身鈣–副甲狀腺素–維生素 D 雙向耦合。</w:t>
      </w:r>
      <w:r>
        <w:rPr>
          <w:rFonts w:ascii="PingFang TC" w:cs="PingFang TC" w:eastAsia="PingFang TC" w:hAnsi="PingFang TC"/>
          <w:b/>
          <w:bCs/>
          <w:sz w:val="24"/>
          <w:szCs w:val="24"/>
        </w:rPr>
        <w:t xml:space="preserve">負荷嚴格以「力」輸入；應變是被調控的輸出</w:t>
      </w:r>
      <w:r>
        <w:rPr>
          <w:rFonts w:ascii="PingFang TC" w:cs="PingFang TC" w:eastAsia="PingFang TC" w:hAnsi="PingFang TC"/>
          <w:sz w:val="24"/>
          <w:szCs w:val="24"/>
        </w:rPr>
        <w:t xml:space="preserve">，藉此保全 mechanostat 的回饋迴路。五個自由參數對五個標的擬合；另外八項觀測值全程保留為盲測，從未進入目標函數。</w:t>
      </w:r>
    </w:p>
    <w:p>
      <w:pPr>
        <w:spacing w:after="120" w:line="480" w:lineRule="auto"/>
      </w:pPr>
      <w:r>
        <w:rPr>
          <w:rFonts w:ascii="PingFang TC" w:cs="PingFang TC" w:eastAsia="PingFang TC" w:hAnsi="PingFang TC"/>
          <w:b/>
          <w:bCs/>
          <w:sz w:val="24"/>
          <w:szCs w:val="24"/>
        </w:rPr>
        <w:t xml:space="preserve">結果。</w:t>
      </w:r>
      <w:r>
        <w:rPr>
          <w:rFonts w:ascii="PingFang TC" w:cs="PingFang TC" w:eastAsia="PingFang TC" w:hAnsi="PingFang TC"/>
          <w:sz w:val="24"/>
          <w:szCs w:val="24"/>
        </w:rPr>
        <w:t xml:space="preserve"> 模型重現成人骨轉換率（7.33 %/年）、廢用性骨流失（1.22 %/月）、補鈣的非漸進式平台，以及 romosozumab 的脊椎反應（12 個月 +12.5 %）與停藥後流失（−8.7 %）。Frost 的 mechanostat 設定點在 </w:t>
      </w:r>
      <w:r>
        <w:rPr>
          <w:rFonts w:ascii="PingFang TC" w:cs="PingFang TC" w:eastAsia="PingFang TC" w:hAnsi="PingFang TC"/>
          <w:b/>
          <w:bCs/>
          <w:sz w:val="24"/>
          <w:szCs w:val="24"/>
        </w:rPr>
        <w:t xml:space="preserve">787 με</w:t>
      </w:r>
      <w:r>
        <w:rPr>
          <w:rFonts w:ascii="PingFang TC" w:cs="PingFang TC" w:eastAsia="PingFang TC" w:hAnsi="PingFang TC"/>
          <w:sz w:val="24"/>
          <w:szCs w:val="24"/>
        </w:rPr>
        <w:t xml:space="preserve"> 湧現，落在他由觀察推得的重塑閾值（100–300 με）與塑形閾值（1500–3000 με）所夾的 lazy zone 之內，且從未被擬合。負荷提升骨礦物含量的幅度為鈣的 </w:t>
      </w:r>
      <w:r>
        <w:rPr>
          <w:rFonts w:ascii="PingFang TC" w:cs="PingFang TC" w:eastAsia="PingFang TC" w:hAnsi="PingFang TC"/>
          <w:b/>
          <w:bCs/>
          <w:sz w:val="24"/>
          <w:szCs w:val="24"/>
        </w:rPr>
        <w:t xml:space="preserve">15.3 倍</w:t>
      </w:r>
      <w:r>
        <w:rPr>
          <w:rFonts w:ascii="PingFang TC" w:cs="PingFang TC" w:eastAsia="PingFang TC" w:hAnsi="PingFang TC"/>
          <w:sz w:val="24"/>
          <w:szCs w:val="24"/>
        </w:rPr>
        <w:t xml:space="preserve">，但僅在指定強度（約 2900 με）且以</w:t>
      </w:r>
      <w:r>
        <w:rPr>
          <w:rFonts w:ascii="PingFang TC" w:cs="PingFang TC" w:eastAsia="PingFang TC" w:hAnsi="PingFang TC"/>
          <w:b/>
          <w:bCs/>
          <w:sz w:val="24"/>
          <w:szCs w:val="24"/>
        </w:rPr>
        <w:t xml:space="preserve">骨量</w:t>
      </w:r>
      <w:r>
        <w:rPr>
          <w:rFonts w:ascii="PingFang TC" w:cs="PingFang TC" w:eastAsia="PingFang TC" w:hAnsi="PingFang TC"/>
          <w:sz w:val="24"/>
          <w:szCs w:val="24"/>
        </w:rPr>
        <w:t xml:space="preserve">而非面積骨密度衡量時成立——後者會將反應稀釋 61 %。單側負荷重現網球選手肱骨全部六項 pQCT 指標，而全身性介入產生的左右差異為 0.0000 %。</w:t>
      </w:r>
    </w:p>
    <w:p>
      <w:pPr>
        <w:spacing w:after="120" w:line="480" w:lineRule="auto"/>
      </w:pPr>
      <w:r>
        <w:rPr>
          <w:rFonts w:ascii="PingFang TC" w:cs="PingFang TC" w:eastAsia="PingFang TC" w:hAnsi="PingFang TC"/>
          <w:b/>
          <w:bCs/>
          <w:sz w:val="24"/>
          <w:szCs w:val="24"/>
        </w:rPr>
        <w:t xml:space="preserve">結論。</w:t>
      </w:r>
      <w:r>
        <w:rPr>
          <w:rFonts w:ascii="PingFang TC" w:cs="PingFang TC" w:eastAsia="PingFang TC" w:hAnsi="PingFang TC"/>
          <w:sz w:val="24"/>
          <w:szCs w:val="24"/>
        </w:rPr>
        <w:t xml:space="preserve"> 我們的起始假說——骨質疏鬆為替代穩態——被否證：模型為單穩態，完整的「撤除再恢復」探針回到基線的 100.3 % 且無遲滯。骨骼的不可逆性因此必然源自連續孔隙率動力學之外的結構性喪失。我們的「負荷 vs 鈣」預測中，三個子句有一個會在不同的骨密度量測法下</w:t>
      </w:r>
      <w:r>
        <w:rPr>
          <w:rFonts w:ascii="PingFang TC" w:cs="PingFang TC" w:eastAsia="PingFang TC" w:hAnsi="PingFang TC"/>
          <w:b/>
          <w:bCs/>
          <w:sz w:val="24"/>
          <w:szCs w:val="24"/>
        </w:rPr>
        <w:t xml:space="preserve">符號反轉</w:t>
      </w:r>
      <w:r>
        <w:rPr>
          <w:rFonts w:ascii="PingFang TC" w:cs="PingFang TC" w:eastAsia="PingFang TC" w:hAnsi="PingFang TC"/>
          <w:sz w:val="24"/>
          <w:szCs w:val="24"/>
        </w:rPr>
        <w:t xml:space="preserve">，我們將此本身視為一項方法學結果加以報告。</w:t>
      </w:r>
    </w:p>
    <w:p>
      <w:pPr>
        <w:pStyle w:val="Heading1"/>
        <w:spacing w:after="160" w:before="360" w:line="360" w:lineRule="auto"/>
      </w:pPr>
      <w:r>
        <w:rPr>
          <w:rFonts w:ascii="PingFang TC" w:cs="PingFang TC" w:eastAsia="PingFang TC" w:hAnsi="PingFang TC"/>
          <w:b/>
          <w:bCs/>
          <w:sz w:val="28"/>
          <w:szCs w:val="28"/>
        </w:rPr>
        <w:t xml:space="preserve">前言（Introduction）</w:t>
      </w:r>
    </w:p>
    <w:p>
      <w:pPr>
        <w:spacing w:after="120" w:line="480" w:lineRule="auto"/>
      </w:pPr>
      <w:r>
        <w:rPr>
          <w:rFonts w:ascii="PingFang TC" w:cs="PingFang TC" w:eastAsia="PingFang TC" w:hAnsi="PingFang TC"/>
          <w:sz w:val="24"/>
          <w:szCs w:val="24"/>
        </w:rPr>
        <w:t xml:space="preserve">骨骼是一個自帶感測器的結構。Frost 的 mechanostat [1] 主張骨組織藉由在應變高時增添材料、應變低時移除材料，將應變維持在一個設定點附近；此架構整合了四十年的骨骼生理學。它始終欠缺的是</w:t>
      </w:r>
      <w:r>
        <w:rPr>
          <w:rFonts w:ascii="PingFang TC" w:cs="PingFang TC" w:eastAsia="PingFang TC" w:hAnsi="PingFang TC"/>
          <w:b/>
          <w:bCs/>
          <w:sz w:val="24"/>
          <w:szCs w:val="24"/>
        </w:rPr>
        <w:t xml:space="preserve">機制</w:t>
      </w:r>
      <w:r>
        <w:rPr>
          <w:rFonts w:ascii="PingFang TC" w:cs="PingFang TC" w:eastAsia="PingFang TC" w:hAnsi="PingFang TC"/>
          <w:sz w:val="24"/>
          <w:szCs w:val="24"/>
        </w:rPr>
        <w:t xml:space="preserve">：該設定點是由觀察推得而非導出，理論對於能產生它的分子鏈條保持沉默。</w:t>
      </w:r>
    </w:p>
    <w:p>
      <w:pPr>
        <w:spacing w:after="120" w:line="480" w:lineRule="auto"/>
      </w:pPr>
      <w:r>
        <w:rPr>
          <w:rFonts w:ascii="PingFang TC" w:cs="PingFang TC" w:eastAsia="PingFang TC" w:hAnsi="PingFang TC"/>
          <w:sz w:val="24"/>
          <w:szCs w:val="24"/>
        </w:rPr>
        <w:t xml:space="preserve">那條鏈條如今大致已知。負荷使骨基質變形，驅動組織間液流經骨小管網路；由此在骨細胞突起上產生的剪應力閘控包含 Piezo1 在內的機械敏感離子通道 [22]；隨之而來的鈣暫態使 YAP/TAZ 移入細胞核；由 </w:t>
      </w:r>
      <w:r>
        <w:rPr>
          <w:rFonts w:ascii="PingFang TC" w:cs="PingFang TC" w:eastAsia="PingFang TC" w:hAnsi="PingFang TC"/>
          <w:i/>
          <w:iCs/>
          <w:sz w:val="24"/>
          <w:szCs w:val="24"/>
        </w:rPr>
        <w:t xml:space="preserve">SOST</w:t>
      </w:r>
      <w:r>
        <w:rPr>
          <w:rFonts w:ascii="PingFang TC" w:cs="PingFang TC" w:eastAsia="PingFang TC" w:hAnsi="PingFang TC"/>
          <w:sz w:val="24"/>
          <w:szCs w:val="24"/>
        </w:rPr>
        <w:t xml:space="preserve"> 基因編碼、骨細胞分泌的 Wnt 拮抗劑硬化蛋白下降；Wnt/β-catenin 訊號上升；成骨細胞與破骨細胞族群隨之反應。每一個環節都有證據支持，其中數個更是藥物標的——抗硬化蛋白抗體 romosozumab 正是循此軸線取得核准 [14]。</w:t>
      </w:r>
    </w:p>
    <w:p>
      <w:pPr>
        <w:spacing w:after="120" w:line="480" w:lineRule="auto"/>
      </w:pPr>
      <w:r>
        <w:rPr>
          <w:rFonts w:ascii="PingFang TC" w:cs="PingFang TC" w:eastAsia="PingFang TC" w:hAnsi="PingFang TC"/>
          <w:sz w:val="24"/>
          <w:szCs w:val="24"/>
        </w:rPr>
        <w:t xml:space="preserve">計算研究從兩端各自推進，卻在中間未曾交會。在感測端，Fu 等人 [2] 建立了整骨–骨小管網路–骨細胞模型，重現負荷幅度、頻率、循環數與恢復時間的效應，但止於骨細胞反應。在組織端，Lemaire [3] 與 Pivonka [4] 系列模型以可觀的定量細節描述 RANK/RANKL/OPG 族群動力學與藥物介入，卻以唯象刺激而非力學驅動之；力學若有出現，也只是由外部強加的應變能密度 [5]。其後果是：現有模型都無法 (i) 區分能量相同但波形不同的兩種負荷方案並給出骨密度軌跡、(ii) 在同一個計量單位下比較機械負荷與抗硬化蛋白抗體、或 (iii) 讓鈣攝取與機械負荷競爭同一塊骨。</w:t>
      </w:r>
    </w:p>
    <w:p>
      <w:pPr>
        <w:spacing w:after="120" w:line="480" w:lineRule="auto"/>
      </w:pPr>
      <w:r>
        <w:rPr>
          <w:rFonts w:ascii="PingFang TC" w:cs="PingFang TC" w:eastAsia="PingFang TC" w:hAnsi="PingFang TC"/>
          <w:sz w:val="24"/>
          <w:szCs w:val="24"/>
        </w:rPr>
        <w:t xml:space="preserve">第三個缺口在臨床上最為響亮。補鈣產生的是小幅、非漸進式的骨密度增量——Tai 等人的統合分析 [6] 得到 +0.7 至 +1.8 %，一年內達成且其後不再累積——而運動介入，尤其是單側球拍運動這個自然實驗 [7]，卻產生大得多且侷限於特定部位的變化。自然的解讀是：</w:t>
      </w:r>
      <w:r>
        <w:rPr>
          <w:rFonts w:ascii="PingFang TC" w:cs="PingFang TC" w:eastAsia="PingFang TC" w:hAnsi="PingFang TC"/>
          <w:b/>
          <w:bCs/>
          <w:sz w:val="24"/>
          <w:szCs w:val="24"/>
        </w:rPr>
        <w:t xml:space="preserve">鈣是許可性（permissive）的，負荷是指令性（instructive）的</w:t>
      </w:r>
      <w:r>
        <w:rPr>
          <w:rFonts w:ascii="PingFang TC" w:cs="PingFang TC" w:eastAsia="PingFang TC" w:hAnsi="PingFang TC"/>
          <w:sz w:val="24"/>
          <w:szCs w:val="24"/>
        </w:rPr>
        <w:t xml:space="preserve">——鈣決定骨能不能被建造，負荷決定它會不會被建造。這個解讀從未在單一機制模型內被檢驗過，因為沒有模型同時包含兩者。</w:t>
      </w:r>
    </w:p>
    <w:p>
      <w:pPr>
        <w:spacing w:after="120" w:line="480" w:lineRule="auto"/>
      </w:pPr>
      <w:r>
        <w:rPr>
          <w:rFonts w:ascii="PingFang TC" w:cs="PingFang TC" w:eastAsia="PingFang TC" w:hAnsi="PingFang TC"/>
          <w:sz w:val="24"/>
          <w:szCs w:val="24"/>
        </w:rPr>
        <w:t xml:space="preserve">我們在此報告這樣一個模型，以及三個可證偽的預測。三者皆在任何參數被擬合之前即寫入計畫書，且帶日期的計畫書與其決策日誌都在已存檔的程式庫中，故此一先後順序可被查核；</w:t>
      </w:r>
      <w:r>
        <w:rPr>
          <w:rFonts w:ascii="PingFang TC" w:cs="PingFang TC" w:eastAsia="PingFang TC" w:hAnsi="PingFang TC"/>
          <w:b/>
          <w:bCs/>
          <w:sz w:val="24"/>
          <w:szCs w:val="24"/>
        </w:rPr>
        <w:t xml:space="preserve">我們不主張曾在任何公開登記平台進行正式的預先登記（pre-registration）</w:t>
      </w:r>
      <w:r>
        <w:rPr>
          <w:rFonts w:ascii="PingFang TC" w:cs="PingFang TC" w:eastAsia="PingFang TC" w:hAnsi="PingFang TC"/>
          <w:sz w:val="24"/>
          <w:szCs w:val="24"/>
        </w:rPr>
        <w:t xml:space="preserve">。</w:t>
      </w:r>
      <w:r>
        <w:rPr>
          <w:rFonts w:ascii="PingFang TC" w:cs="PingFang TC" w:eastAsia="PingFang TC" w:hAnsi="PingFang TC"/>
          <w:b/>
          <w:bCs/>
          <w:sz w:val="24"/>
          <w:szCs w:val="24"/>
        </w:rPr>
        <w:t xml:space="preserve">P1</w:t>
      </w:r>
      <w:r>
        <w:rPr>
          <w:rFonts w:ascii="PingFang TC" w:cs="PingFang TC" w:eastAsia="PingFang TC" w:hAnsi="PingFang TC"/>
          <w:sz w:val="24"/>
          <w:szCs w:val="24"/>
        </w:rPr>
        <w:t xml:space="preserve">：在鈣充足區間，鈣對骨密度的邊際效益小，而適當負荷的效益大，且兩者的交互作用為非相加。</w:t>
      </w:r>
      <w:r>
        <w:rPr>
          <w:rFonts w:ascii="PingFang TC" w:cs="PingFang TC" w:eastAsia="PingFang TC" w:hAnsi="PingFang TC"/>
          <w:b/>
          <w:bCs/>
          <w:sz w:val="24"/>
          <w:szCs w:val="24"/>
        </w:rPr>
        <w:t xml:space="preserve">P2</w:t>
      </w:r>
      <w:r>
        <w:rPr>
          <w:rFonts w:ascii="PingFang TC" w:cs="PingFang TC" w:eastAsia="PingFang TC" w:hAnsi="PingFang TC"/>
          <w:sz w:val="24"/>
          <w:szCs w:val="24"/>
        </w:rPr>
        <w:t xml:space="preserve">：一個共用全身鈣池的雙腔室模型可重現網球選手的不對稱，而任何全身性介入都不能。</w:t>
      </w:r>
      <w:r>
        <w:rPr>
          <w:rFonts w:ascii="PingFang TC" w:cs="PingFang TC" w:eastAsia="PingFang TC" w:hAnsi="PingFang TC"/>
          <w:b/>
          <w:bCs/>
          <w:sz w:val="24"/>
          <w:szCs w:val="24"/>
        </w:rPr>
        <w:t xml:space="preserve">P3</w:t>
      </w:r>
      <w:r>
        <w:rPr>
          <w:rFonts w:ascii="PingFang TC" w:cs="PingFang TC" w:eastAsia="PingFang TC" w:hAnsi="PingFang TC"/>
          <w:sz w:val="24"/>
          <w:szCs w:val="24"/>
        </w:rPr>
        <w:t xml:space="preserve">：以力學敏感度、硬化蛋白分泌或雌激素為分歧參數時，系統會出現鞍結點分歧與雙穩態，亦即骨質疏鬆是一個替代穩態。</w:t>
      </w:r>
    </w:p>
    <w:p>
      <w:pPr>
        <w:spacing w:after="120" w:line="480" w:lineRule="auto"/>
      </w:pPr>
      <w:r>
        <w:rPr>
          <w:rFonts w:ascii="PingFang TC" w:cs="PingFang TC" w:eastAsia="PingFang TC" w:hAnsi="PingFang TC"/>
          <w:sz w:val="24"/>
          <w:szCs w:val="24"/>
        </w:rPr>
        <w:t xml:space="preserve">其中兩個存活。第三個沒有——而我們把它的否證寫在正文裡，因為那是本模型「在預測而非擬合」最有力的證據。</w:t>
      </w:r>
    </w:p>
    <w:p>
      <w:pPr>
        <w:pStyle w:val="Heading1"/>
        <w:spacing w:after="160" w:before="360" w:line="360" w:lineRule="auto"/>
      </w:pPr>
      <w:r>
        <w:rPr>
          <w:rFonts w:ascii="PingFang TC" w:cs="PingFang TC" w:eastAsia="PingFang TC" w:hAnsi="PingFang TC"/>
          <w:b/>
          <w:bCs/>
          <w:sz w:val="28"/>
          <w:szCs w:val="28"/>
        </w:rPr>
        <w:t xml:space="preserve">結果（Results）</w:t>
      </w:r>
    </w:p>
    <w:p>
      <w:pPr>
        <w:pStyle w:val="Heading2"/>
        <w:spacing w:after="120" w:before="240" w:line="360" w:lineRule="auto"/>
      </w:pPr>
      <w:r>
        <w:rPr>
          <w:rFonts w:ascii="PingFang TC" w:cs="PingFang TC" w:eastAsia="PingFang TC" w:hAnsi="PingFang TC"/>
          <w:b/>
          <w:bCs/>
          <w:i/>
          <w:iCs/>
          <w:sz w:val="24"/>
          <w:szCs w:val="24"/>
        </w:rPr>
        <w:t xml:space="preserve">從力到骨密度的一條不中斷的鏈</w:t>
      </w:r>
    </w:p>
    <w:p>
      <w:pPr>
        <w:spacing w:after="120" w:line="480" w:lineRule="auto"/>
      </w:pPr>
      <w:r>
        <w:rPr>
          <w:rFonts w:ascii="PingFang TC" w:cs="PingFang TC" w:eastAsia="PingFang TC" w:hAnsi="PingFang TC"/>
          <w:sz w:val="24"/>
          <w:szCs w:val="24"/>
        </w:rPr>
        <w:t xml:space="preserve">模型由八個模組構成（M1–M8；見 </w:t>
      </w:r>
      <w:r>
        <w:rPr>
          <w:rFonts w:ascii="PingFang TC" w:cs="PingFang TC" w:eastAsia="PingFang TC" w:hAnsi="PingFang TC"/>
          <w:b/>
          <w:bCs/>
          <w:sz w:val="24"/>
          <w:szCs w:val="24"/>
        </w:rPr>
        <w:t xml:space="preserve">S1 Text</w:t>
      </w:r>
      <w:r>
        <w:rPr>
          <w:rFonts w:ascii="PingFang TC" w:cs="PingFang TC" w:eastAsia="PingFang TC" w:hAnsi="PingFang TC"/>
          <w:sz w:val="24"/>
          <w:szCs w:val="24"/>
        </w:rPr>
        <w:t xml:space="preserve">）。M1 由給定的峰值彎矩與軸向力計算截面應變。M2 求解 Biot 孔彈性以得到骨小管液體剪應力 [9]。M3 將三態（開啟／關閉／失活）機械敏感通道閘控 [2] 在一日負荷上積分，產生單一的每日純量劑量。M4 與 M5 承載 Piezo1–Ca²⁺–YAP/TAZ–硬化蛋白–Wnt 訊號。M6 是 RANK/RANKL/OPG 成骨–破骨細胞族群模型 [3,4]。M7 演化骨膜、骨內膜與皮質內三個表面，以及平均組織礦化密度。M8 是全身鈣–副甲狀腺素–1,25(OH)₂D [8]，雙向耦合。單腔室狀態向量有 17 個元素，雙腔室版本有 30 個。</w:t>
      </w:r>
    </w:p>
    <w:p>
      <w:pPr>
        <w:spacing w:after="120" w:line="480" w:lineRule="auto"/>
      </w:pPr>
      <w:r>
        <w:rPr>
          <w:rFonts w:ascii="PingFang TC" w:cs="PingFang TC" w:eastAsia="PingFang TC" w:hAnsi="PingFang TC"/>
          <w:sz w:val="24"/>
          <w:szCs w:val="24"/>
        </w:rPr>
        <w:t xml:space="preserve">有一個介面決策決定了這個模型究竟算不算 mechanostat。</w:t>
      </w:r>
      <w:r>
        <w:rPr>
          <w:rFonts w:ascii="PingFang TC" w:cs="PingFang TC" w:eastAsia="PingFang TC" w:hAnsi="PingFang TC"/>
          <w:b/>
          <w:bCs/>
          <w:sz w:val="24"/>
          <w:szCs w:val="24"/>
        </w:rPr>
        <w:t xml:space="preserve">負荷只以「力」輸入</w:t>
      </w:r>
      <w:r>
        <w:rPr>
          <w:rFonts w:ascii="PingFang TC" w:cs="PingFang TC" w:eastAsia="PingFang TC" w:hAnsi="PingFang TC"/>
          <w:sz w:val="24"/>
          <w:szCs w:val="24"/>
        </w:rPr>
        <w:t xml:space="preserve">——峰值彎矩與軸向力——而應變是由當下幾何與材料狀態計算出的</w:t>
      </w:r>
      <w:r>
        <w:rPr>
          <w:rFonts w:ascii="PingFang TC" w:cs="PingFang TC" w:eastAsia="PingFang TC" w:hAnsi="PingFang TC"/>
          <w:b/>
          <w:bCs/>
          <w:sz w:val="24"/>
          <w:szCs w:val="24"/>
        </w:rPr>
        <w:t xml:space="preserve">輸出</w:t>
      </w:r>
      <w:r>
        <w:rPr>
          <w:rFonts w:ascii="PingFang TC" w:cs="PingFang TC" w:eastAsia="PingFang TC" w:hAnsi="PingFang TC"/>
          <w:sz w:val="24"/>
          <w:szCs w:val="24"/>
        </w:rPr>
        <w:t xml:space="preserve">。如同本模型的早期版本那樣去指定應變，會無聲地剪斷負回饋：骨體積分率變成純積分器，鈣的平台不可能出現，也沒有設定點可供分歧分析尋找。我們以數值驗證了閉環：d ln ε_p / d ln f_bm 在皮質為 </w:t>
      </w:r>
      <w:r>
        <w:rPr>
          <w:rFonts w:ascii="PingFang TC" w:cs="PingFang TC" w:eastAsia="PingFang TC" w:hAnsi="PingFang TC"/>
          <w:b/>
          <w:bCs/>
          <w:sz w:val="24"/>
          <w:szCs w:val="24"/>
        </w:rPr>
        <w:t xml:space="preserve">−3.1300</w:t>
      </w:r>
      <w:r>
        <w:rPr>
          <w:rFonts w:ascii="PingFang TC" w:cs="PingFang TC" w:eastAsia="PingFang TC" w:hAnsi="PingFang TC"/>
          <w:sz w:val="24"/>
          <w:szCs w:val="24"/>
        </w:rPr>
        <w:t xml:space="preserve">、在椎體腔室為 </w:t>
      </w:r>
      <w:r>
        <w:rPr>
          <w:rFonts w:ascii="PingFang TC" w:cs="PingFang TC" w:eastAsia="PingFang TC" w:hAnsi="PingFang TC"/>
          <w:b/>
          <w:bCs/>
          <w:sz w:val="24"/>
          <w:szCs w:val="24"/>
        </w:rPr>
        <w:t xml:space="preserve">−2.0000</w:t>
      </w:r>
      <w:r>
        <w:rPr>
          <w:rFonts w:ascii="PingFang TC" w:cs="PingFang TC" w:eastAsia="PingFang TC" w:hAnsi="PingFang TC"/>
          <w:sz w:val="24"/>
          <w:szCs w:val="24"/>
        </w:rPr>
        <w:t xml:space="preserve">，各自與其 −κ_E 吻合至機器精度（4 × 10⁻¹⁶），故增添的骨質確實會降低應變。兩個指數不同，是因為緻密骨與小樑骨是不同的材料；詳見 </w:t>
      </w:r>
      <w:r>
        <w:rPr>
          <w:rFonts w:ascii="PingFang TC" w:cs="PingFang TC" w:eastAsia="PingFang TC" w:hAnsi="PingFang TC"/>
          <w:b/>
          <w:bCs/>
          <w:sz w:val="24"/>
          <w:szCs w:val="24"/>
        </w:rPr>
        <w:t xml:space="preserve">S1 Text</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sz w:val="24"/>
          <w:szCs w:val="24"/>
        </w:rPr>
        <w:t xml:space="preserve">兩項獨立的交叉驗證支持此力學。孔彈性問題的 Crank–Nicolson 有限差分解與 Biot 閉式解的最大相對誤差為 0.0029 %；仿射逐循環通道算子與逐步積分吻合至 2.2 × 10⁻¹⁵。</w:t>
      </w:r>
    </w:p>
    <w:p>
      <w:pPr>
        <w:pStyle w:val="Heading2"/>
        <w:spacing w:after="120" w:before="240" w:line="360" w:lineRule="auto"/>
      </w:pPr>
      <w:r>
        <w:rPr>
          <w:rFonts w:ascii="PingFang TC" w:cs="PingFang TC" w:eastAsia="PingFang TC" w:hAnsi="PingFang TC"/>
          <w:b/>
          <w:bCs/>
          <w:i/>
          <w:iCs/>
          <w:sz w:val="24"/>
          <w:szCs w:val="24"/>
        </w:rPr>
        <w:t xml:space="preserve">校正，以及被保留的部分</w:t>
      </w:r>
    </w:p>
    <w:p>
      <w:pPr>
        <w:spacing w:after="120" w:line="480" w:lineRule="auto"/>
      </w:pPr>
      <w:r>
        <w:rPr>
          <w:rFonts w:ascii="PingFang TC" w:cs="PingFang TC" w:eastAsia="PingFang TC" w:hAnsi="PingFang TC"/>
          <w:sz w:val="24"/>
          <w:szCs w:val="24"/>
        </w:rPr>
        <w:t xml:space="preserve">五個參數對五個標的擬合：成人骨轉換率、廢用流失、鈣效應幅度、鈣平台斜率，以及 romosozumab 的脊椎反應。</w:t>
      </w:r>
      <w:r>
        <w:rPr>
          <w:rFonts w:ascii="PingFang TC" w:cs="PingFang TC" w:eastAsia="PingFang TC" w:hAnsi="PingFang TC"/>
          <w:b/>
          <w:bCs/>
          <w:sz w:val="24"/>
          <w:szCs w:val="24"/>
        </w:rPr>
        <w:t xml:space="preserve">有兩個常數是導出而非擬合的</w:t>
      </w:r>
      <w:r>
        <w:rPr>
          <w:rFonts w:ascii="PingFang TC" w:cs="PingFang TC" w:eastAsia="PingFang TC" w:hAnsi="PingFang TC"/>
          <w:sz w:val="24"/>
          <w:szCs w:val="24"/>
        </w:rPr>
        <w:t xml:space="preserve">，因為基線狀態已經決定了它們：形成速率常數由骨量平衡導出（三表面幾何不存在靜止的幾何不動點），骨細胞掩埋常數由骨轉換率導出（骨細胞是隨其所在的骨被吸收而離開組織的；見限制一節，說明它自由時發生了什麼）。兩者在每一組參數下都重新導出。其餘所有參數皆取自文獻（</w:t>
      </w:r>
      <w:r>
        <w:rPr>
          <w:rFonts w:ascii="PingFang TC" w:cs="PingFang TC" w:eastAsia="PingFang TC" w:hAnsi="PingFang TC"/>
          <w:b/>
          <w:bCs/>
          <w:sz w:val="24"/>
          <w:szCs w:val="24"/>
        </w:rPr>
        <w:t xml:space="preserve">S1 Table</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sz w:val="24"/>
          <w:szCs w:val="24"/>
        </w:rPr>
        <w:t xml:space="preserve">第六個參數——硬化蛋白代償性反彈的平台——原本也在自由清單上，直到我們量了它的槓桿。它在整個容許範圍內只能讓「本該用來辨識它」的吸收標記過衝移動 0.04，卻能讓 romosozumab 反應由 63.6 % 變到 0.47 %——也就是說，它是作用在「抗體清除常數已經承載的那個標的」上的第二個參數，而標的集裡沒有任何東西能把兩者分開。我們把它固定而非擬合。這正是那種</w:t>
      </w:r>
      <w:r>
        <w:rPr>
          <w:rFonts w:ascii="PingFang TC" w:cs="PingFang TC" w:eastAsia="PingFang TC" w:hAnsi="PingFang TC"/>
          <w:b/>
          <w:bCs/>
          <w:sz w:val="24"/>
          <w:szCs w:val="24"/>
        </w:rPr>
        <w:t xml:space="preserve">買到吻合卻不帶內容</w:t>
      </w:r>
      <w:r>
        <w:rPr>
          <w:rFonts w:ascii="PingFang TC" w:cs="PingFang TC" w:eastAsia="PingFang TC" w:hAnsi="PingFang TC"/>
          <w:sz w:val="24"/>
          <w:szCs w:val="24"/>
        </w:rPr>
        <w:t xml:space="preserve">的自由度；而抓到它的那個檢查我們建議通用化：</w:t>
      </w:r>
      <w:r>
        <w:rPr>
          <w:rFonts w:ascii="PingFang TC" w:cs="PingFang TC" w:eastAsia="PingFang TC" w:hAnsi="PingFang TC"/>
          <w:b/>
          <w:bCs/>
          <w:sz w:val="24"/>
          <w:szCs w:val="24"/>
        </w:rPr>
        <w:t xml:space="preserve">在因為「某個標的應該能辨識它」而把參數放進自由清單之前，先量那個標的是否真的推得動它。</w:t>
      </w:r>
    </w:p>
    <w:p>
      <w:pPr>
        <w:spacing w:after="120" w:line="480" w:lineRule="auto"/>
      </w:pPr>
      <w:r>
        <w:rPr>
          <w:rFonts w:ascii="PingFang TC" w:cs="PingFang TC" w:eastAsia="PingFang TC" w:hAnsi="PingFang TC"/>
          <w:sz w:val="24"/>
          <w:szCs w:val="24"/>
        </w:rPr>
        <w:t xml:space="preserve">八項觀測值被</w:t>
      </w:r>
      <w:r>
        <w:rPr>
          <w:rFonts w:ascii="PingFang TC" w:cs="PingFang TC" w:eastAsia="PingFang TC" w:hAnsi="PingFang TC"/>
          <w:b/>
          <w:bCs/>
          <w:sz w:val="24"/>
          <w:szCs w:val="24"/>
        </w:rPr>
        <w:t xml:space="preserve">保留為盲測</w:t>
      </w:r>
      <w:r>
        <w:rPr>
          <w:rFonts w:ascii="PingFang TC" w:cs="PingFang TC" w:eastAsia="PingFang TC" w:hAnsi="PingFang TC"/>
          <w:sz w:val="24"/>
          <w:szCs w:val="24"/>
        </w:rPr>
        <w:t xml:space="preserve">，從未進入目標函數：網球選手肱骨的六項 pQCT 指標、停藥後骨密度流失，以及湧現的 mechanostat 設定點。本節其餘內容的說服力，全繫於它們確實是盲測這一點。</w:t>
      </w:r>
    </w:p>
    <w:p>
      <w:pPr>
        <w:spacing w:after="120" w:line="480" w:lineRule="auto"/>
      </w:pPr>
      <w:r>
        <w:rPr>
          <w:rFonts w:ascii="PingFang TC" w:cs="PingFang TC" w:eastAsia="PingFang TC" w:hAnsi="PingFang TC"/>
          <w:sz w:val="24"/>
          <w:szCs w:val="24"/>
        </w:rPr>
        <w:t xml:space="preserve">辨識性分析（</w:t>
      </w:r>
      <w:r>
        <w:rPr>
          <w:rFonts w:ascii="PingFang TC" w:cs="PingFang TC" w:eastAsia="PingFang TC" w:hAnsi="PingFang TC"/>
          <w:b/>
          <w:bCs/>
          <w:sz w:val="24"/>
          <w:szCs w:val="24"/>
        </w:rPr>
        <w:t xml:space="preserve">S1 Fig</w:t>
      </w:r>
      <w:r>
        <w:rPr>
          <w:rFonts w:ascii="PingFang TC" w:cs="PingFang TC" w:eastAsia="PingFang TC" w:hAnsi="PingFang TC"/>
          <w:sz w:val="24"/>
          <w:szCs w:val="24"/>
        </w:rPr>
        <w:t xml:space="preserve">）顯示 </w:t>
      </w:r>
      <w:r>
        <w:rPr>
          <w:rFonts w:ascii="Courier New" w:cs="Courier New" w:eastAsia="Courier New" w:hAnsi="Courier New"/>
          <w:sz w:val="24"/>
          <w:szCs w:val="24"/>
        </w:rPr>
        <w:t xml:space="preserve">k_res</w:t>
      </w:r>
      <w:r>
        <w:rPr>
          <w:rFonts w:ascii="PingFang TC" w:cs="PingFang TC" w:eastAsia="PingFang TC" w:hAnsi="PingFang TC"/>
          <w:sz w:val="24"/>
          <w:szCs w:val="24"/>
        </w:rPr>
        <w:t xml:space="preserve"> 與 </w:t>
      </w:r>
      <w:r>
        <w:rPr>
          <w:rFonts w:ascii="Courier New" w:cs="Courier New" w:eastAsia="Courier New" w:hAnsi="Courier New"/>
          <w:sz w:val="24"/>
          <w:szCs w:val="24"/>
        </w:rPr>
        <w:t xml:space="preserve">K_S</w:t>
      </w:r>
      <w:r>
        <w:rPr>
          <w:rFonts w:ascii="PingFang TC" w:cs="PingFang TC" w:eastAsia="PingFang TC" w:hAnsi="PingFang TC"/>
          <w:sz w:val="24"/>
          <w:szCs w:val="24"/>
        </w:rPr>
        <w:t xml:space="preserve"> 個別可辨識，各由一個標的釘住，且有清楚的單一極小值。抗體清除常數 </w:t>
      </w:r>
      <w:r>
        <w:rPr>
          <w:rFonts w:ascii="Courier New" w:cs="Courier New" w:eastAsia="Courier New" w:hAnsi="Courier New"/>
          <w:sz w:val="24"/>
          <w:szCs w:val="24"/>
        </w:rPr>
        <w:t xml:space="preserve">delta_ab</w:t>
      </w:r>
      <w:r>
        <w:rPr>
          <w:rFonts w:ascii="PingFang TC" w:cs="PingFang TC" w:eastAsia="PingFang TC" w:hAnsi="PingFang TC"/>
          <w:sz w:val="24"/>
          <w:szCs w:val="24"/>
        </w:rPr>
        <w:t xml:space="preserve"> </w:t>
      </w:r>
      <w:r>
        <w:rPr>
          <w:rFonts w:ascii="PingFang TC" w:cs="PingFang TC" w:eastAsia="PingFang TC" w:hAnsi="PingFang TC"/>
          <w:b/>
          <w:bCs/>
          <w:sz w:val="24"/>
          <w:szCs w:val="24"/>
        </w:rPr>
        <w:t xml:space="preserve">則否</w:t>
      </w:r>
      <w:r>
        <w:rPr>
          <w:rFonts w:ascii="PingFang TC" w:cs="PingFang TC" w:eastAsia="PingFang TC" w:hAnsi="PingFang TC"/>
          <w:sz w:val="24"/>
          <w:szCs w:val="24"/>
        </w:rPr>
        <w:t xml:space="preserve">：它的條件 χ² 單調下降直到其上界，因為目標函數的中點度量把 romosozumab 反應往帶中心拉，而該參數搆不到那麼遠。我們報告的值滿足該帶；它不是點估計，我們也不當作點估計使用。而兩個副甲狀腺素路徑參數 </w:t>
      </w:r>
      <w:r>
        <w:rPr>
          <w:rFonts w:ascii="Courier New" w:cs="Courier New" w:eastAsia="Courier New" w:hAnsi="Courier New"/>
          <w:sz w:val="24"/>
          <w:szCs w:val="24"/>
        </w:rPr>
        <w:t xml:space="preserve">K_P_sost</w:t>
      </w:r>
      <w:r>
        <w:rPr>
          <w:rFonts w:ascii="PingFang TC" w:cs="PingFang TC" w:eastAsia="PingFang TC" w:hAnsi="PingFang TC"/>
          <w:sz w:val="24"/>
          <w:szCs w:val="24"/>
        </w:rPr>
        <w:t xml:space="preserve"> 與 </w:t>
      </w:r>
      <w:r>
        <w:rPr>
          <w:rFonts w:ascii="Courier New" w:cs="Courier New" w:eastAsia="Courier New" w:hAnsi="Courier New"/>
          <w:sz w:val="24"/>
          <w:szCs w:val="24"/>
        </w:rPr>
        <w:t xml:space="preserve">lambda_P</w:t>
      </w:r>
      <w:r>
        <w:rPr>
          <w:rFonts w:ascii="PingFang TC" w:cs="PingFang TC" w:eastAsia="PingFang TC" w:hAnsi="PingFang TC"/>
          <w:sz w:val="24"/>
          <w:szCs w:val="24"/>
        </w:rPr>
        <w:t xml:space="preserve"> 是</w:t>
      </w:r>
      <w:r>
        <w:rPr>
          <w:rFonts w:ascii="PingFang TC" w:cs="PingFang TC" w:eastAsia="PingFang TC" w:hAnsi="PingFang TC"/>
          <w:b/>
          <w:bCs/>
          <w:sz w:val="24"/>
          <w:szCs w:val="24"/>
        </w:rPr>
        <w:t xml:space="preserve">實務上不可辨識的</w:t>
      </w:r>
      <w:r>
        <w:rPr>
          <w:rFonts w:ascii="PingFang TC" w:cs="PingFang TC" w:eastAsia="PingFang TC" w:hAnsi="PingFang TC"/>
          <w:sz w:val="24"/>
          <w:szCs w:val="24"/>
        </w:rPr>
        <w:t xml:space="preserve">：所掃描網格有 </w:t>
      </w:r>
      <w:r>
        <w:rPr>
          <w:rFonts w:ascii="PingFang TC" w:cs="PingFang TC" w:eastAsia="PingFang TC" w:hAnsi="PingFang TC"/>
          <w:b/>
          <w:bCs/>
          <w:sz w:val="24"/>
          <w:szCs w:val="24"/>
        </w:rPr>
        <w:t xml:space="preserve">76.9 %</w:t>
      </w:r>
      <w:r>
        <w:rPr>
          <w:rFonts w:ascii="PingFang TC" w:cs="PingFang TC" w:eastAsia="PingFang TC" w:hAnsi="PingFang TC"/>
          <w:sz w:val="24"/>
          <w:szCs w:val="24"/>
        </w:rPr>
        <w:t xml:space="preserve"> 落在信賴區域內，脊相關僅 </w:t>
      </w:r>
      <w:r>
        <w:rPr>
          <w:rFonts w:ascii="PingFang TC" w:cs="PingFang TC" w:eastAsia="PingFang TC" w:hAnsi="PingFang TC"/>
          <w:b/>
          <w:bCs/>
          <w:sz w:val="24"/>
          <w:szCs w:val="24"/>
        </w:rPr>
        <w:t xml:space="preserve">−0.26</w:t>
      </w:r>
      <w:r>
        <w:rPr>
          <w:rFonts w:ascii="PingFang TC" w:cs="PingFang TC" w:eastAsia="PingFang TC" w:hAnsi="PingFang TC"/>
          <w:sz w:val="24"/>
          <w:szCs w:val="24"/>
        </w:rPr>
        <w:t xml:space="preserve">，故它們並非沿著一條脊互相取捨 —— 而是兩者都只是被弱約束。</w:t>
      </w:r>
      <w:r>
        <w:rPr>
          <w:rFonts w:ascii="Courier New" w:cs="Courier New" w:eastAsia="Courier New" w:hAnsi="Courier New"/>
          <w:sz w:val="24"/>
          <w:szCs w:val="24"/>
        </w:rPr>
        <w:t xml:space="preserve">K_P_sost</w:t>
      </w:r>
      <w:r>
        <w:rPr>
          <w:rFonts w:ascii="PingFang TC" w:cs="PingFang TC" w:eastAsia="PingFang TC" w:hAnsi="PingFang TC"/>
          <w:sz w:val="24"/>
          <w:szCs w:val="24"/>
        </w:rPr>
        <w:t xml:space="preserve"> 在骨細胞周轉常數修正後</w:t>
      </w:r>
      <w:r>
        <w:rPr>
          <w:rFonts w:ascii="PingFang TC" w:cs="PingFang TC" w:eastAsia="PingFang TC" w:hAnsi="PingFang TC"/>
          <w:b/>
          <w:bCs/>
          <w:sz w:val="24"/>
          <w:szCs w:val="24"/>
        </w:rPr>
        <w:t xml:space="preserve">已不再落在上界</w:t>
      </w:r>
      <w:r>
        <w:rPr>
          <w:rFonts w:ascii="PingFang TC" w:cs="PingFang TC" w:eastAsia="PingFang TC" w:hAnsi="PingFang TC"/>
          <w:sz w:val="24"/>
          <w:szCs w:val="24"/>
        </w:rPr>
        <w:t xml:space="preserve">，但仍偏高，而解讀不變：大值代表 PTH 對 SOST 的抑制弱，擬合等於在要求這條路徑不存在，而那正是 Lemaire 與 Pivonka 以省略之的方式所假設的。</w:t>
      </w:r>
      <w:r>
        <w:rPr>
          <w:rFonts w:ascii="PingFang TC" w:cs="PingFang TC" w:eastAsia="PingFang TC" w:hAnsi="PingFang TC"/>
          <w:b/>
          <w:bCs/>
          <w:sz w:val="24"/>
          <w:szCs w:val="24"/>
        </w:rPr>
        <w:t xml:space="preserve">這比全身鈣模組重建之前所能做的陳述更弱</w:t>
      </w:r>
      <w:r>
        <w:rPr>
          <w:rFonts w:ascii="PingFang TC" w:cs="PingFang TC" w:eastAsia="PingFang TC" w:hAnsi="PingFang TC"/>
          <w:sz w:val="24"/>
          <w:szCs w:val="24"/>
        </w:rPr>
        <w:t xml:space="preserve">，理由很直接：血清鈣被正確防禦之後，飲食鈣只能把副甲狀腺素移動大約一半的幅度，因此約束這兩個參數的標的所攜帶的資訊也相應減少。我們報告聯合區域而非邊際信賴區間，且</w:t>
      </w:r>
      <w:r>
        <w:rPr>
          <w:rFonts w:ascii="PingFang TC" w:cs="PingFang TC" w:eastAsia="PingFang TC" w:hAnsi="PingFang TC"/>
          <w:b/>
          <w:bCs/>
          <w:sz w:val="24"/>
          <w:szCs w:val="24"/>
        </w:rPr>
        <w:t xml:space="preserve">不對這兩個參數的點估計值作任何解讀</w:t>
      </w:r>
      <w:r>
        <w:rPr>
          <w:rFonts w:ascii="PingFang TC" w:cs="PingFang TC" w:eastAsia="PingFang TC" w:hAnsi="PingFang TC"/>
          <w:sz w:val="24"/>
          <w:szCs w:val="24"/>
        </w:rPr>
        <w:t xml:space="preserve">。</w:t>
      </w:r>
    </w:p>
    <w:p>
      <w:pPr>
        <w:pStyle w:val="Heading2"/>
        <w:spacing w:after="120" w:before="240" w:line="360" w:lineRule="auto"/>
      </w:pPr>
      <w:r>
        <w:rPr>
          <w:rFonts w:ascii="PingFang TC" w:cs="PingFang TC" w:eastAsia="PingFang TC" w:hAnsi="PingFang TC"/>
          <w:b/>
          <w:bCs/>
          <w:i/>
          <w:iCs/>
          <w:sz w:val="24"/>
          <w:szCs w:val="24"/>
        </w:rPr>
        <w:t xml:space="preserve">Mechanostat 設定點是輸出，而且它落在 Frost 所指之處</w:t>
      </w:r>
    </w:p>
    <w:p>
      <w:pPr>
        <w:spacing w:after="120" w:line="480" w:lineRule="auto"/>
      </w:pPr>
      <w:r>
        <w:rPr>
          <w:rFonts w:ascii="PingFang TC" w:cs="PingFang TC" w:eastAsia="PingFang TC" w:hAnsi="PingFang TC"/>
          <w:sz w:val="24"/>
          <w:szCs w:val="24"/>
        </w:rPr>
        <w:t xml:space="preserve">在基線狀態下，模型位於一個穩定不動點（max Re λ = −2.4 × 10⁻⁴），24 個月的面積骨密度漂移為 −0.015 %，骨轉換率 7.33 %/年（</w:t>
      </w:r>
      <w:r>
        <w:rPr>
          <w:rFonts w:ascii="PingFang TC" w:cs="PingFang TC" w:eastAsia="PingFang TC" w:hAnsi="PingFang TC"/>
          <w:b/>
          <w:bCs/>
          <w:sz w:val="24"/>
          <w:szCs w:val="24"/>
        </w:rPr>
        <w:t xml:space="preserve">圖 1</w:t>
      </w:r>
      <w:r>
        <w:rPr>
          <w:rFonts w:ascii="PingFang TC" w:cs="PingFang TC" w:eastAsia="PingFang TC" w:hAnsi="PingFang TC"/>
          <w:sz w:val="24"/>
          <w:szCs w:val="24"/>
        </w:rPr>
        <w:t xml:space="preserve">）。門檻為 5–10 %/年，是皮質骨慣常被引用的 3–10 %/年區間的</w:t>
      </w:r>
      <w:r>
        <w:rPr>
          <w:rFonts w:ascii="PingFang TC" w:cs="PingFang TC" w:eastAsia="PingFang TC" w:hAnsi="PingFang TC"/>
          <w:b/>
          <w:bCs/>
          <w:sz w:val="24"/>
          <w:szCs w:val="24"/>
        </w:rPr>
        <w:t xml:space="preserve">上半部</w:t>
      </w:r>
      <w:r>
        <w:rPr>
          <w:rFonts w:ascii="PingFang TC" w:cs="PingFang TC" w:eastAsia="PingFang TC" w:hAnsi="PingFang TC"/>
          <w:sz w:val="24"/>
          <w:szCs w:val="24"/>
        </w:rPr>
        <w:t xml:space="preserve"> [25]；我們的值落在該門檻的上半，因此這是「對著一個設在被引用範圍偏快端的標的」而通過。</w:t>
      </w:r>
    </w:p>
    <w:p>
      <w:pPr>
        <w:spacing w:after="120" w:line="480" w:lineRule="auto"/>
      </w:pPr>
      <w:r>
        <w:rPr>
          <w:rFonts w:ascii="PingFang TC" w:cs="PingFang TC" w:eastAsia="PingFang TC" w:hAnsi="PingFang TC"/>
          <w:sz w:val="24"/>
          <w:szCs w:val="24"/>
        </w:rPr>
        <w:t xml:space="preserve">閉環最終安定下來的峰值應變是 </w:t>
      </w:r>
      <w:r>
        <w:rPr>
          <w:rFonts w:ascii="PingFang TC" w:cs="PingFang TC" w:eastAsia="PingFang TC" w:hAnsi="PingFang TC"/>
          <w:b/>
          <w:bCs/>
          <w:sz w:val="24"/>
          <w:szCs w:val="24"/>
        </w:rPr>
        <w:t xml:space="preserve">786.8 με</w:t>
      </w:r>
      <w:r>
        <w:rPr>
          <w:rFonts w:ascii="PingFang TC" w:cs="PingFang TC" w:eastAsia="PingFang TC" w:hAnsi="PingFang TC"/>
          <w:sz w:val="24"/>
          <w:szCs w:val="24"/>
        </w:rPr>
        <w:t xml:space="preserve">。Frost [1] 由觀察推得</w:t>
      </w:r>
      <w:r>
        <w:rPr>
          <w:rFonts w:ascii="PingFang TC" w:cs="PingFang TC" w:eastAsia="PingFang TC" w:hAnsi="PingFang TC"/>
          <w:b/>
          <w:bCs/>
          <w:sz w:val="24"/>
          <w:szCs w:val="24"/>
        </w:rPr>
        <w:t xml:space="preserve">兩個分離的閾值</w:t>
      </w:r>
      <w:r>
        <w:rPr>
          <w:rFonts w:ascii="PingFang TC" w:cs="PingFang TC" w:eastAsia="PingFang TC" w:hAnsi="PingFang TC"/>
          <w:sz w:val="24"/>
          <w:szCs w:val="24"/>
        </w:rPr>
        <w:t xml:space="preserve">：應變達到或超過 1500–3000 με 會驅動塑形（modelling）而增添皮質骨，低於 100–300 με 則釋放重塑（remodelling）而移除之。湧現值落在這兩個閾值所夾的 lazy zone 內——高於重塑閾值、低於塑形閾值——而它是由通道閘控動力學與訊號 Hill 係數計算出來的，從未被擬合。</w:t>
      </w:r>
      <w:r>
        <w:rPr>
          <w:rFonts w:ascii="PingFang TC" w:cs="PingFang TC" w:eastAsia="PingFang TC" w:hAnsi="PingFang TC"/>
          <w:b/>
          <w:bCs/>
          <w:sz w:val="24"/>
          <w:szCs w:val="24"/>
        </w:rPr>
        <w:t xml:space="preserve">這是本模型「唯象定律可被化約為分子機制」最直接的證據，而且不耗費任何自由參數。</w:t>
      </w:r>
    </w:p>
    <w:p>
      <w:pPr>
        <w:spacing w:after="120" w:line="480" w:lineRule="auto"/>
      </w:pPr>
      <w:r>
        <w:rPr>
          <w:rFonts w:ascii="PingFang TC" w:cs="PingFang TC" w:eastAsia="PingFang TC" w:hAnsi="PingFang TC"/>
          <w:sz w:val="24"/>
          <w:szCs w:val="24"/>
        </w:rPr>
        <w:t xml:space="preserve">同一次模擬也顯示了為何皮質骨增加的是尺寸而非密度：在骨體積分率約 0.95 時，皮質距其緻密化天花板不到 5 %，而 d ln ε / d ln r_p = −4.27 強於 d ln ε / d ln f_bm = −3.13。向外生長根本就是降低應變較便宜的途徑——這是參數值的湧現後果，並非被寫死的規則。</w:t>
      </w:r>
    </w:p>
    <w:p>
      <w:pPr>
        <w:pStyle w:val="Heading2"/>
        <w:spacing w:after="120" w:before="240" w:line="360" w:lineRule="auto"/>
      </w:pPr>
      <w:r>
        <w:rPr>
          <w:rFonts w:ascii="PingFang TC" w:cs="PingFang TC" w:eastAsia="PingFang TC" w:hAnsi="PingFang TC"/>
          <w:b/>
          <w:bCs/>
          <w:i/>
          <w:iCs/>
          <w:sz w:val="24"/>
          <w:szCs w:val="24"/>
        </w:rPr>
        <w:t xml:space="preserve">負荷波形：兩個標的重現，一個符號分歧</w:t>
      </w:r>
    </w:p>
    <w:p>
      <w:pPr>
        <w:spacing w:after="120" w:line="480" w:lineRule="auto"/>
      </w:pPr>
      <w:r>
        <w:rPr>
          <w:rFonts w:ascii="PingFang TC" w:cs="PingFang TC" w:eastAsia="PingFang TC" w:hAnsi="PingFang TC"/>
          <w:b/>
          <w:bCs/>
          <w:sz w:val="24"/>
          <w:szCs w:val="24"/>
        </w:rPr>
        <w:t xml:space="preserve">圖 2</w:t>
      </w:r>
      <w:r>
        <w:rPr>
          <w:rFonts w:ascii="PingFang TC" w:cs="PingFang TC" w:eastAsia="PingFang TC" w:hAnsi="PingFang TC"/>
          <w:sz w:val="24"/>
          <w:szCs w:val="24"/>
        </w:rPr>
        <w:t xml:space="preserve"> 呈現負荷波形空間中三個彼此正交的切面。</w:t>
      </w:r>
    </w:p>
    <w:p>
      <w:pPr>
        <w:spacing w:after="120" w:line="480" w:lineRule="auto"/>
      </w:pPr>
      <w:r>
        <w:rPr>
          <w:rFonts w:ascii="PingFang TC" w:cs="PingFang TC" w:eastAsia="PingFang TC" w:hAnsi="PingFang TC"/>
          <w:b/>
          <w:bCs/>
          <w:sz w:val="24"/>
          <w:szCs w:val="24"/>
        </w:rPr>
        <w:t xml:space="preserve">循環數。</w:t>
      </w:r>
      <w:r>
        <w:rPr>
          <w:rFonts w:ascii="PingFang TC" w:cs="PingFang TC" w:eastAsia="PingFang TC" w:hAnsi="PingFang TC"/>
          <w:sz w:val="24"/>
          <w:szCs w:val="24"/>
        </w:rPr>
        <w:t xml:space="preserve"> 將循環數由 18 增至 1200，12 個月反應由 +0.503 % 升至 +2.286 %，邊際報酬單調下降達 33 倍。這重現了數十次循環之後成骨反應的飽和 [21]。值得注意的是，</w:t>
      </w:r>
      <w:r>
        <w:rPr>
          <w:rFonts w:ascii="PingFang TC" w:cs="PingFang TC" w:eastAsia="PingFang TC" w:hAnsi="PingFang TC"/>
          <w:b/>
          <w:bCs/>
          <w:sz w:val="24"/>
          <w:szCs w:val="24"/>
        </w:rPr>
        <w:t xml:space="preserve">這個飽和不在通道</w:t>
      </w:r>
      <w:r>
        <w:rPr>
          <w:rFonts w:ascii="PingFang TC" w:cs="PingFang TC" w:eastAsia="PingFang TC" w:hAnsi="PingFang TC"/>
          <w:sz w:val="24"/>
          <w:szCs w:val="24"/>
        </w:rPr>
        <w:t xml:space="preserve">：在通道層級，劑量在四個數量級的閘控速率常數範圍內都對循環數漸近線性，因為週期性驅動會使三態系統進入極限環，其後每個循環的貢獻皆相同。飽和是硬化蛋白–Wnt–細胞級聯的下游性質，</w:t>
      </w:r>
      <w:r>
        <w:rPr>
          <w:rFonts w:ascii="PingFang TC" w:cs="PingFang TC" w:eastAsia="PingFang TC" w:hAnsi="PingFang TC"/>
          <w:b/>
          <w:bCs/>
          <w:sz w:val="24"/>
          <w:szCs w:val="24"/>
        </w:rPr>
        <w:t xml:space="preserve">只能在骨層級被看見</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b/>
          <w:bCs/>
          <w:sz w:val="24"/>
          <w:szCs w:val="24"/>
        </w:rPr>
        <w:t xml:space="preserve">休息插入。</w:t>
      </w:r>
      <w:r>
        <w:rPr>
          <w:rFonts w:ascii="PingFang TC" w:cs="PingFang TC" w:eastAsia="PingFang TC" w:hAnsi="PingFang TC"/>
          <w:sz w:val="24"/>
          <w:szCs w:val="24"/>
        </w:rPr>
        <w:t xml:space="preserve"> 此處的標的是條件性的：低幅值下有可觀增益，並隨幅值上升而消退。在循環之間插入 10 秒，低幅值下將反應放大 </w:t>
      </w:r>
      <w:r>
        <w:rPr>
          <w:rFonts w:ascii="PingFang TC" w:cs="PingFang TC" w:eastAsia="PingFang TC" w:hAnsi="PingFang TC"/>
          <w:b/>
          <w:bCs/>
          <w:sz w:val="24"/>
          <w:szCs w:val="24"/>
        </w:rPr>
        <w:t xml:space="preserve">4.60 倍</w:t>
      </w:r>
      <w:r>
        <w:rPr>
          <w:rFonts w:ascii="PingFang TC" w:cs="PingFang TC" w:eastAsia="PingFang TC" w:hAnsi="PingFang TC"/>
          <w:sz w:val="24"/>
          <w:szCs w:val="24"/>
        </w:rPr>
        <w:t xml:space="preserve">、中幅值 1.66 倍、高幅值 1.45 倍。</w:t>
      </w:r>
      <w:r>
        <w:rPr>
          <w:rFonts w:ascii="PingFang TC" w:cs="PingFang TC" w:eastAsia="PingFang TC" w:hAnsi="PingFang TC"/>
          <w:b/>
          <w:bCs/>
          <w:sz w:val="24"/>
          <w:szCs w:val="24"/>
        </w:rPr>
        <w:t xml:space="preserve">方向與 Srinivasan 等人相符，幅度則已不足</w:t>
      </w:r>
      <w:r>
        <w:rPr>
          <w:rFonts w:ascii="PingFang TC" w:cs="PingFang TC" w:eastAsia="PingFang TC" w:hAnsi="PingFang TC"/>
          <w:sz w:val="24"/>
          <w:szCs w:val="24"/>
        </w:rPr>
        <w:t xml:space="preserve"> [10]：實得 4.60 倍，實測為 </w:t>
      </w:r>
      <w:r>
        <w:rPr>
          <w:rFonts w:ascii="PingFang TC" w:cs="PingFang TC" w:eastAsia="PingFang TC" w:hAnsi="PingFang TC"/>
          <w:b/>
          <w:bCs/>
          <w:sz w:val="24"/>
          <w:szCs w:val="24"/>
        </w:rPr>
        <w:t xml:space="preserve">5.8 倍</w:t>
      </w:r>
      <w:r>
        <w:rPr>
          <w:rFonts w:ascii="PingFang TC" w:cs="PingFang TC" w:eastAsia="PingFang TC" w:hAnsi="PingFang TC"/>
          <w:sz w:val="24"/>
          <w:szCs w:val="24"/>
        </w:rPr>
        <w:t xml:space="preserve">（插入休息者骨膜標記表面 21.9 % 對未插入者 3.8 %，峰值應變相當，820–830 με），</w:t>
      </w:r>
      <w:r>
        <w:rPr>
          <w:rFonts w:ascii="PingFang TC" w:cs="PingFang TC" w:eastAsia="PingFang TC" w:hAnsi="PingFang TC"/>
          <w:b/>
          <w:bCs/>
          <w:sz w:val="24"/>
          <w:szCs w:val="24"/>
        </w:rPr>
        <w:t xml:space="preserve">短少 21 %</w:t>
      </w:r>
      <w:r>
        <w:rPr>
          <w:rFonts w:ascii="PingFang TC" w:cs="PingFang TC" w:eastAsia="PingFang TC" w:hAnsi="PingFang TC"/>
          <w:sz w:val="24"/>
          <w:szCs w:val="24"/>
        </w:rPr>
        <w:t xml:space="preserve">。我們要指出：這個吻合是最近才出現的，而且不是刻意湊出來的 —— 在彈性律指數改採 Currey [16] 的量測值之前，同一個量是 13.99 倍；而我們一直拿來評分的 2–5 倍區間，是</w:t>
      </w:r>
      <w:r>
        <w:rPr>
          <w:rFonts w:ascii="PingFang TC" w:cs="PingFang TC" w:eastAsia="PingFang TC" w:hAnsi="PingFang TC"/>
          <w:b/>
          <w:bCs/>
          <w:sz w:val="24"/>
          <w:szCs w:val="24"/>
        </w:rPr>
        <w:t xml:space="preserve">我們自己編的</w:t>
      </w:r>
      <w:r>
        <w:rPr>
          <w:rFonts w:ascii="PingFang TC" w:cs="PingFang TC" w:eastAsia="PingFang TC" w:hAnsi="PingFang TC"/>
          <w:sz w:val="24"/>
          <w:szCs w:val="24"/>
        </w:rPr>
        <w:t xml:space="preserve">，不是原文的數字。這一項同樣在層級之間反轉：在通道層級我們的增益隨幅值遞增，與實驗相悖；下游飽和將其翻轉為觀測到的方向，這是該級聯結構一項不平凡的成功。</w:t>
      </w:r>
    </w:p>
    <w:p>
      <w:pPr>
        <w:spacing w:after="120" w:line="480" w:lineRule="auto"/>
      </w:pPr>
      <w:r>
        <w:rPr>
          <w:rFonts w:ascii="PingFang TC" w:cs="PingFang TC" w:eastAsia="PingFang TC" w:hAnsi="PingFang TC"/>
          <w:b/>
          <w:bCs/>
          <w:sz w:val="24"/>
          <w:szCs w:val="24"/>
        </w:rPr>
        <w:t xml:space="preserve">頻率。</w:t>
      </w:r>
      <w:r>
        <w:rPr>
          <w:rFonts w:ascii="PingFang TC" w:cs="PingFang TC" w:eastAsia="PingFang TC" w:hAnsi="PingFang TC"/>
          <w:sz w:val="24"/>
          <w:szCs w:val="24"/>
        </w:rPr>
        <w:t xml:space="preserve"> 此處模型與實驗不符，我們直接陳明。流體剪應力隨頻率上升，完全如孔彈性所要求（1–10 Hz 間 τ 由 4.62 增至 20.02 Pa；對 ln f 之 r = +0.999，無任何擬合參數）。對數的</w:t>
      </w:r>
      <w:r>
        <w:rPr>
          <w:rFonts w:ascii="PingFang TC" w:cs="PingFang TC" w:eastAsia="PingFang TC" w:hAnsi="PingFang TC"/>
          <w:b/>
          <w:bCs/>
          <w:sz w:val="24"/>
          <w:szCs w:val="24"/>
        </w:rPr>
        <w:t xml:space="preserve">形式</w:t>
      </w:r>
      <w:r>
        <w:rPr>
          <w:rFonts w:ascii="PingFang TC" w:cs="PingFang TC" w:eastAsia="PingFang TC" w:hAnsi="PingFang TC"/>
          <w:sz w:val="24"/>
          <w:szCs w:val="24"/>
        </w:rPr>
        <w:t xml:space="preserve">一路存續到骨層級——與時序 micro-CT 對 mechanostat 參數的估計一致 [12]——但</w:t>
      </w:r>
      <w:r>
        <w:rPr>
          <w:rFonts w:ascii="PingFang TC" w:cs="PingFang TC" w:eastAsia="PingFang TC" w:hAnsi="PingFang TC"/>
          <w:b/>
          <w:bCs/>
          <w:sz w:val="24"/>
          <w:szCs w:val="24"/>
        </w:rPr>
        <w:t xml:space="preserve">符號沒有</w:t>
      </w:r>
      <w:r>
        <w:rPr>
          <w:rFonts w:ascii="PingFang TC" w:cs="PingFang TC" w:eastAsia="PingFang TC" w:hAnsi="PingFang TC"/>
          <w:sz w:val="24"/>
          <w:szCs w:val="24"/>
        </w:rPr>
        <w:t xml:space="preserve">：面積骨密度變化由 +0.715 % 降至 +0.560 %（r = −0.997）。以等時長為對照（固定 bout 時長、循環數隨頻率調整）得到相同符號，故此非場次長度所致的假影。機制在於通道開啟速率對剪應力飽和，因此高頻下每循環受載時間縮短的代價，大於峰值剪應力提高所帶來的獲益。實驗上，在此頻率範圍內較高頻率更具成骨性 [11]。</w:t>
      </w:r>
      <w:r>
        <w:rPr>
          <w:rFonts w:ascii="PingFang TC" w:cs="PingFang TC" w:eastAsia="PingFang TC" w:hAnsi="PingFang TC"/>
          <w:b/>
          <w:bCs/>
          <w:sz w:val="24"/>
          <w:szCs w:val="24"/>
        </w:rPr>
        <w:t xml:space="preserve">這是我們佔位通道速率常數最尖銳的可證偽後果，也是取得更佳數值後第一個該複驗的量。</w:t>
      </w:r>
    </w:p>
    <w:p>
      <w:pPr>
        <w:pStyle w:val="Heading2"/>
        <w:spacing w:after="120" w:before="240" w:line="360" w:lineRule="auto"/>
      </w:pPr>
      <w:r>
        <w:rPr>
          <w:rFonts w:ascii="PingFang TC" w:cs="PingFang TC" w:eastAsia="PingFang TC" w:hAnsi="PingFang TC"/>
          <w:b/>
          <w:bCs/>
          <w:i/>
          <w:iCs/>
          <w:sz w:val="24"/>
          <w:szCs w:val="24"/>
        </w:rPr>
        <w:t xml:space="preserve">P1：鈣是許可性的，負荷是指令性的——在陳明的度量之下</w:t>
      </w:r>
    </w:p>
    <w:p>
      <w:pPr>
        <w:spacing w:after="120" w:line="480" w:lineRule="auto"/>
      </w:pPr>
      <w:r>
        <w:rPr>
          <w:rFonts w:ascii="PingFang TC" w:cs="PingFang TC" w:eastAsia="PingFang TC" w:hAnsi="PingFang TC"/>
          <w:b/>
          <w:bCs/>
          <w:sz w:val="24"/>
          <w:szCs w:val="24"/>
        </w:rPr>
        <w:t xml:space="preserve">圖 3</w:t>
      </w:r>
      <w:r>
        <w:rPr>
          <w:rFonts w:ascii="PingFang TC" w:cs="PingFang TC" w:eastAsia="PingFang TC" w:hAnsi="PingFang TC"/>
          <w:sz w:val="24"/>
          <w:szCs w:val="24"/>
        </w:rPr>
        <w:t xml:space="preserve"> 呈現四種鈣攝取量對三種負荷層級、為期 24 個月的因子設計。P1 由三個子句構成，我們在給出數字之前先陳明各自的門檻。</w:t>
      </w:r>
      <w:r>
        <w:rPr>
          <w:rFonts w:ascii="PingFang TC" w:cs="PingFang TC" w:eastAsia="PingFang TC" w:hAnsi="PingFang TC"/>
          <w:b/>
          <w:bCs/>
          <w:sz w:val="24"/>
          <w:szCs w:val="24"/>
        </w:rPr>
        <w:t xml:space="preserve">子句 1</w:t>
      </w:r>
      <w:r>
        <w:rPr>
          <w:rFonts w:ascii="PingFang TC" w:cs="PingFang TC" w:eastAsia="PingFang TC" w:hAnsi="PingFang TC"/>
          <w:sz w:val="24"/>
          <w:szCs w:val="24"/>
        </w:rPr>
        <w:t xml:space="preserve">：在鈣充足區間內，鈣對 24 個月骨密度的邊際效益低於 1 %。</w:t>
      </w:r>
      <w:r>
        <w:rPr>
          <w:rFonts w:ascii="PingFang TC" w:cs="PingFang TC" w:eastAsia="PingFang TC" w:hAnsi="PingFang TC"/>
          <w:b/>
          <w:bCs/>
          <w:sz w:val="24"/>
          <w:szCs w:val="24"/>
        </w:rPr>
        <w:t xml:space="preserve">子句 2</w:t>
      </w:r>
      <w:r>
        <w:rPr>
          <w:rFonts w:ascii="PingFang TC" w:cs="PingFang TC" w:eastAsia="PingFang TC" w:hAnsi="PingFang TC"/>
          <w:sz w:val="24"/>
          <w:szCs w:val="24"/>
        </w:rPr>
        <w:t xml:space="preserve">：適當的負荷方案在同期間超過 4 %。</w:t>
      </w:r>
      <w:r>
        <w:rPr>
          <w:rFonts w:ascii="PingFang TC" w:cs="PingFang TC" w:eastAsia="PingFang TC" w:hAnsi="PingFang TC"/>
          <w:b/>
          <w:bCs/>
          <w:sz w:val="24"/>
          <w:szCs w:val="24"/>
        </w:rPr>
        <w:t xml:space="preserve">子句 3</w:t>
      </w:r>
      <w:r>
        <w:rPr>
          <w:rFonts w:ascii="PingFang TC" w:cs="PingFang TC" w:eastAsia="PingFang TC" w:hAnsi="PingFang TC"/>
          <w:sz w:val="24"/>
          <w:szCs w:val="24"/>
        </w:rPr>
        <w:t xml:space="preserve">：兩者交互作用為非相加，鈣缺乏會截斷負荷所能建造的量。</w:t>
      </w:r>
    </w:p>
    <w:p>
      <w:pPr>
        <w:spacing w:after="120" w:line="480" w:lineRule="auto"/>
      </w:pPr>
      <w:r>
        <w:rPr>
          <w:rFonts w:ascii="PingFang TC" w:cs="PingFang TC" w:eastAsia="PingFang TC" w:hAnsi="PingFang TC"/>
          <w:i/>
          <w:iCs/>
          <w:sz w:val="24"/>
          <w:szCs w:val="24"/>
        </w:rPr>
        <w:t xml:space="preserve">子句 1。</w:t>
      </w:r>
      <w:r>
        <w:rPr>
          <w:rFonts w:ascii="PingFang TC" w:cs="PingFang TC" w:eastAsia="PingFang TC" w:hAnsi="PingFang TC"/>
          <w:sz w:val="24"/>
          <w:szCs w:val="24"/>
        </w:rPr>
        <w:t xml:space="preserve"> 將鈣由 800 提高至 1500 mg/day——即本子句所指的充足區間——24 個月面積骨密度變化為 </w:t>
      </w:r>
      <w:r>
        <w:rPr>
          <w:rFonts w:ascii="PingFang TC" w:cs="PingFang TC" w:eastAsia="PingFang TC" w:hAnsi="PingFang TC"/>
          <w:b/>
          <w:bCs/>
          <w:sz w:val="24"/>
          <w:szCs w:val="24"/>
        </w:rPr>
        <w:t xml:space="preserve">+0.304 %</w:t>
      </w:r>
      <w:r>
        <w:rPr>
          <w:rFonts w:ascii="PingFang TC" w:cs="PingFang TC" w:eastAsia="PingFang TC" w:hAnsi="PingFang TC"/>
          <w:sz w:val="24"/>
          <w:szCs w:val="24"/>
        </w:rPr>
        <w:t xml:space="preserve">，低於 1 % 的門檻。若改用校正標的 V7 所定義的較寬對比（400 至 1500 mg/day），變化為 +0.663 %，</w:t>
      </w:r>
      <w:r>
        <w:rPr>
          <w:rFonts w:ascii="PingFang TC" w:cs="PingFang TC" w:eastAsia="PingFang TC" w:hAnsi="PingFang TC"/>
          <w:b/>
          <w:bCs/>
          <w:sz w:val="24"/>
          <w:szCs w:val="24"/>
        </w:rPr>
        <w:t xml:space="preserve">略低於</w:t>
      </w:r>
      <w:r>
        <w:rPr>
          <w:rFonts w:ascii="PingFang TC" w:cs="PingFang TC" w:eastAsia="PingFang TC" w:hAnsi="PingFang TC"/>
          <w:sz w:val="24"/>
          <w:szCs w:val="24"/>
        </w:rPr>
        <w:t xml:space="preserve"> Tai 等人報告的 +0.7 至 +1.8 % 帶 [6] —— 差 0.037，而宣告容差為 0.8；我們如實報告而非把它擬合掉。它是在骨細胞周轉常數被修正時出現的（見限制一節），而</w:t>
      </w:r>
      <w:r>
        <w:rPr>
          <w:rFonts w:ascii="PingFang TC" w:cs="PingFang TC" w:eastAsia="PingFang TC" w:hAnsi="PingFang TC"/>
          <w:b/>
          <w:bCs/>
          <w:sz w:val="24"/>
          <w:szCs w:val="24"/>
        </w:rPr>
        <w:t xml:space="preserve">方向才是關鍵</w:t>
      </w:r>
      <w:r>
        <w:rPr>
          <w:rFonts w:ascii="PingFang TC" w:cs="PingFang TC" w:eastAsia="PingFang TC" w:hAnsi="PingFang TC"/>
          <w:sz w:val="24"/>
          <w:szCs w:val="24"/>
        </w:rPr>
        <w:t xml:space="preserve">：鈣這條臂原本騎在一個假影上，移除假影使鈣</w:t>
      </w:r>
      <w:r>
        <w:rPr>
          <w:rFonts w:ascii="PingFang TC" w:cs="PingFang TC" w:eastAsia="PingFang TC" w:hAnsi="PingFang TC"/>
          <w:b/>
          <w:bCs/>
          <w:sz w:val="24"/>
          <w:szCs w:val="24"/>
        </w:rPr>
        <w:t xml:space="preserve">更沒有效</w:t>
      </w:r>
      <w:r>
        <w:rPr>
          <w:rFonts w:ascii="PingFang TC" w:cs="PingFang TC" w:eastAsia="PingFang TC" w:hAnsi="PingFang TC"/>
          <w:sz w:val="24"/>
          <w:szCs w:val="24"/>
        </w:rPr>
        <w:t xml:space="preserve">。這是本研究中第二次「修好一個不相干的東西反而縮小了鈣效應」，而兩次都是</w:t>
      </w:r>
      <w:r>
        <w:rPr>
          <w:rFonts w:ascii="PingFang TC" w:cs="PingFang TC" w:eastAsia="PingFang TC" w:hAnsi="PingFang TC"/>
          <w:b/>
          <w:bCs/>
          <w:sz w:val="24"/>
          <w:szCs w:val="24"/>
        </w:rPr>
        <w:t xml:space="preserve">強化</w:t>
      </w:r>
      <w:r>
        <w:rPr>
          <w:rFonts w:ascii="PingFang TC" w:cs="PingFang TC" w:eastAsia="PingFang TC" w:hAnsi="PingFang TC"/>
          <w:sz w:val="24"/>
          <w:szCs w:val="24"/>
        </w:rPr>
        <w:t xml:space="preserve">而非削弱 P1 的許可性那一半。兩種對比下該增量都在第一年內達平台而非持續累積。這個</w:t>
      </w:r>
      <w:r>
        <w:rPr>
          <w:rFonts w:ascii="PingFang TC" w:cs="PingFang TC" w:eastAsia="PingFang TC" w:hAnsi="PingFang TC"/>
          <w:b/>
          <w:bCs/>
          <w:sz w:val="24"/>
          <w:szCs w:val="24"/>
        </w:rPr>
        <w:t xml:space="preserve">非漸進式的形態</w:t>
      </w:r>
      <w:r>
        <w:rPr>
          <w:rFonts w:ascii="PingFang TC" w:cs="PingFang TC" w:eastAsia="PingFang TC" w:hAnsi="PingFang TC"/>
          <w:sz w:val="24"/>
          <w:szCs w:val="24"/>
        </w:rPr>
        <w:t xml:space="preserve">才是具鑑別力的特徵，而非其幅度；而它本身就是一個獨立的擬合標的，也有自己的門檻：後半段期間該增量的斜率絕對值須低於 0.3 %/年，實得 </w:t>
      </w:r>
      <w:r>
        <w:rPr>
          <w:rFonts w:ascii="PingFang TC" w:cs="PingFang TC" w:eastAsia="PingFang TC" w:hAnsi="PingFang TC"/>
          <w:b/>
          <w:bCs/>
          <w:sz w:val="24"/>
          <w:szCs w:val="24"/>
        </w:rPr>
        <w:t xml:space="preserve">−0.131 %/年</w:t>
      </w:r>
      <w:r>
        <w:rPr>
          <w:rFonts w:ascii="PingFang TC" w:cs="PingFang TC" w:eastAsia="PingFang TC" w:hAnsi="PingFang TC"/>
          <w:sz w:val="24"/>
          <w:szCs w:val="24"/>
        </w:rPr>
        <w:t xml:space="preserve">——平坦，甚至略微下降。</w:t>
      </w:r>
    </w:p>
    <w:p>
      <w:pPr>
        <w:spacing w:after="120" w:line="480" w:lineRule="auto"/>
      </w:pPr>
      <w:r>
        <w:rPr>
          <w:rFonts w:ascii="PingFang TC" w:cs="PingFang TC" w:eastAsia="PingFang TC" w:hAnsi="PingFang TC"/>
          <w:i/>
          <w:iCs/>
          <w:sz w:val="24"/>
          <w:szCs w:val="24"/>
        </w:rPr>
        <w:t xml:space="preserve">子句 2。</w:t>
      </w:r>
      <w:r>
        <w:rPr>
          <w:rFonts w:ascii="PingFang TC" w:cs="PingFang TC" w:eastAsia="PingFang TC" w:hAnsi="PingFang TC"/>
          <w:sz w:val="24"/>
          <w:szCs w:val="24"/>
        </w:rPr>
        <w:t xml:space="preserve"> 一個適當的負荷方案——我們明確定義為峰值應變約 </w:t>
      </w:r>
      <w:r>
        <w:rPr>
          <w:rFonts w:ascii="PingFang TC" w:cs="PingFang TC" w:eastAsia="PingFang TC" w:hAnsi="PingFang TC"/>
          <w:b/>
          <w:bCs/>
          <w:sz w:val="24"/>
          <w:szCs w:val="24"/>
        </w:rPr>
        <w:t xml:space="preserve">2900 με</w:t>
      </w:r>
      <w:r>
        <w:rPr>
          <w:rFonts w:ascii="PingFang TC" w:cs="PingFang TC" w:eastAsia="PingFang TC" w:hAnsi="PingFang TC"/>
          <w:sz w:val="24"/>
          <w:szCs w:val="24"/>
        </w:rPr>
        <w:t xml:space="preserve">，仍低於 3000 με 的生理上限，且與菁英網球選手的肱骨相當——使骨礦物含量提升 </w:t>
      </w:r>
      <w:r>
        <w:rPr>
          <w:rFonts w:ascii="PingFang TC" w:cs="PingFang TC" w:eastAsia="PingFang TC" w:hAnsi="PingFang TC"/>
          <w:b/>
          <w:bCs/>
          <w:sz w:val="24"/>
          <w:szCs w:val="24"/>
        </w:rPr>
        <w:t xml:space="preserve">+4.582 %</w:t>
      </w:r>
      <w:r>
        <w:rPr>
          <w:rFonts w:ascii="PingFang TC" w:cs="PingFang TC" w:eastAsia="PingFang TC" w:hAnsi="PingFang TC"/>
          <w:sz w:val="24"/>
          <w:szCs w:val="24"/>
        </w:rPr>
        <w:t xml:space="preserve">，超過 4 % 的門檻。與鈣的比值為 </w:t>
      </w:r>
      <w:r>
        <w:rPr>
          <w:rFonts w:ascii="PingFang TC" w:cs="PingFang TC" w:eastAsia="PingFang TC" w:hAnsi="PingFang TC"/>
          <w:b/>
          <w:bCs/>
          <w:sz w:val="24"/>
          <w:szCs w:val="24"/>
        </w:rPr>
        <w:t xml:space="preserve">15.3 倍</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sz w:val="24"/>
          <w:szCs w:val="24"/>
        </w:rPr>
        <w:t xml:space="preserve">有兩項限定條件並非但書，而是結果本身。</w:t>
      </w:r>
    </w:p>
    <w:p>
      <w:pPr>
        <w:spacing w:after="120" w:line="480" w:lineRule="auto"/>
      </w:pPr>
      <w:r>
        <w:rPr>
          <w:rFonts w:ascii="PingFang TC" w:cs="PingFang TC" w:eastAsia="PingFang TC" w:hAnsi="PingFang TC"/>
          <w:b/>
          <w:bCs/>
          <w:sz w:val="24"/>
          <w:szCs w:val="24"/>
        </w:rPr>
        <w:t xml:space="preserve">度量會改變答案。</w:t>
      </w:r>
      <w:r>
        <w:rPr>
          <w:rFonts w:ascii="PingFang TC" w:cs="PingFang TC" w:eastAsia="PingFang TC" w:hAnsi="PingFang TC"/>
          <w:sz w:val="24"/>
          <w:szCs w:val="24"/>
        </w:rPr>
        <w:t xml:space="preserve"> 同一個負荷對比若以面積骨密度衡量是 +1.778 %，而非 +4.582 %：面積骨密度是以骨量除以投影寬度，而負荷會使骨膜表面外移，因此</w:t>
      </w:r>
      <w:r>
        <w:rPr>
          <w:rFonts w:ascii="PingFang TC" w:cs="PingFang TC" w:eastAsia="PingFang TC" w:hAnsi="PingFang TC"/>
          <w:b/>
          <w:bCs/>
          <w:sz w:val="24"/>
          <w:szCs w:val="24"/>
        </w:rPr>
        <w:t xml:space="preserve">雙能量 X 光吸收儀（DXA）將負荷反應稀釋了 61 %</w:t>
      </w:r>
      <w:r>
        <w:rPr>
          <w:rFonts w:ascii="PingFang TC" w:cs="PingFang TC" w:eastAsia="PingFang TC" w:hAnsi="PingFang TC"/>
          <w:sz w:val="24"/>
          <w:szCs w:val="24"/>
        </w:rPr>
        <w:t xml:space="preserve">。我們的模型刻意保留這個尺寸假影，因為正是它讓同一個模型能同時對照骨密度儀文獻與周邊定量電腦斷層文獻。</w:t>
      </w:r>
      <w:r>
        <w:rPr>
          <w:rFonts w:ascii="PingFang TC" w:cs="PingFang TC" w:eastAsia="PingFang TC" w:hAnsi="PingFang TC"/>
          <w:b/>
          <w:bCs/>
          <w:sz w:val="24"/>
          <w:szCs w:val="24"/>
        </w:rPr>
        <w:t xml:space="preserve">以面積骨密度陳述 P1 第二子句，等於把一個測量假影當成生物學來報告。</w:t>
      </w:r>
    </w:p>
    <w:p>
      <w:pPr>
        <w:spacing w:after="120" w:line="480" w:lineRule="auto"/>
      </w:pPr>
      <w:r>
        <w:rPr>
          <w:rFonts w:ascii="PingFang TC" w:cs="PingFang TC" w:eastAsia="PingFang TC" w:hAnsi="PingFang TC"/>
          <w:b/>
          <w:bCs/>
          <w:sz w:val="24"/>
          <w:szCs w:val="24"/>
        </w:rPr>
        <w:t xml:space="preserve">強度也會改變答案。</w:t>
      </w:r>
      <w:r>
        <w:rPr>
          <w:rFonts w:ascii="PingFang TC" w:cs="PingFang TC" w:eastAsia="PingFang TC" w:hAnsi="PingFang TC"/>
          <w:sz w:val="24"/>
          <w:szCs w:val="24"/>
        </w:rPr>
        <w:t xml:space="preserve"> 中等強度的阻力負荷（2236 με）僅得 +3.118 %，不足以支持該主張。「適當負荷」若不加定義，會使這個預測</w:t>
      </w:r>
      <w:r>
        <w:rPr>
          <w:rFonts w:ascii="PingFang TC" w:cs="PingFang TC" w:eastAsia="PingFang TC" w:hAnsi="PingFang TC"/>
          <w:b/>
          <w:bCs/>
          <w:sz w:val="24"/>
          <w:szCs w:val="24"/>
        </w:rPr>
        <w:t xml:space="preserve">無法被證偽</w:t>
      </w:r>
      <w:r>
        <w:rPr>
          <w:rFonts w:ascii="PingFang TC" w:cs="PingFang TC" w:eastAsia="PingFang TC" w:hAnsi="PingFang TC"/>
          <w:sz w:val="24"/>
          <w:szCs w:val="24"/>
        </w:rPr>
        <w:t xml:space="preserve">，因為任何未達標都可歸咎於負荷不夠適當。</w:t>
      </w:r>
    </w:p>
    <w:p>
      <w:pPr>
        <w:spacing w:after="120" w:line="480" w:lineRule="auto"/>
      </w:pPr>
      <w:r>
        <w:rPr>
          <w:rFonts w:ascii="PingFang TC" w:cs="PingFang TC" w:eastAsia="PingFang TC" w:hAnsi="PingFang TC"/>
          <w:i/>
          <w:iCs/>
          <w:sz w:val="24"/>
          <w:szCs w:val="24"/>
        </w:rPr>
        <w:t xml:space="preserve">子句 3</w:t>
      </w:r>
      <w:r>
        <w:rPr>
          <w:rFonts w:ascii="PingFang TC" w:cs="PingFang TC" w:eastAsia="PingFang TC" w:hAnsi="PingFang TC"/>
          <w:sz w:val="24"/>
          <w:szCs w:val="24"/>
        </w:rPr>
        <w:t xml:space="preserve"> 在兩種表述下都成立，而我們要指出：</w:t>
      </w:r>
      <w:r>
        <w:rPr>
          <w:rFonts w:ascii="PingFang TC" w:cs="PingFang TC" w:eastAsia="PingFang TC" w:hAnsi="PingFang TC"/>
          <w:b/>
          <w:bCs/>
          <w:sz w:val="24"/>
          <w:szCs w:val="24"/>
        </w:rPr>
        <w:t xml:space="preserve">在本模型的較早版本中並非如此</w:t>
      </w:r>
      <w:r>
        <w:rPr>
          <w:rFonts w:ascii="PingFang TC" w:cs="PingFang TC" w:eastAsia="PingFang TC" w:hAnsi="PingFang TC"/>
          <w:sz w:val="24"/>
          <w:szCs w:val="24"/>
        </w:rPr>
        <w:t xml:space="preserve">。鈣缺乏確實截斷了負荷所能建造的骨量：在劇烈負荷下，嚴重缺鈣達成 +3.994 %，而補充充足時為 +4.756 %，故缺乏耗掉了增益的 16 %。而</w:t>
      </w:r>
      <w:r>
        <w:rPr>
          <w:rFonts w:ascii="PingFang TC" w:cs="PingFang TC" w:eastAsia="PingFang TC" w:hAnsi="PingFang TC"/>
          <w:b/>
          <w:bCs/>
          <w:sz w:val="24"/>
          <w:szCs w:val="24"/>
        </w:rPr>
        <w:t xml:space="preserve">差異中的差異</w:t>
      </w:r>
      <w:r>
        <w:rPr>
          <w:rFonts w:ascii="PingFang TC" w:cs="PingFang TC" w:eastAsia="PingFang TC" w:hAnsi="PingFang TC"/>
          <w:sz w:val="24"/>
          <w:szCs w:val="24"/>
        </w:rPr>
        <w:t xml:space="preserve">交互作用——負荷組減久坐組，再跨鈣量比較——是 </w:t>
      </w:r>
      <w:r>
        <w:rPr>
          <w:rFonts w:ascii="PingFang TC" w:cs="PingFang TC" w:eastAsia="PingFang TC" w:hAnsi="PingFang TC"/>
          <w:b/>
          <w:bCs/>
          <w:sz w:val="24"/>
          <w:szCs w:val="24"/>
        </w:rPr>
        <w:t xml:space="preserve">+0.085</w:t>
      </w:r>
      <w:r>
        <w:rPr>
          <w:rFonts w:ascii="PingFang TC" w:cs="PingFang TC" w:eastAsia="PingFang TC" w:hAnsi="PingFang TC"/>
          <w:sz w:val="24"/>
          <w:szCs w:val="24"/>
        </w:rPr>
        <w:t xml:space="preserve"> 個百分點，符號相同，故負荷的邊際效益確實在鈣充足時較大。</w:t>
      </w:r>
    </w:p>
    <w:p>
      <w:pPr>
        <w:spacing w:after="120" w:line="480" w:lineRule="auto"/>
      </w:pPr>
      <w:r>
        <w:rPr>
          <w:rFonts w:ascii="PingFang TC" w:cs="PingFang TC" w:eastAsia="PingFang TC" w:hAnsi="PingFang TC"/>
          <w:sz w:val="24"/>
          <w:szCs w:val="24"/>
        </w:rPr>
        <w:t xml:space="preserve">我們報告這段歷史，因為它關係到這個子句能承載多少重量。在全身鈣模組被重建之前（見限制一節），同一個量是 </w:t>
      </w:r>
      <w:r>
        <w:rPr>
          <w:rFonts w:ascii="PingFang TC" w:cs="PingFang TC" w:eastAsia="PingFang TC" w:hAnsi="PingFang TC"/>
          <w:b/>
          <w:bCs/>
          <w:sz w:val="24"/>
          <w:szCs w:val="24"/>
        </w:rPr>
        <w:t xml:space="preserve">−0.536</w:t>
      </w:r>
      <w:r>
        <w:rPr>
          <w:rFonts w:ascii="PingFang TC" w:cs="PingFang TC" w:eastAsia="PingFang TC" w:hAnsi="PingFang TC"/>
          <w:sz w:val="24"/>
          <w:szCs w:val="24"/>
        </w:rPr>
        <w:t xml:space="preserve"> 個百分點——符號相反——因為缺乏把久坐對照組拉低的速度快於負荷組，那是比較組的</w:t>
      </w:r>
      <w:r>
        <w:rPr>
          <w:rFonts w:ascii="PingFang TC" w:cs="PingFang TC" w:eastAsia="PingFang TC" w:hAnsi="PingFang TC"/>
          <w:b/>
          <w:bCs/>
          <w:sz w:val="24"/>
          <w:szCs w:val="24"/>
        </w:rPr>
        <w:t xml:space="preserve">地板效應</w:t>
      </w:r>
      <w:r>
        <w:rPr>
          <w:rFonts w:ascii="PingFang TC" w:cs="PingFang TC" w:eastAsia="PingFang TC" w:hAnsi="PingFang TC"/>
          <w:sz w:val="24"/>
          <w:szCs w:val="24"/>
        </w:rPr>
        <w:t xml:space="preserve">而非協同。</w:t>
      </w:r>
      <w:r>
        <w:rPr>
          <w:rFonts w:ascii="PingFang TC" w:cs="PingFang TC" w:eastAsia="PingFang TC" w:hAnsi="PingFang TC"/>
          <w:b/>
          <w:bCs/>
          <w:sz w:val="24"/>
          <w:szCs w:val="24"/>
        </w:rPr>
        <w:t xml:space="preserve">移除超生理血鈣擺動的那次修正，同時把這個交互作用翻了符號。</w:t>
      </w:r>
      <w:r>
        <w:rPr>
          <w:rFonts w:ascii="PingFang TC" w:cs="PingFang TC" w:eastAsia="PingFang TC" w:hAnsi="PingFang TC"/>
          <w:sz w:val="24"/>
          <w:szCs w:val="24"/>
        </w:rPr>
        <w:t xml:space="preserve"> 一個會因為兩個模組之外的修復而改變符號的結論，應該被鬆散地持有。</w:t>
      </w:r>
    </w:p>
    <w:p>
      <w:pPr>
        <w:spacing w:after="120" w:line="480" w:lineRule="auto"/>
      </w:pPr>
      <w:r>
        <w:rPr>
          <w:rFonts w:ascii="PingFang TC" w:cs="PingFang TC" w:eastAsia="PingFang TC" w:hAnsi="PingFang TC"/>
          <w:b/>
          <w:bCs/>
          <w:sz w:val="24"/>
          <w:szCs w:val="24"/>
        </w:rPr>
        <w:t xml:space="preserve">因此 P1 的三個子句中有一個會在另一個同樣合理的度量下符號反轉</w:t>
      </w:r>
      <w:r>
        <w:rPr>
          <w:rFonts w:ascii="PingFang TC" w:cs="PingFang TC" w:eastAsia="PingFang TC" w:hAnsi="PingFang TC"/>
          <w:sz w:val="24"/>
          <w:szCs w:val="24"/>
        </w:rPr>
        <w:t xml:space="preserve">，而另一個曾經如此，直到模型別處的一個模組被修正為止。我們視此為關於「這類主張該如何報告」的實質發現，而非模型的弱點，並在討論中回到這一點。</w:t>
      </w:r>
    </w:p>
    <w:p>
      <w:pPr>
        <w:pStyle w:val="Heading2"/>
        <w:spacing w:after="120" w:before="240" w:line="360" w:lineRule="auto"/>
      </w:pPr>
      <w:r>
        <w:rPr>
          <w:rFonts w:ascii="PingFang TC" w:cs="PingFang TC" w:eastAsia="PingFang TC" w:hAnsi="PingFang TC"/>
          <w:b/>
          <w:bCs/>
          <w:i/>
          <w:iCs/>
          <w:sz w:val="24"/>
          <w:szCs w:val="24"/>
        </w:rPr>
        <w:t xml:space="preserve">P2：只有局部負荷能產生局部差異</w:t>
      </w:r>
    </w:p>
    <w:p>
      <w:pPr>
        <w:spacing w:after="120" w:line="480" w:lineRule="auto"/>
      </w:pPr>
      <w:r>
        <w:rPr>
          <w:rFonts w:ascii="PingFang TC" w:cs="PingFang TC" w:eastAsia="PingFang TC" w:hAnsi="PingFang TC"/>
          <w:b/>
          <w:bCs/>
          <w:sz w:val="24"/>
          <w:szCs w:val="24"/>
        </w:rPr>
        <w:t xml:space="preserve">圖 6</w:t>
      </w:r>
      <w:r>
        <w:rPr>
          <w:rFonts w:ascii="PingFang TC" w:cs="PingFang TC" w:eastAsia="PingFang TC" w:hAnsi="PingFang TC"/>
          <w:sz w:val="24"/>
          <w:szCs w:val="24"/>
        </w:rPr>
        <w:t xml:space="preserve"> 呈現雙腔室結果：一側肱骨受負荷、一側不受，兩者共用單一的全身鈣與副甲狀腺素池，為期五年。P2 由兩半構成，而</w:t>
      </w:r>
      <w:r>
        <w:rPr>
          <w:rFonts w:ascii="PingFang TC" w:cs="PingFang TC" w:eastAsia="PingFang TC" w:hAnsi="PingFang TC"/>
          <w:b/>
          <w:bCs/>
          <w:sz w:val="24"/>
          <w:szCs w:val="24"/>
        </w:rPr>
        <w:t xml:space="preserve">第二半才是能被乾淨否證的那一半</w:t>
      </w:r>
      <w:r>
        <w:rPr>
          <w:rFonts w:ascii="PingFang TC" w:cs="PingFang TC" w:eastAsia="PingFang TC" w:hAnsi="PingFang TC"/>
          <w:sz w:val="24"/>
          <w:szCs w:val="24"/>
        </w:rPr>
        <w:t xml:space="preserve">。</w:t>
      </w:r>
      <w:r>
        <w:rPr>
          <w:rFonts w:ascii="PingFang TC" w:cs="PingFang TC" w:eastAsia="PingFang TC" w:hAnsi="PingFang TC"/>
          <w:b/>
          <w:bCs/>
          <w:sz w:val="24"/>
          <w:szCs w:val="24"/>
        </w:rPr>
        <w:t xml:space="preserve">第一半</w:t>
      </w:r>
      <w:r>
        <w:rPr>
          <w:rFonts w:ascii="PingFang TC" w:cs="PingFang TC" w:eastAsia="PingFang TC" w:hAnsi="PingFang TC"/>
          <w:sz w:val="24"/>
          <w:szCs w:val="24"/>
        </w:rPr>
        <w:t xml:space="preserve">：單側負荷應能重現球拍運動者的肱骨。</w:t>
      </w:r>
      <w:r>
        <w:rPr>
          <w:rFonts w:ascii="PingFang TC" w:cs="PingFang TC" w:eastAsia="PingFang TC" w:hAnsi="PingFang TC"/>
          <w:b/>
          <w:bCs/>
          <w:sz w:val="24"/>
          <w:szCs w:val="24"/>
        </w:rPr>
        <w:t xml:space="preserve">第二半</w:t>
      </w:r>
      <w:r>
        <w:rPr>
          <w:rFonts w:ascii="PingFang TC" w:cs="PingFang TC" w:eastAsia="PingFang TC" w:hAnsi="PingFang TC"/>
          <w:sz w:val="24"/>
          <w:szCs w:val="24"/>
        </w:rPr>
        <w:t xml:space="preserve">：任何全身性介入都不應產生左右差異——只要在全身性藥劑下出現任何一個非零的不對稱，即可否證之。</w:t>
      </w:r>
    </w:p>
    <w:p>
      <w:pPr>
        <w:spacing w:after="120" w:line="480" w:lineRule="auto"/>
      </w:pPr>
      <w:r>
        <w:rPr>
          <w:rFonts w:ascii="PingFang TC" w:cs="PingFang TC" w:eastAsia="PingFang TC" w:hAnsi="PingFang TC"/>
          <w:sz w:val="24"/>
          <w:szCs w:val="24"/>
        </w:rPr>
        <w:t xml:space="preserve">Haapasalo 等人 [7] 報告的六項指標全部落在容差內（模型值對實測區間）：骨礦物含量 +12.38 % 對 14–27 %、總截面積 +12.17 % 對 16–21 %、皮質面積 +10.40 % 對 12–32 %、最大慣性矩 +24.48 % 對 27–67 %、髓腔面積 +13.93 % 對 19 %、皮質體積骨密度 +1.79 % 對 −2 至 0 %。各項容差列於 </w:t>
      </w:r>
      <w:r>
        <w:rPr>
          <w:rFonts w:ascii="PingFang TC" w:cs="PingFang TC" w:eastAsia="PingFang TC" w:hAnsi="PingFang TC"/>
          <w:b/>
          <w:bCs/>
          <w:sz w:val="24"/>
          <w:szCs w:val="24"/>
        </w:rPr>
        <w:t xml:space="preserve">S2 Table</w:t>
      </w:r>
      <w:r>
        <w:rPr>
          <w:rFonts w:ascii="PingFang TC" w:cs="PingFang TC" w:eastAsia="PingFang TC" w:hAnsi="PingFang TC"/>
          <w:sz w:val="24"/>
          <w:szCs w:val="24"/>
        </w:rPr>
        <w:t xml:space="preserve">。這些都是</w:t>
      </w:r>
      <w:r>
        <w:rPr>
          <w:rFonts w:ascii="PingFang TC" w:cs="PingFang TC" w:eastAsia="PingFang TC" w:hAnsi="PingFang TC"/>
          <w:b/>
          <w:bCs/>
          <w:sz w:val="24"/>
          <w:szCs w:val="24"/>
        </w:rPr>
        <w:t xml:space="preserve">盲測值</w:t>
      </w:r>
      <w:r>
        <w:rPr>
          <w:rFonts w:ascii="PingFang TC" w:cs="PingFang TC" w:eastAsia="PingFang TC" w:hAnsi="PingFang TC"/>
          <w:sz w:val="24"/>
          <w:szCs w:val="24"/>
        </w:rPr>
        <w:t xml:space="preserve">。最具鑑別力的是最後一項：打球側的增益是幾何性的，體積骨密度基本不變，而模型從未針對該約束被擬合。</w:t>
      </w:r>
    </w:p>
    <w:p>
      <w:pPr>
        <w:spacing w:after="120" w:line="480" w:lineRule="auto"/>
      </w:pPr>
      <w:r>
        <w:rPr>
          <w:rFonts w:ascii="PingFang TC" w:cs="PingFang TC" w:eastAsia="PingFang TC" w:hAnsi="PingFang TC"/>
          <w:sz w:val="24"/>
          <w:szCs w:val="24"/>
        </w:rPr>
        <w:t xml:space="preserve">互補的主張更為尖銳。當兩側手臂受到相同負荷、並施加全身性介入——1500 mg/day 鈣，或 romosozumab——左右差異分別為 </w:t>
      </w:r>
      <w:r>
        <w:rPr>
          <w:rFonts w:ascii="PingFang TC" w:cs="PingFang TC" w:eastAsia="PingFang TC" w:hAnsi="PingFang TC"/>
          <w:b/>
          <w:bCs/>
          <w:sz w:val="24"/>
          <w:szCs w:val="24"/>
        </w:rPr>
        <w:t xml:space="preserve">−0.0000 %</w:t>
      </w:r>
      <w:r>
        <w:rPr>
          <w:rFonts w:ascii="PingFang TC" w:cs="PingFang TC" w:eastAsia="PingFang TC" w:hAnsi="PingFang TC"/>
          <w:sz w:val="24"/>
          <w:szCs w:val="24"/>
        </w:rPr>
        <w:t xml:space="preserve"> 與 </w:t>
      </w:r>
      <w:r>
        <w:rPr>
          <w:rFonts w:ascii="PingFang TC" w:cs="PingFang TC" w:eastAsia="PingFang TC" w:hAnsi="PingFang TC"/>
          <w:b/>
          <w:bCs/>
          <w:sz w:val="24"/>
          <w:szCs w:val="24"/>
        </w:rPr>
        <w:t xml:space="preserve">+0.0000 %</w:t>
      </w:r>
      <w:r>
        <w:rPr>
          <w:rFonts w:ascii="PingFang TC" w:cs="PingFang TC" w:eastAsia="PingFang TC" w:hAnsi="PingFang TC"/>
          <w:sz w:val="24"/>
          <w:szCs w:val="24"/>
        </w:rPr>
        <w:t xml:space="preserve">。因為兩個腔室看見的是完全相同的共用副甲狀腺素，任何全身性藥劑都無法製造出局部差異。</w:t>
      </w:r>
      <w:r>
        <w:rPr>
          <w:rFonts w:ascii="PingFang TC" w:cs="PingFang TC" w:eastAsia="PingFang TC" w:hAnsi="PingFang TC"/>
          <w:b/>
          <w:bCs/>
          <w:sz w:val="24"/>
          <w:szCs w:val="24"/>
        </w:rPr>
        <w:t xml:space="preserve">在此架構下，網球選手的不對稱無法由任何藥丸重現——這是結構使然，而非參數選擇使然。</w:t>
      </w:r>
    </w:p>
    <w:p>
      <w:pPr>
        <w:pStyle w:val="Heading2"/>
        <w:spacing w:after="120" w:before="240" w:line="360" w:lineRule="auto"/>
      </w:pPr>
      <w:r>
        <w:rPr>
          <w:rFonts w:ascii="PingFang TC" w:cs="PingFang TC" w:eastAsia="PingFang TC" w:hAnsi="PingFang TC"/>
          <w:b/>
          <w:bCs/>
          <w:i/>
          <w:iCs/>
          <w:sz w:val="24"/>
          <w:szCs w:val="24"/>
        </w:rPr>
        <w:t xml:space="preserve">廢用與最小有效對策</w:t>
      </w:r>
    </w:p>
    <w:p>
      <w:pPr>
        <w:spacing w:after="120" w:line="480" w:lineRule="auto"/>
      </w:pPr>
      <w:r>
        <w:rPr>
          <w:rFonts w:ascii="PingFang TC" w:cs="PingFang TC" w:eastAsia="PingFang TC" w:hAnsi="PingFang TC"/>
          <w:sz w:val="24"/>
          <w:szCs w:val="24"/>
        </w:rPr>
        <w:t xml:space="preserve">卸載在 180 天的視窗內產生 1.220 %/月的骨流失（</w:t>
      </w:r>
      <w:r>
        <w:rPr>
          <w:rFonts w:ascii="PingFang TC" w:cs="PingFang TC" w:eastAsia="PingFang TC" w:hAnsi="PingFang TC"/>
          <w:b/>
          <w:bCs/>
          <w:sz w:val="24"/>
          <w:szCs w:val="24"/>
        </w:rPr>
        <w:t xml:space="preserve">圖 4</w:t>
      </w:r>
      <w:r>
        <w:rPr>
          <w:rFonts w:ascii="PingFang TC" w:cs="PingFang TC" w:eastAsia="PingFang TC" w:hAnsi="PingFang TC"/>
          <w:sz w:val="24"/>
          <w:szCs w:val="24"/>
        </w:rPr>
        <w:t xml:space="preserve">）。門檻為 1.0–1.5 %/月，落在 90 天頭低位臥床研究於承重部位所報告的 1–2 %/月降幅之內 [24]。我們計算的量是骨礦物含量而非面積骨密度；在廢用情況下骨膜幾乎不動（180 天 −0.002 mm），兩者相差僅 0.003 個百分點/月——與前述負荷對比下兩者相差 61 % 形成對照。</w:t>
      </w:r>
    </w:p>
    <w:p>
      <w:pPr>
        <w:spacing w:after="120" w:line="480" w:lineRule="auto"/>
      </w:pPr>
      <w:r>
        <w:rPr>
          <w:rFonts w:ascii="PingFang TC" w:cs="PingFang TC" w:eastAsia="PingFang TC" w:hAnsi="PingFang TC"/>
          <w:sz w:val="24"/>
          <w:szCs w:val="24"/>
        </w:rPr>
        <w:t xml:space="preserve">硬化蛋白上升，方向與標的要求一致，但</w:t>
      </w:r>
      <w:r>
        <w:rPr>
          <w:rFonts w:ascii="PingFang TC" w:cs="PingFang TC" w:eastAsia="PingFang TC" w:hAnsi="PingFang TC"/>
          <w:b/>
          <w:bCs/>
          <w:sz w:val="24"/>
          <w:szCs w:val="24"/>
        </w:rPr>
        <w:t xml:space="preserve">形態是錯的</w:t>
      </w:r>
      <w:r>
        <w:rPr>
          <w:rFonts w:ascii="PingFang TC" w:cs="PingFang TC" w:eastAsia="PingFang TC" w:hAnsi="PingFang TC"/>
          <w:sz w:val="24"/>
          <w:szCs w:val="24"/>
        </w:rPr>
        <w:t xml:space="preserve">，我們據實報告為部分吻合。模型的血清硬化蛋白達到 </w:t>
      </w:r>
      <w:r>
        <w:rPr>
          <w:rFonts w:ascii="PingFang TC" w:cs="PingFang TC" w:eastAsia="PingFang TC" w:hAnsi="PingFang TC"/>
          <w:b/>
          <w:bCs/>
          <w:sz w:val="24"/>
          <w:szCs w:val="24"/>
        </w:rPr>
        <w:t xml:space="preserve">+58.0 %</w:t>
      </w:r>
      <w:r>
        <w:rPr>
          <w:rFonts w:ascii="PingFang TC" w:cs="PingFang TC" w:eastAsia="PingFang TC" w:hAnsi="PingFang TC"/>
          <w:sz w:val="24"/>
          <w:szCs w:val="24"/>
        </w:rPr>
        <w:t xml:space="preserve"> 後就停在那裡，自第 28 天起基本持平。而在男性 90 天臥床的實測中，它於第 28 天升至 +29 %、第 60 天達峰 +42 %，到第 90 天已回落至 +20 % [24]。我們重現了上升與大致的峰值幅度，但</w:t>
      </w:r>
      <w:r>
        <w:rPr>
          <w:rFonts w:ascii="PingFang TC" w:cs="PingFang TC" w:eastAsia="PingFang TC" w:hAnsi="PingFang TC"/>
          <w:b/>
          <w:bCs/>
          <w:sz w:val="24"/>
          <w:szCs w:val="24"/>
        </w:rPr>
        <w:t xml:space="preserve">沒有重現那個衰減</w:t>
      </w:r>
      <w:r>
        <w:rPr>
          <w:rFonts w:ascii="PingFang TC" w:cs="PingFang TC" w:eastAsia="PingFang TC" w:hAnsi="PingFang TC"/>
          <w:sz w:val="24"/>
          <w:szCs w:val="24"/>
        </w:rPr>
        <w:t xml:space="preserve">：本模型的硬化蛋白在數日內即平衡到新的力學劑量，之後沒有任何適應性回落。</w:t>
      </w:r>
    </w:p>
    <w:p>
      <w:pPr>
        <w:spacing w:after="120" w:line="480" w:lineRule="auto"/>
      </w:pPr>
      <w:r>
        <w:rPr>
          <w:rFonts w:ascii="PingFang TC" w:cs="PingFang TC" w:eastAsia="PingFang TC" w:hAnsi="PingFang TC"/>
          <w:sz w:val="24"/>
          <w:szCs w:val="24"/>
        </w:rPr>
        <w:t xml:space="preserve">同一個實驗還提供了第二項檢查——針對全身那一臂——而模型在我們修好它之前是失敗的。在那些受試者身上，副甲狀腺素於第 28 天下降 17 %、第 60 天下降 24 %，且尿鈣全程顯著升高 [24]——這正是典型的失用症圖像：卸載骨骼釋出的鈣抑制了副甲狀腺。</w:t>
      </w:r>
      <w:r>
        <w:rPr>
          <w:rFonts w:ascii="PingFang TC" w:cs="PingFang TC" w:eastAsia="PingFang TC" w:hAnsi="PingFang TC"/>
          <w:b/>
          <w:bCs/>
          <w:sz w:val="24"/>
          <w:szCs w:val="24"/>
        </w:rPr>
        <w:t xml:space="preserve">模型現在重現了它</w:t>
      </w:r>
      <w:r>
        <w:rPr>
          <w:rFonts w:ascii="PingFang TC" w:cs="PingFang TC" w:eastAsia="PingFang TC" w:hAnsi="PingFang TC"/>
          <w:sz w:val="24"/>
          <w:szCs w:val="24"/>
        </w:rPr>
        <w:t xml:space="preserve">：副甲狀腺素於第 28 天下降 </w:t>
      </w:r>
      <w:r>
        <w:rPr>
          <w:rFonts w:ascii="PingFang TC" w:cs="PingFang TC" w:eastAsia="PingFang TC" w:hAnsi="PingFang TC"/>
          <w:b/>
          <w:bCs/>
          <w:sz w:val="24"/>
          <w:szCs w:val="24"/>
        </w:rPr>
        <w:t xml:space="preserve">21.2 %</w:t>
      </w:r>
      <w:r>
        <w:rPr>
          <w:rFonts w:ascii="PingFang TC" w:cs="PingFang TC" w:eastAsia="PingFang TC" w:hAnsi="PingFang TC"/>
          <w:sz w:val="24"/>
          <w:szCs w:val="24"/>
        </w:rPr>
        <w:t xml:space="preserve">、第 60 天下降 </w:t>
      </w:r>
      <w:r>
        <w:rPr>
          <w:rFonts w:ascii="PingFang TC" w:cs="PingFang TC" w:eastAsia="PingFang TC" w:hAnsi="PingFang TC"/>
          <w:b/>
          <w:bCs/>
          <w:sz w:val="24"/>
          <w:szCs w:val="24"/>
        </w:rPr>
        <w:t xml:space="preserve">21.3 %</w:t>
      </w:r>
      <w:r>
        <w:rPr>
          <w:rFonts w:ascii="PingFang TC" w:cs="PingFang TC" w:eastAsia="PingFang TC" w:hAnsi="PingFang TC"/>
          <w:sz w:val="24"/>
          <w:szCs w:val="24"/>
        </w:rPr>
        <w:t xml:space="preserve">，對應血清鈣上升 2.5 %。</w:t>
      </w:r>
    </w:p>
    <w:p>
      <w:pPr>
        <w:spacing w:after="120" w:line="480" w:lineRule="auto"/>
      </w:pPr>
      <w:r>
        <w:rPr>
          <w:rFonts w:ascii="PingFang TC" w:cs="PingFang TC" w:eastAsia="PingFang TC" w:hAnsi="PingFang TC"/>
          <w:sz w:val="24"/>
          <w:szCs w:val="24"/>
        </w:rPr>
        <w:t xml:space="preserve">先前並非如此。在我們最初建的那個版本裡，同一次執行只讓副甲狀腺素動了 0.01 % —— 把骨鈣帶入血液池的係數比它們所被正規化的通量小三個數量級，於是骨骼根本無法移動血清鈣，而我們所稱的「雙向耦合」實質上是單向的。我們報告這件事，是因為</w:t>
      </w:r>
      <w:r>
        <w:rPr>
          <w:rFonts w:ascii="PingFang TC" w:cs="PingFang TC" w:eastAsia="PingFang TC" w:hAnsi="PingFang TC"/>
          <w:b/>
          <w:bCs/>
          <w:sz w:val="24"/>
          <w:szCs w:val="24"/>
        </w:rPr>
        <w:t xml:space="preserve">這個失敗對我們當時所有的標的都是隱形的</w:t>
      </w:r>
      <w:r>
        <w:rPr>
          <w:rFonts w:ascii="PingFang TC" w:cs="PingFang TC" w:eastAsia="PingFang TC" w:hAnsi="PingFang TC"/>
          <w:sz w:val="24"/>
          <w:szCs w:val="24"/>
        </w:rPr>
        <w:t xml:space="preserve">：驗證集裡沒有任何一項要求模型把鈣從骨骼移到全身，所以在我們去檢驗一個文獻早已記載、而我們沒去看的事實之前，沒有東西攔得住它。</w:t>
      </w:r>
    </w:p>
    <w:p>
      <w:pPr>
        <w:spacing w:after="120" w:line="480" w:lineRule="auto"/>
      </w:pPr>
      <w:r>
        <w:rPr>
          <w:rFonts w:ascii="PingFang TC" w:cs="PingFang TC" w:eastAsia="PingFang TC" w:hAnsi="PingFang TC"/>
          <w:sz w:val="24"/>
          <w:szCs w:val="24"/>
        </w:rPr>
        <w:t xml:space="preserve">在每日 ≤30 分鐘的限制下搜尋負荷處方，預算內最佳方案（峰值力矩 ×4.5、80 循環、0.5 Hz、循環間休息 10 秒、每日 16.0 分鐘）將流失降至 0.771 %/月——防止了其中的 20 %。</w:t>
      </w:r>
      <w:r>
        <w:rPr>
          <w:rFonts w:ascii="PingFang TC" w:cs="PingFang TC" w:eastAsia="PingFang TC" w:hAnsi="PingFang TC"/>
          <w:b/>
          <w:bCs/>
          <w:sz w:val="24"/>
          <w:szCs w:val="24"/>
        </w:rPr>
        <w:t xml:space="preserve">預算內沒有任何處方能將流失壓在 0.25 %/月以下。</w:t>
      </w:r>
      <w:r>
        <w:rPr>
          <w:rFonts w:ascii="PingFang TC" w:cs="PingFang TC" w:eastAsia="PingFang TC" w:hAnsi="PingFang TC"/>
          <w:sz w:val="24"/>
          <w:szCs w:val="24"/>
        </w:rPr>
        <w:t xml:space="preserve"> 我們報告這個否定結果，因為它與臨床相關：在本模型中，僅靠時間效率高的負荷並不足以遏止廢用性骨缺乏。</w:t>
      </w:r>
    </w:p>
    <w:p>
      <w:pPr>
        <w:spacing w:after="120" w:line="480" w:lineRule="auto"/>
      </w:pPr>
      <w:r>
        <w:rPr>
          <w:rFonts w:ascii="PingFang TC" w:cs="PingFang TC" w:eastAsia="PingFang TC" w:hAnsi="PingFang TC"/>
          <w:sz w:val="24"/>
          <w:szCs w:val="24"/>
        </w:rPr>
        <w:t xml:space="preserve">我們也標明一項由有效性檢查所揭露的範疇限制。超過約 7.5 個月後，完全卸載會將模型驅至其孔隙率地板，並逸出整個力學堆疊所假設的線性彈性域。真實的臥床骨流失會減速並在 30–50 % 處達到平台。此處所有廢用結果都侷限於標的所定義的 180 天視窗內，且每次模擬都會回報它是否停留在彈性域內。</w:t>
      </w:r>
    </w:p>
    <w:p>
      <w:pPr>
        <w:pStyle w:val="Heading2"/>
        <w:spacing w:after="120" w:before="240" w:line="360" w:lineRule="auto"/>
      </w:pPr>
      <w:r>
        <w:rPr>
          <w:rFonts w:ascii="PingFang TC" w:cs="PingFang TC" w:eastAsia="PingFang TC" w:hAnsi="PingFang TC"/>
          <w:b/>
          <w:bCs/>
          <w:i/>
          <w:iCs/>
          <w:sz w:val="24"/>
          <w:szCs w:val="24"/>
        </w:rPr>
        <w:t xml:space="preserve">藥理學：自限性、停藥反彈，以及一個共用節點</w:t>
      </w:r>
    </w:p>
    <w:p>
      <w:pPr>
        <w:spacing w:after="120" w:line="480" w:lineRule="auto"/>
      </w:pPr>
      <w:r>
        <w:rPr>
          <w:rFonts w:ascii="PingFang TC" w:cs="PingFang TC" w:eastAsia="PingFang TC" w:hAnsi="PingFang TC"/>
          <w:b/>
          <w:bCs/>
          <w:sz w:val="24"/>
          <w:szCs w:val="24"/>
        </w:rPr>
        <w:t xml:space="preserve">圖 5</w:t>
      </w:r>
      <w:r>
        <w:rPr>
          <w:rFonts w:ascii="PingFang TC" w:cs="PingFang TC" w:eastAsia="PingFang TC" w:hAnsi="PingFang TC"/>
          <w:sz w:val="24"/>
          <w:szCs w:val="24"/>
        </w:rPr>
        <w:t xml:space="preserve"> 呈現四個臂、為期 24 個月、於第 12 個月停藥的 romosozumab 結果。</w:t>
      </w:r>
    </w:p>
    <w:p>
      <w:pPr>
        <w:spacing w:after="120" w:line="480" w:lineRule="auto"/>
      </w:pPr>
      <w:r>
        <w:rPr>
          <w:rFonts w:ascii="PingFang TC" w:cs="PingFang TC" w:eastAsia="PingFang TC" w:hAnsi="PingFang TC"/>
          <w:sz w:val="24"/>
          <w:szCs w:val="24"/>
        </w:rPr>
        <w:t xml:space="preserve">由於 +11–14 % 的 romosozumab 標的是</w:t>
      </w:r>
      <w:r>
        <w:rPr>
          <w:rFonts w:ascii="PingFang TC" w:cs="PingFang TC" w:eastAsia="PingFang TC" w:hAnsi="PingFang TC"/>
          <w:b/>
          <w:bCs/>
          <w:sz w:val="24"/>
          <w:szCs w:val="24"/>
        </w:rPr>
        <w:t xml:space="preserve">腰椎</w:t>
      </w:r>
      <w:r>
        <w:rPr>
          <w:rFonts w:ascii="PingFang TC" w:cs="PingFang TC" w:eastAsia="PingFang TC" w:hAnsi="PingFang TC"/>
          <w:sz w:val="24"/>
          <w:szCs w:val="24"/>
        </w:rPr>
        <w:t xml:space="preserve">數值 [14]，而脊椎屬小樑骨，我們在一個由皮質參數集導出的小樑椎體腔室中評估之——只改變結構、幾何與負荷，</w:t>
      </w:r>
      <w:r>
        <w:rPr>
          <w:rFonts w:ascii="PingFang TC" w:cs="PingFang TC" w:eastAsia="PingFang TC" w:hAnsi="PingFang TC"/>
          <w:b/>
          <w:bCs/>
          <w:sz w:val="24"/>
          <w:szCs w:val="24"/>
        </w:rPr>
        <w:t xml:space="preserve">生物學完全共用</w:t>
      </w:r>
      <w:r>
        <w:rPr>
          <w:rFonts w:ascii="PingFang TC" w:cs="PingFang TC" w:eastAsia="PingFang TC" w:hAnsi="PingFang TC"/>
          <w:sz w:val="24"/>
          <w:szCs w:val="24"/>
        </w:rPr>
        <w:t xml:space="preserve">。有一項一致性檢核</w:t>
      </w:r>
      <w:r>
        <w:rPr>
          <w:rFonts w:ascii="PingFang TC" w:cs="PingFang TC" w:eastAsia="PingFang TC" w:hAnsi="PingFang TC"/>
          <w:b/>
          <w:bCs/>
          <w:sz w:val="24"/>
          <w:szCs w:val="24"/>
        </w:rPr>
        <w:t xml:space="preserve">並不是免費的</w:t>
      </w:r>
      <w:r>
        <w:rPr>
          <w:rFonts w:ascii="PingFang TC" w:cs="PingFang TC" w:eastAsia="PingFang TC" w:hAnsi="PingFang TC"/>
          <w:sz w:val="24"/>
          <w:szCs w:val="24"/>
        </w:rPr>
        <w:t xml:space="preserve">，而說清楚為什麼，比那個檢核本身更有用。到 v2.16 為止，單一指數同時服務兩個腔室；改用實測值之後才看出，那個一致其實是</w:t>
      </w:r>
      <w:r>
        <w:rPr>
          <w:rFonts w:ascii="PingFang TC" w:cs="PingFang TC" w:eastAsia="PingFang TC" w:hAnsi="PingFang TC"/>
          <w:b/>
          <w:bCs/>
          <w:sz w:val="24"/>
          <w:szCs w:val="24"/>
        </w:rPr>
        <w:t xml:space="preserve">折衷</w:t>
      </w:r>
      <w:r>
        <w:rPr>
          <w:rFonts w:ascii="PingFang TC" w:cs="PingFang TC" w:eastAsia="PingFang TC" w:hAnsi="PingFang TC"/>
          <w:sz w:val="24"/>
          <w:szCs w:val="24"/>
        </w:rPr>
        <w:t xml:space="preserve">而非驗證。Currey 對緻密骨的冪次律 [16] 給出 3.13，在骨體積分率 0.12 處會把椎體壓到 </w:t>
      </w:r>
      <w:r>
        <w:rPr>
          <w:rFonts w:ascii="PingFang TC" w:cs="PingFang TC" w:eastAsia="PingFang TC" w:hAnsi="PingFang TC"/>
          <w:b/>
          <w:bCs/>
          <w:sz w:val="24"/>
          <w:szCs w:val="24"/>
        </w:rPr>
        <w:t xml:space="preserve">26 MPa</w:t>
      </w:r>
      <w:r>
        <w:rPr>
          <w:rFonts w:ascii="PingFang TC" w:cs="PingFang TC" w:eastAsia="PingFang TC" w:hAnsi="PingFang TC"/>
          <w:sz w:val="24"/>
          <w:szCs w:val="24"/>
        </w:rPr>
        <w:t xml:space="preserve"> —— 低於實測的 50–300 MPa 帶。而小樑骨是</w:t>
      </w:r>
      <w:r>
        <w:rPr>
          <w:rFonts w:ascii="PingFang TC" w:cs="PingFang TC" w:eastAsia="PingFang TC" w:hAnsi="PingFang TC"/>
          <w:b/>
          <w:bCs/>
          <w:sz w:val="24"/>
          <w:szCs w:val="24"/>
        </w:rPr>
        <w:t xml:space="preserve">多孔胞狀固體</w:t>
      </w:r>
      <w:r>
        <w:rPr>
          <w:rFonts w:ascii="PingFang TC" w:cs="PingFang TC" w:eastAsia="PingFang TC" w:hAnsi="PingFang TC"/>
          <w:sz w:val="24"/>
          <w:szCs w:val="24"/>
        </w:rPr>
        <w:t xml:space="preserve">而非緻密骨，Gibson–Ashby 開孔標度給出 2。採皮質 3.13、椎體 2.00，得到表觀模數 </w:t>
      </w:r>
      <w:r>
        <w:rPr>
          <w:rFonts w:ascii="PingFang TC" w:cs="PingFang TC" w:eastAsia="PingFang TC" w:hAnsi="PingFang TC"/>
          <w:b/>
          <w:bCs/>
          <w:sz w:val="24"/>
          <w:szCs w:val="24"/>
        </w:rPr>
        <w:t xml:space="preserve">288.0 MPa</w:t>
      </w:r>
      <w:r>
        <w:rPr>
          <w:rFonts w:ascii="PingFang TC" w:cs="PingFang TC" w:eastAsia="PingFang TC" w:hAnsi="PingFang TC"/>
          <w:sz w:val="24"/>
          <w:szCs w:val="24"/>
        </w:rPr>
        <w:t xml:space="preserve">，落在實測帶內 —— 依據的是</w:t>
      </w:r>
      <w:r>
        <w:rPr>
          <w:rFonts w:ascii="PingFang TC" w:cs="PingFang TC" w:eastAsia="PingFang TC" w:hAnsi="PingFang TC"/>
          <w:b/>
          <w:bCs/>
          <w:sz w:val="24"/>
          <w:szCs w:val="24"/>
        </w:rPr>
        <w:t xml:space="preserve">兩端各一個量測</w:t>
      </w:r>
      <w:r>
        <w:rPr>
          <w:rFonts w:ascii="PingFang TC" w:cs="PingFang TC" w:eastAsia="PingFang TC" w:hAnsi="PingFang TC"/>
          <w:sz w:val="24"/>
          <w:szCs w:val="24"/>
        </w:rPr>
        <w:t xml:space="preserve">，而不是一個被劈成兩半的折衷值。</w:t>
      </w:r>
    </w:p>
    <w:p>
      <w:pPr>
        <w:spacing w:after="120" w:line="480" w:lineRule="auto"/>
      </w:pPr>
      <w:r>
        <w:rPr>
          <w:rFonts w:ascii="PingFang TC" w:cs="PingFang TC" w:eastAsia="PingFang TC" w:hAnsi="PingFang TC"/>
          <w:sz w:val="24"/>
          <w:szCs w:val="24"/>
        </w:rPr>
        <w:t xml:space="preserve">在該腔室中，romosozumab 於 12 個月給出 </w:t>
      </w:r>
      <w:r>
        <w:rPr>
          <w:rFonts w:ascii="PingFang TC" w:cs="PingFang TC" w:eastAsia="PingFang TC" w:hAnsi="PingFang TC"/>
          <w:b/>
          <w:bCs/>
          <w:sz w:val="24"/>
          <w:szCs w:val="24"/>
        </w:rPr>
        <w:t xml:space="preserve">+12.459 %</w:t>
      </w:r>
      <w:r>
        <w:rPr>
          <w:rFonts w:ascii="PingFang TC" w:cs="PingFang TC" w:eastAsia="PingFang TC" w:hAnsi="PingFang TC"/>
          <w:sz w:val="24"/>
          <w:szCs w:val="24"/>
        </w:rPr>
        <w:t xml:space="preserve">，落在 11–14 % 的標的帶內，而皮質為 +2.334 %——</w:t>
      </w:r>
      <w:r>
        <w:rPr>
          <w:rFonts w:ascii="PingFang TC" w:cs="PingFang TC" w:eastAsia="PingFang TC" w:hAnsi="PingFang TC"/>
          <w:b/>
          <w:bCs/>
          <w:sz w:val="24"/>
          <w:szCs w:val="24"/>
        </w:rPr>
        <w:t xml:space="preserve">5.3 倍的放大純粹來自結構</w:t>
      </w:r>
      <w:r>
        <w:rPr>
          <w:rFonts w:ascii="PingFang TC" w:cs="PingFang TC" w:eastAsia="PingFang TC" w:hAnsi="PingFang TC"/>
          <w:sz w:val="24"/>
          <w:szCs w:val="24"/>
        </w:rPr>
        <w:t xml:space="preserve">。這是一個</w:t>
      </w:r>
      <w:r>
        <w:rPr>
          <w:rFonts w:ascii="PingFang TC" w:cs="PingFang TC" w:eastAsia="PingFang TC" w:hAnsi="PingFang TC"/>
          <w:b/>
          <w:bCs/>
          <w:sz w:val="24"/>
          <w:szCs w:val="24"/>
        </w:rPr>
        <w:t xml:space="preserve">校正</w:t>
      </w:r>
      <w:r>
        <w:rPr>
          <w:rFonts w:ascii="PingFang TC" w:cs="PingFang TC" w:eastAsia="PingFang TC" w:hAnsi="PingFang TC"/>
          <w:sz w:val="24"/>
          <w:szCs w:val="24"/>
        </w:rPr>
        <w:t xml:space="preserve">標的而非預測：</w:t>
      </w:r>
      <w:r>
        <w:rPr>
          <w:rFonts w:ascii="Courier New" w:cs="Courier New" w:eastAsia="Courier New" w:hAnsi="Courier New"/>
          <w:sz w:val="24"/>
          <w:szCs w:val="24"/>
        </w:rPr>
        <w:t xml:space="preserve">delta_ab</w:t>
      </w:r>
      <w:r>
        <w:rPr>
          <w:rFonts w:ascii="PingFang TC" w:cs="PingFang TC" w:eastAsia="PingFang TC" w:hAnsi="PingFang TC"/>
          <w:sz w:val="24"/>
          <w:szCs w:val="24"/>
        </w:rPr>
        <w:t xml:space="preserve"> 就是對著它擬合的。至於那個放大倍率，</w:t>
      </w:r>
      <w:r>
        <w:rPr>
          <w:rFonts w:ascii="PingFang TC" w:cs="PingFang TC" w:eastAsia="PingFang TC" w:hAnsi="PingFang TC"/>
          <w:b/>
          <w:bCs/>
          <w:sz w:val="24"/>
          <w:szCs w:val="24"/>
        </w:rPr>
        <w:t xml:space="preserve">並沒有直接的實證對應物，我們也不把它當成已驗證的結果呈現</w:t>
      </w:r>
      <w:r>
        <w:rPr>
          <w:rFonts w:ascii="PingFang TC" w:cs="PingFang TC" w:eastAsia="PingFang TC" w:hAnsi="PingFang TC"/>
          <w:sz w:val="24"/>
          <w:szCs w:val="24"/>
        </w:rPr>
        <w:t xml:space="preserve">。最接近的臨床對照是脊椎與髖部的對比：210 mg 每月方案於 24 個月為 +15.1 % 對 +5.4 % [23]，約三倍——但全髖是皮質與小樑混合的部位，而我們的皮質腔室是純骨幹，故本來就該預期更大的比值，兩個數字並非等價比較。建構這個腔室也逼出一項一般性約束：因為訊號鏈是共用的，兩個腔室必須坐落在同一個湧現的剪應力設定點上，而椎體在真實負荷與骨體積分率下並不會在相同的組織應變處滿足此條件。孔彈性傳遞係數因此必須在小樑骨與骨單位皮質骨之間有所不同——這是可辯護的，因為它是微結構性質，且此處是</w:t>
      </w:r>
      <w:r>
        <w:rPr>
          <w:rFonts w:ascii="PingFang TC" w:cs="PingFang TC" w:eastAsia="PingFang TC" w:hAnsi="PingFang TC"/>
          <w:b/>
          <w:bCs/>
          <w:sz w:val="24"/>
          <w:szCs w:val="24"/>
        </w:rPr>
        <w:t xml:space="preserve">以匹配基線剪應力設定，而非以擬合任何結果設定</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b/>
          <w:bCs/>
          <w:sz w:val="24"/>
          <w:szCs w:val="24"/>
        </w:rPr>
        <w:t xml:space="preserve">自限性。</w:t>
      </w:r>
      <w:r>
        <w:rPr>
          <w:rFonts w:ascii="PingFang TC" w:cs="PingFang TC" w:eastAsia="PingFang TC" w:hAnsi="PingFang TC"/>
          <w:sz w:val="24"/>
          <w:szCs w:val="24"/>
        </w:rPr>
        <w:t xml:space="preserve"> 形成標記上升、達峰，並在持續給藥期間下降（療程前半上升 +0.401，後半 −0.259），此形態與標記資料所示者一致。但</w:t>
      </w:r>
      <w:r>
        <w:rPr>
          <w:rFonts w:ascii="PingFang TC" w:cs="PingFang TC" w:eastAsia="PingFang TC" w:hAnsi="PingFang TC"/>
          <w:b/>
          <w:bCs/>
          <w:sz w:val="24"/>
          <w:szCs w:val="24"/>
        </w:rPr>
        <w:t xml:space="preserve">時間點不符</w:t>
      </w:r>
      <w:r>
        <w:rPr>
          <w:rFonts w:ascii="PingFang TC" w:cs="PingFang TC" w:eastAsia="PingFang TC" w:hAnsi="PingFang TC"/>
          <w:sz w:val="24"/>
          <w:szCs w:val="24"/>
        </w:rPr>
        <w:t xml:space="preserve">：我們的標記約在第 0.2 個月達峰、達基線的 3.169 倍，而臨床上形成標記約在第 1 個月達峰，並於 6–12 個月間降回基線。我們重現了自限性，卻壓縮了它的起始時程。機制是明確的：</w:t>
      </w:r>
      <w:r>
        <w:rPr>
          <w:rFonts w:ascii="PingFang TC" w:cs="PingFang TC" w:eastAsia="PingFang TC" w:hAnsi="PingFang TC"/>
          <w:i/>
          <w:iCs/>
          <w:sz w:val="24"/>
          <w:szCs w:val="24"/>
        </w:rPr>
        <w:t xml:space="preserve">SOST</w:t>
      </w:r>
      <w:r>
        <w:rPr>
          <w:rFonts w:ascii="PingFang TC" w:cs="PingFang TC" w:eastAsia="PingFang TC" w:hAnsi="PingFang TC"/>
          <w:sz w:val="24"/>
          <w:szCs w:val="24"/>
        </w:rPr>
        <w:t xml:space="preserve"> 轉錄的代償性上調在抗體暴露下累積並逐步抵銷之，因此在治療仍進行的第 9 個月，游離硬化蛋白已回升趨近基線。</w:t>
      </w:r>
    </w:p>
    <w:p>
      <w:pPr>
        <w:spacing w:after="120" w:line="480" w:lineRule="auto"/>
      </w:pPr>
      <w:r>
        <w:rPr>
          <w:rFonts w:ascii="PingFang TC" w:cs="PingFang TC" w:eastAsia="PingFang TC" w:hAnsi="PingFang TC"/>
          <w:b/>
          <w:bCs/>
          <w:sz w:val="24"/>
          <w:szCs w:val="24"/>
        </w:rPr>
        <w:t xml:space="preserve">停藥。</w:t>
      </w:r>
      <w:r>
        <w:rPr>
          <w:rFonts w:ascii="PingFang TC" w:cs="PingFang TC" w:eastAsia="PingFang TC" w:hAnsi="PingFang TC"/>
          <w:sz w:val="24"/>
          <w:szCs w:val="24"/>
        </w:rPr>
        <w:t xml:space="preserve"> 同一個代償依其自身的時間常數衰減，而非隨抗體衰減，因此當清除停止時，被提高的生產並未同時停止，硬化蛋白過衝，吸收經由硬化蛋白作用的 RANKL 依賴臂湧現 [15]。我們是</w:t>
      </w:r>
      <w:r>
        <w:rPr>
          <w:rFonts w:ascii="PingFang TC" w:cs="PingFang TC" w:eastAsia="PingFang TC" w:hAnsi="PingFang TC"/>
          <w:b/>
          <w:bCs/>
          <w:sz w:val="24"/>
          <w:szCs w:val="24"/>
        </w:rPr>
        <w:t xml:space="preserve">對著停藥後的吸收標記過衝</w:t>
      </w:r>
      <w:r>
        <w:rPr>
          <w:rFonts w:ascii="PingFang TC" w:cs="PingFang TC" w:eastAsia="PingFang TC" w:hAnsi="PingFang TC"/>
          <w:sz w:val="24"/>
          <w:szCs w:val="24"/>
        </w:rPr>
        <w:t xml:space="preserve">校正此機制（1.124 倍基線，</w:t>
      </w:r>
      <w:r>
        <w:rPr>
          <w:rFonts w:ascii="PingFang TC" w:cs="PingFang TC" w:eastAsia="PingFang TC" w:hAnsi="PingFang TC"/>
          <w:b/>
          <w:bCs/>
          <w:sz w:val="24"/>
          <w:szCs w:val="24"/>
        </w:rPr>
        <w:t xml:space="preserve">略低於</w:t>
      </w:r>
      <w:r>
        <w:rPr>
          <w:rFonts w:ascii="PingFang TC" w:cs="PingFang TC" w:eastAsia="PingFang TC" w:hAnsi="PingFang TC"/>
          <w:sz w:val="24"/>
          <w:szCs w:val="24"/>
        </w:rPr>
        <w:t xml:space="preserve"> 1.2–1.4 區間；該區間對應轉換為安慰劑後 β-CTX 升逾基線的觀察 [23]——見下），刻意不對著骨密度校正——這使得骨密度的下降成為盲測預測。</w:t>
      </w:r>
    </w:p>
    <w:p>
      <w:pPr>
        <w:spacing w:after="120" w:line="480" w:lineRule="auto"/>
      </w:pPr>
      <w:r>
        <w:rPr>
          <w:rFonts w:ascii="PingFang TC" w:cs="PingFang TC" w:eastAsia="PingFang TC" w:hAnsi="PingFang TC"/>
          <w:sz w:val="24"/>
          <w:szCs w:val="24"/>
        </w:rPr>
        <w:t xml:space="preserve">我們為該預測所設的門檻</w:t>
      </w:r>
      <w:r>
        <w:rPr>
          <w:rFonts w:ascii="PingFang TC" w:cs="PingFang TC" w:eastAsia="PingFang TC" w:hAnsi="PingFang TC"/>
          <w:b/>
          <w:bCs/>
          <w:sz w:val="24"/>
          <w:szCs w:val="24"/>
        </w:rPr>
        <w:t xml:space="preserve">只有方向</w:t>
      </w:r>
      <w:r>
        <w:rPr>
          <w:rFonts w:ascii="PingFang TC" w:cs="PingFang TC" w:eastAsia="PingFang TC" w:hAnsi="PingFang TC"/>
          <w:sz w:val="24"/>
          <w:szCs w:val="24"/>
        </w:rPr>
        <w:t xml:space="preserve">：骨密度必須在洗脫期下降。它確實下降了，最後一劑之後的 12 個月內下降 </w:t>
      </w:r>
      <w:r>
        <w:rPr>
          <w:rFonts w:ascii="PingFang TC" w:cs="PingFang TC" w:eastAsia="PingFang TC" w:hAnsi="PingFang TC"/>
          <w:b/>
          <w:bCs/>
          <w:sz w:val="24"/>
          <w:szCs w:val="24"/>
        </w:rPr>
        <w:t xml:space="preserve">−8.70 %</w:t>
      </w:r>
      <w:r>
        <w:rPr>
          <w:rFonts w:ascii="PingFang TC" w:cs="PingFang TC" w:eastAsia="PingFang TC" w:hAnsi="PingFang TC"/>
          <w:sz w:val="24"/>
          <w:szCs w:val="24"/>
        </w:rPr>
        <w:t xml:space="preserve">；我們也直說，方向性門檻是很弱的門檻。但若以幅度而非符號來評，</w:t>
      </w:r>
      <w:r>
        <w:rPr>
          <w:rFonts w:ascii="PingFang TC" w:cs="PingFang TC" w:eastAsia="PingFang TC" w:hAnsi="PingFang TC"/>
          <w:b/>
          <w:bCs/>
          <w:sz w:val="24"/>
          <w:szCs w:val="24"/>
        </w:rPr>
        <w:t xml:space="preserve">這項盲測現在是歷來最接近的</w:t>
      </w:r>
      <w:r>
        <w:rPr>
          <w:rFonts w:ascii="PingFang TC" w:cs="PingFang TC" w:eastAsia="PingFang TC" w:hAnsi="PingFang TC"/>
          <w:sz w:val="24"/>
          <w:szCs w:val="24"/>
        </w:rPr>
        <w:t xml:space="preserve">。模型吐回治療增益的 </w:t>
      </w:r>
      <w:r>
        <w:rPr>
          <w:rFonts w:ascii="PingFang TC" w:cs="PingFang TC" w:eastAsia="PingFang TC" w:hAnsi="PingFang TC"/>
          <w:b/>
          <w:bCs/>
          <w:sz w:val="24"/>
          <w:szCs w:val="24"/>
        </w:rPr>
        <w:t xml:space="preserve">78.5 %</w:t>
      </w:r>
      <w:r>
        <w:rPr>
          <w:rFonts w:ascii="PingFang TC" w:cs="PingFang TC" w:eastAsia="PingFang TC" w:hAnsi="PingFang TC"/>
          <w:sz w:val="24"/>
          <w:szCs w:val="24"/>
        </w:rPr>
        <w:t xml:space="preserve">，並在 24 個月時停在治療前基線</w:t>
      </w:r>
      <w:r>
        <w:rPr>
          <w:rFonts w:ascii="PingFang TC" w:cs="PingFang TC" w:eastAsia="PingFang TC" w:hAnsi="PingFang TC"/>
          <w:b/>
          <w:bCs/>
          <w:sz w:val="24"/>
          <w:szCs w:val="24"/>
        </w:rPr>
        <w:t xml:space="preserve">之上 2.68 %</w:t>
      </w:r>
      <w:r>
        <w:rPr>
          <w:rFonts w:ascii="PingFang TC" w:cs="PingFang TC" w:eastAsia="PingFang TC" w:hAnsi="PingFang TC"/>
          <w:sz w:val="24"/>
          <w:szCs w:val="24"/>
        </w:rPr>
        <w:t xml:space="preserve">，而所對照的觀測是骨密度在安慰劑組「朝治療前水準回復」[23] —— 是</w:t>
      </w:r>
      <w:r>
        <w:rPr>
          <w:rFonts w:ascii="PingFang TC" w:cs="PingFang TC" w:eastAsia="PingFang TC" w:hAnsi="PingFang TC"/>
          <w:b/>
          <w:bCs/>
          <w:sz w:val="24"/>
          <w:szCs w:val="24"/>
        </w:rPr>
        <w:t xml:space="preserve">朝向</w:t>
      </w:r>
      <w:r>
        <w:rPr>
          <w:rFonts w:ascii="PingFang TC" w:cs="PingFang TC" w:eastAsia="PingFang TC" w:hAnsi="PingFang TC"/>
          <w:sz w:val="24"/>
          <w:szCs w:val="24"/>
        </w:rPr>
        <w:t xml:space="preserve">基線而非穿過它，而這正是模型現在所做的。值得指出：這是在骨細胞周轉常數被修正之後改善的，</w:t>
      </w:r>
      <w:r>
        <w:rPr>
          <w:rFonts w:ascii="PingFang TC" w:cs="PingFang TC" w:eastAsia="PingFang TC" w:hAnsi="PingFang TC"/>
          <w:b/>
          <w:bCs/>
          <w:sz w:val="24"/>
          <w:szCs w:val="24"/>
        </w:rPr>
        <w:t xml:space="preserve">沒有動任何一個藥物參數</w:t>
      </w:r>
      <w:r>
        <w:rPr>
          <w:rFonts w:ascii="PingFang TC" w:cs="PingFang TC" w:eastAsia="PingFang TC" w:hAnsi="PingFang TC"/>
          <w:sz w:val="24"/>
          <w:szCs w:val="24"/>
        </w:rPr>
        <w:t xml:space="preserve">；在該修正之前，同一次模擬會過衝，收在基線</w:t>
      </w:r>
      <w:r>
        <w:rPr>
          <w:rFonts w:ascii="PingFang TC" w:cs="PingFang TC" w:eastAsia="PingFang TC" w:hAnsi="PingFang TC"/>
          <w:b/>
          <w:bCs/>
          <w:sz w:val="24"/>
          <w:szCs w:val="24"/>
        </w:rPr>
        <w:t xml:space="preserve">之下</w:t>
      </w:r>
      <w:r>
        <w:rPr>
          <w:rFonts w:ascii="PingFang TC" w:cs="PingFang TC" w:eastAsia="PingFang TC" w:hAnsi="PingFang TC"/>
          <w:sz w:val="24"/>
          <w:szCs w:val="24"/>
        </w:rPr>
        <w:t xml:space="preserve"> 0.75 %。一個盲測因為「為了不相干的理由所做的改動」而更靠近資料，是我們最看重的那種證據；同時我們也要同等地指出，剩餘的落差是往另一個方向的 —— 真實的洗脫比階梯函數慢，因為抗體有藥物動力學曲線，而模型沒有。</w:t>
      </w:r>
    </w:p>
    <w:p>
      <w:pPr>
        <w:spacing w:after="120" w:line="480" w:lineRule="auto"/>
      </w:pPr>
      <w:r>
        <w:rPr>
          <w:rFonts w:ascii="PingFang TC" w:cs="PingFang TC" w:eastAsia="PingFang TC" w:hAnsi="PingFang TC"/>
          <w:sz w:val="24"/>
          <w:szCs w:val="24"/>
        </w:rPr>
        <w:t xml:space="preserve">至於吸收標記標的本身，</w:t>
      </w:r>
      <w:r>
        <w:rPr>
          <w:rFonts w:ascii="PingFang TC" w:cs="PingFang TC" w:eastAsia="PingFang TC" w:hAnsi="PingFang TC"/>
          <w:b/>
          <w:bCs/>
          <w:sz w:val="24"/>
          <w:szCs w:val="24"/>
        </w:rPr>
        <w:t xml:space="preserve">現在是未達的</w:t>
      </w:r>
      <w:r>
        <w:rPr>
          <w:rFonts w:ascii="PingFang TC" w:cs="PingFang TC" w:eastAsia="PingFang TC" w:hAnsi="PingFang TC"/>
          <w:sz w:val="24"/>
          <w:szCs w:val="24"/>
        </w:rPr>
        <w:t xml:space="preserve">：1.124 對區間 1.2–1.4 —— 但必須限定這句話的意思，因為</w:t>
      </w:r>
      <w:r>
        <w:rPr>
          <w:rFonts w:ascii="PingFang TC" w:cs="PingFang TC" w:eastAsia="PingFang TC" w:hAnsi="PingFang TC"/>
          <w:b/>
          <w:bCs/>
          <w:sz w:val="24"/>
          <w:szCs w:val="24"/>
        </w:rPr>
        <w:t xml:space="preserve">那個區間是我們自己設的，不是文獻的</w:t>
      </w:r>
      <w:r>
        <w:rPr>
          <w:rFonts w:ascii="PingFang TC" w:cs="PingFang TC" w:eastAsia="PingFang TC" w:hAnsi="PingFang TC"/>
          <w:sz w:val="24"/>
          <w:szCs w:val="24"/>
        </w:rPr>
        <w:t xml:space="preserve">。McClung 等人只說轉為安慰劑後 β-CTX「升逾基線」[23]，是</w:t>
      </w:r>
      <w:r>
        <w:rPr>
          <w:rFonts w:ascii="PingFang TC" w:cs="PingFang TC" w:eastAsia="PingFang TC" w:hAnsi="PingFang TC"/>
          <w:b/>
          <w:bCs/>
          <w:sz w:val="24"/>
          <w:szCs w:val="24"/>
        </w:rPr>
        <w:t xml:space="preserve">方向</w:t>
      </w:r>
      <w:r>
        <w:rPr>
          <w:rFonts w:ascii="PingFang TC" w:cs="PingFang TC" w:eastAsia="PingFang TC" w:hAnsi="PingFang TC"/>
          <w:sz w:val="24"/>
          <w:szCs w:val="24"/>
        </w:rPr>
        <w:t xml:space="preserve">而無幅度；而 FRAME 試驗也給不出幅度，因為其受試者轉的是 denosumab 而非安慰劑 [14]。因此本標的有出處的內容只有「比值 &gt; 1」，而模型是達成的。以下所談的是</w:t>
      </w:r>
      <w:r>
        <w:rPr>
          <w:rFonts w:ascii="PingFang TC" w:cs="PingFang TC" w:eastAsia="PingFang TC" w:hAnsi="PingFang TC"/>
          <w:b/>
          <w:bCs/>
          <w:sz w:val="24"/>
          <w:szCs w:val="24"/>
        </w:rPr>
        <w:t xml:space="preserve">我們自訂的那個帶</w:t>
      </w:r>
      <w:r>
        <w:rPr>
          <w:rFonts w:ascii="PingFang TC" w:cs="PingFang TC" w:eastAsia="PingFang TC" w:hAnsi="PingFang TC"/>
          <w:sz w:val="24"/>
          <w:szCs w:val="24"/>
        </w:rPr>
        <w:t xml:space="preserve">，而我們仍然報告這個差距，是因為底下的衝突無論帶設在哪裡都真實存在。重建全身鈣模組（見限制一節）使骨鈣通量大到足以牽動副甲狀腺，而這產生了一個衝突：</w:t>
      </w:r>
      <w:r>
        <w:rPr>
          <w:rFonts w:ascii="PingFang TC" w:cs="PingFang TC" w:eastAsia="PingFang TC" w:hAnsi="PingFang TC"/>
          <w:b/>
          <w:bCs/>
          <w:sz w:val="24"/>
          <w:szCs w:val="24"/>
        </w:rPr>
        <w:t xml:space="preserve">同一個 PTH→RANKL 增益</w:t>
      </w:r>
      <w:r>
        <w:rPr>
          <w:rFonts w:ascii="PingFang TC" w:cs="PingFang TC" w:eastAsia="PingFang TC" w:hAnsi="PingFang TC"/>
          <w:sz w:val="24"/>
          <w:szCs w:val="24"/>
        </w:rPr>
        <w:t xml:space="preserve">，既讓飲食鈣得以護骨（V7 要求它要強），也讓停藥後湧出的骨鈣抑制 PTH、進而</w:t>
      </w:r>
      <w:r>
        <w:rPr>
          <w:rFonts w:ascii="PingFang TC" w:cs="PingFang TC" w:eastAsia="PingFang TC" w:hAnsi="PingFang TC"/>
          <w:b/>
          <w:bCs/>
          <w:sz w:val="24"/>
          <w:szCs w:val="24"/>
        </w:rPr>
        <w:t xml:space="preserve">壓抑 V16 正在量測的那個吸收過衝</w:t>
      </w:r>
      <w:r>
        <w:rPr>
          <w:rFonts w:ascii="PingFang TC" w:cs="PingFang TC" w:eastAsia="PingFang TC" w:hAnsi="PingFang TC"/>
          <w:sz w:val="24"/>
          <w:szCs w:val="24"/>
        </w:rPr>
        <w:t xml:space="preserve">。在該增益的容許範圍內，V7 需要它高、V16 需要它低，沒有任何值能同時滿足。我們取中點，而</w:t>
      </w:r>
      <w:r>
        <w:rPr>
          <w:rFonts w:ascii="PingFang TC" w:cs="PingFang TC" w:eastAsia="PingFang TC" w:hAnsi="PingFang TC"/>
          <w:b/>
          <w:bCs/>
          <w:sz w:val="24"/>
          <w:szCs w:val="24"/>
        </w:rPr>
        <w:t xml:space="preserve">兩個標的現在都落在區間之外</w:t>
      </w:r>
      <w:r>
        <w:rPr>
          <w:rFonts w:ascii="PingFang TC" w:cs="PingFang TC" w:eastAsia="PingFang TC" w:hAnsi="PingFang TC"/>
          <w:sz w:val="24"/>
          <w:szCs w:val="24"/>
        </w:rPr>
        <w:t xml:space="preserve"> —— V7 差 0.037（容差 0.8），V16 差 0.076（容差 0.15）。兩者落在同一側值得指出：這個衝突不是我們在某一邊贏下的取捨，而是一個</w:t>
      </w:r>
      <w:r>
        <w:rPr>
          <w:rFonts w:ascii="PingFang TC" w:cs="PingFang TC" w:eastAsia="PingFang TC" w:hAnsi="PingFang TC"/>
          <w:b/>
          <w:bCs/>
          <w:sz w:val="24"/>
          <w:szCs w:val="24"/>
        </w:rPr>
        <w:t xml:space="preserve">兩邊都不滿足</w:t>
      </w:r>
      <w:r>
        <w:rPr>
          <w:rFonts w:ascii="PingFang TC" w:cs="PingFang TC" w:eastAsia="PingFang TC" w:hAnsi="PingFang TC"/>
          <w:sz w:val="24"/>
          <w:szCs w:val="24"/>
        </w:rPr>
        <w:t xml:space="preserve">的約束。</w:t>
      </w:r>
      <w:r>
        <w:rPr>
          <w:rFonts w:ascii="PingFang TC" w:cs="PingFang TC" w:eastAsia="PingFang TC" w:hAnsi="PingFang TC"/>
          <w:b/>
          <w:bCs/>
          <w:sz w:val="24"/>
          <w:szCs w:val="24"/>
        </w:rPr>
        <w:t xml:space="preserve">我們先前使用的解耦模組不可能暴露這個衝突</w:t>
      </w:r>
      <w:r>
        <w:rPr>
          <w:rFonts w:ascii="PingFang TC" w:cs="PingFang TC" w:eastAsia="PingFang TC" w:hAnsi="PingFang TC"/>
          <w:sz w:val="24"/>
          <w:szCs w:val="24"/>
        </w:rPr>
        <w:t xml:space="preserve">，因為在那個模組裡骨骼根本無法移動血清鈣。我們認為這源自抗體被建模為階躍函數而非藥物動力學曲線，使清除在代償性 </w:t>
      </w:r>
      <w:r>
        <w:rPr>
          <w:rFonts w:ascii="PingFang TC" w:cs="PingFang TC" w:eastAsia="PingFang TC" w:hAnsi="PingFang TC"/>
          <w:i/>
          <w:iCs/>
          <w:sz w:val="24"/>
          <w:szCs w:val="24"/>
        </w:rPr>
        <w:t xml:space="preserve">SOST</w:t>
      </w:r>
      <w:r>
        <w:rPr>
          <w:rFonts w:ascii="PingFang TC" w:cs="PingFang TC" w:eastAsia="PingFang TC" w:hAnsi="PingFang TC"/>
          <w:sz w:val="24"/>
          <w:szCs w:val="24"/>
        </w:rPr>
        <w:t xml:space="preserve"> 上調仍處於平台時就驟然停止。</w:t>
      </w:r>
    </w:p>
    <w:p>
      <w:pPr>
        <w:spacing w:after="120" w:line="480" w:lineRule="auto"/>
      </w:pPr>
      <w:r>
        <w:rPr>
          <w:rFonts w:ascii="PingFang TC" w:cs="PingFang TC" w:eastAsia="PingFang TC" w:hAnsi="PingFang TC"/>
          <w:b/>
          <w:bCs/>
          <w:sz w:val="24"/>
          <w:szCs w:val="24"/>
        </w:rPr>
        <w:t xml:space="preserve">交互作用。</w:t>
      </w:r>
      <w:r>
        <w:rPr>
          <w:rFonts w:ascii="PingFang TC" w:cs="PingFang TC" w:eastAsia="PingFang TC" w:hAnsi="PingFang TC"/>
          <w:sz w:val="24"/>
          <w:szCs w:val="24"/>
        </w:rPr>
        <w:t xml:space="preserve"> 負荷與抗體併用在 12 個月給出 +2.826 %，而各自單獨為 +2.334 % 與 +0.765 %：為正且大於任一者，但</w:t>
      </w:r>
      <w:r>
        <w:rPr>
          <w:rFonts w:ascii="PingFang TC" w:cs="PingFang TC" w:eastAsia="PingFang TC" w:hAnsi="PingFang TC"/>
          <w:b/>
          <w:bCs/>
          <w:sz w:val="24"/>
          <w:szCs w:val="24"/>
        </w:rPr>
        <w:t xml:space="preserve">次相加 8.8 %</w:t>
      </w:r>
      <w:r>
        <w:rPr>
          <w:rFonts w:ascii="PingFang TC" w:cs="PingFang TC" w:eastAsia="PingFang TC" w:hAnsi="PingFang TC"/>
          <w:sz w:val="24"/>
          <w:szCs w:val="24"/>
        </w:rPr>
        <w:t xml:space="preserve">，因為兩者作用於同一個硬化蛋白–Wnt 節點而部分互相佔用。Schulte 等人 [13] 報告負荷與合成代謝藥物為相加且協同，與抗吸收藥物則否。就合成代謝藥這一臂，我們的定性方向與之一致，嚴格相加性則否。</w:t>
      </w:r>
      <w:r>
        <w:rPr>
          <w:rFonts w:ascii="PingFang TC" w:cs="PingFang TC" w:eastAsia="PingFang TC" w:hAnsi="PingFang TC"/>
          <w:b/>
          <w:bCs/>
          <w:sz w:val="24"/>
          <w:szCs w:val="24"/>
        </w:rPr>
        <w:t xml:space="preserve">該對比中抗吸收藥的那一半在此未經檢驗</w:t>
      </w:r>
      <w:r>
        <w:rPr>
          <w:rFonts w:ascii="PingFang TC" w:cs="PingFang TC" w:eastAsia="PingFang TC" w:hAnsi="PingFang TC"/>
          <w:sz w:val="24"/>
          <w:szCs w:val="24"/>
        </w:rPr>
        <w:t xml:space="preserve">：本模型並未實作任何雙磷酸鹽機制，故我們對其不做任何主張。</w:t>
      </w:r>
    </w:p>
    <w:p>
      <w:pPr>
        <w:pStyle w:val="Heading2"/>
        <w:spacing w:after="120" w:before="240" w:line="360" w:lineRule="auto"/>
      </w:pPr>
      <w:r>
        <w:rPr>
          <w:rFonts w:ascii="PingFang TC" w:cs="PingFang TC" w:eastAsia="PingFang TC" w:hAnsi="PingFang TC"/>
          <w:b/>
          <w:bCs/>
          <w:i/>
          <w:iCs/>
          <w:sz w:val="24"/>
          <w:szCs w:val="24"/>
        </w:rPr>
        <w:t xml:space="preserve">四個我們訂了卻從未執行的標的</w:t>
      </w:r>
    </w:p>
    <w:p>
      <w:pPr>
        <w:spacing w:after="120" w:line="480" w:lineRule="auto"/>
      </w:pPr>
      <w:r>
        <w:rPr>
          <w:rFonts w:ascii="PingFang TC" w:cs="PingFang TC" w:eastAsia="PingFang TC" w:hAnsi="PingFang TC"/>
          <w:sz w:val="24"/>
          <w:szCs w:val="24"/>
        </w:rPr>
        <w:t xml:space="preserve">在整理本報告時，我們發現登錄於 </w:t>
      </w:r>
      <w:r>
        <w:rPr>
          <w:rFonts w:ascii="PingFang TC" w:cs="PingFang TC" w:eastAsia="PingFang TC" w:hAnsi="PingFang TC"/>
          <w:b/>
          <w:bCs/>
          <w:sz w:val="24"/>
          <w:szCs w:val="24"/>
        </w:rPr>
        <w:t xml:space="preserve">S2 Table</w:t>
      </w:r>
      <w:r>
        <w:rPr>
          <w:rFonts w:ascii="PingFang TC" w:cs="PingFang TC" w:eastAsia="PingFang TC" w:hAnsi="PingFang TC"/>
          <w:sz w:val="24"/>
          <w:szCs w:val="24"/>
        </w:rPr>
        <w:t xml:space="preserve"> 的二十個標的中，有四個——血清鈣的孟德爾隨機化約束（V7b）、流失與回復的不對稱（V11）、硬化蛋白對吸收的雙重作用（V13），以及停經後皮質的幾何（V15）——</w:t>
      </w:r>
      <w:r>
        <w:rPr>
          <w:rFonts w:ascii="PingFang TC" w:cs="PingFang TC" w:eastAsia="PingFang TC" w:hAnsi="PingFang TC"/>
          <w:b/>
          <w:bCs/>
          <w:sz w:val="24"/>
          <w:szCs w:val="24"/>
        </w:rPr>
        <w:t xml:space="preserve">雖然程式碼中確實建有對應機制、註解也寫明該機制是為它們而存在，卻從來沒有任何實驗真的評估過它們</w:t>
      </w:r>
      <w:r>
        <w:rPr>
          <w:rFonts w:ascii="PingFang TC" w:cs="PingFang TC" w:eastAsia="PingFang TC" w:hAnsi="PingFang TC"/>
          <w:sz w:val="24"/>
          <w:szCs w:val="24"/>
        </w:rPr>
        <w:t xml:space="preserve">。我們把它們跑了。一個通過，三個沒有。四個我們全部報告，因為一張列著沒人檢查過的標的的驗證表，比一張較短的表更糟。</w:t>
      </w:r>
    </w:p>
    <w:p>
      <w:pPr>
        <w:spacing w:after="120" w:line="480" w:lineRule="auto"/>
      </w:pPr>
      <w:r>
        <w:rPr>
          <w:rFonts w:ascii="PingFang TC" w:cs="PingFang TC" w:eastAsia="PingFang TC" w:hAnsi="PingFang TC"/>
          <w:i/>
          <w:iCs/>
          <w:sz w:val="24"/>
          <w:szCs w:val="24"/>
        </w:rPr>
        <w:t xml:space="preserve">流失–回復不對稱（V11）通過，而且相當寬裕。</w:t>
      </w:r>
      <w:r>
        <w:rPr>
          <w:rFonts w:ascii="PingFang TC" w:cs="PingFang TC" w:eastAsia="PingFang TC" w:hAnsi="PingFang TC"/>
          <w:sz w:val="24"/>
          <w:szCs w:val="24"/>
        </w:rPr>
        <w:t xml:space="preserve"> 卸載 180 天後，流失骨礦含量的前一半在 140 天內累積，但恢復同樣這一半需要 2014 天——比值 14.4，標的為 3——而十年的復健</w:t>
      </w:r>
      <w:r>
        <w:rPr>
          <w:rFonts w:ascii="PingFang TC" w:cs="PingFang TC" w:eastAsia="PingFang TC" w:hAnsi="PingFang TC"/>
          <w:b/>
          <w:bCs/>
          <w:sz w:val="24"/>
          <w:szCs w:val="24"/>
        </w:rPr>
        <w:t xml:space="preserve">全數取回並且超過</w:t>
      </w:r>
      <w:r>
        <w:rPr>
          <w:rFonts w:ascii="PingFang TC" w:cs="PingFang TC" w:eastAsia="PingFang TC" w:hAnsi="PingFang TC"/>
          <w:sz w:val="24"/>
          <w:szCs w:val="24"/>
        </w:rPr>
        <w:t xml:space="preserve">，達到流失量的 146.5 %。這是</w:t>
      </w:r>
      <w:r>
        <w:rPr>
          <w:rFonts w:ascii="PingFang TC" w:cs="PingFang TC" w:eastAsia="PingFang TC" w:hAnsi="PingFang TC"/>
          <w:b/>
          <w:bCs/>
          <w:sz w:val="24"/>
          <w:szCs w:val="24"/>
        </w:rPr>
        <w:t xml:space="preserve">速率</w:t>
      </w:r>
      <w:r>
        <w:rPr>
          <w:rFonts w:ascii="PingFang TC" w:cs="PingFang TC" w:eastAsia="PingFang TC" w:hAnsi="PingFang TC"/>
          <w:sz w:val="24"/>
          <w:szCs w:val="24"/>
        </w:rPr>
        <w:t xml:space="preserve">的不對稱，不是雙穩態：回復是單調且仍在進行的，這與下文 P3 的否證一致，而非相衝突。</w:t>
      </w:r>
    </w:p>
    <w:p>
      <w:pPr>
        <w:spacing w:after="120" w:line="480" w:lineRule="auto"/>
      </w:pPr>
      <w:r>
        <w:rPr>
          <w:rFonts w:ascii="PingFang TC" w:cs="PingFang TC" w:eastAsia="PingFang TC" w:hAnsi="PingFang TC"/>
          <w:i/>
          <w:iCs/>
          <w:sz w:val="24"/>
          <w:szCs w:val="24"/>
        </w:rPr>
        <w:t xml:space="preserve">孟德爾隨機化約束（V7b）在符號上失敗。</w:t>
      </w:r>
      <w:r>
        <w:rPr>
          <w:rFonts w:ascii="PingFang TC" w:cs="PingFang TC" w:eastAsia="PingFang TC" w:hAnsi="PingFang TC"/>
          <w:sz w:val="24"/>
          <w:szCs w:val="24"/>
        </w:rPr>
        <w:t xml:space="preserve"> 在攝取量固定下把血清鈣箝制於高出基線 2 %，24 個月面積骨密度上升 +0.668 %，而人類遺傳學證據要求不應上升。其幅度比負荷反應低一個數量級，故 P1「許可 vs. 指令」的對比仍然成立；但符號不成立。同一次執行也暴露出一個從未有標的被寫來捕捉的缺陷，而它嚴重到讓我們選擇</w:t>
      </w:r>
      <w:r>
        <w:rPr>
          <w:rFonts w:ascii="PingFang TC" w:cs="PingFang TC" w:eastAsia="PingFang TC" w:hAnsi="PingFang TC"/>
          <w:b/>
          <w:bCs/>
          <w:sz w:val="24"/>
          <w:szCs w:val="24"/>
        </w:rPr>
        <w:t xml:space="preserve">重建該模組</w:t>
      </w:r>
      <w:r>
        <w:rPr>
          <w:rFonts w:ascii="PingFang TC" w:cs="PingFang TC" w:eastAsia="PingFang TC" w:hAnsi="PingFang TC"/>
          <w:sz w:val="24"/>
          <w:szCs w:val="24"/>
        </w:rPr>
        <w:t xml:space="preserve">而非繞過它。攝取量由 400 到 1500 mg/day，模型的血清游離鈣原本擺動 </w:t>
      </w:r>
      <w:r>
        <w:rPr>
          <w:rFonts w:ascii="PingFang TC" w:cs="PingFang TC" w:eastAsia="PingFang TC" w:hAnsi="PingFang TC"/>
          <w:b/>
          <w:bCs/>
          <w:sz w:val="24"/>
          <w:szCs w:val="24"/>
        </w:rPr>
        <w:t xml:space="preserve">15 %</w:t>
      </w:r>
      <w:r>
        <w:rPr>
          <w:rFonts w:ascii="PingFang TC" w:cs="PingFang TC" w:eastAsia="PingFang TC" w:hAnsi="PingFang TC"/>
          <w:sz w:val="24"/>
          <w:szCs w:val="24"/>
        </w:rPr>
        <w:t xml:space="preserve">，而生理將它恆定在約 2 % 之內：跨細胞吸收那一臂被寫成分率而非通量，只貢獻不到 0.1 % 的吸收，讓不受調控的細胞旁路獨大；腎臟排泄則是裸的冪次律，而非它當初被規定的可飽和小管重吸收。我們的回歸測試沒攔下它，因為那個守門的測試原是以 15 % 為界的失控防護，其後卻一直被當成恆定性檢查來讀。</w:t>
      </w:r>
      <w:r>
        <w:rPr>
          <w:rFonts w:ascii="PingFang TC" w:cs="PingFang TC" w:eastAsia="PingFang TC" w:hAnsi="PingFang TC"/>
          <w:b/>
          <w:bCs/>
          <w:sz w:val="24"/>
          <w:szCs w:val="24"/>
        </w:rPr>
        <w:t xml:space="preserve">重建兩臂之後，擺動為 1.6 %</w:t>
      </w:r>
      <w:r>
        <w:rPr>
          <w:rFonts w:ascii="PingFang TC" w:cs="PingFang TC" w:eastAsia="PingFang TC" w:hAnsi="PingFang TC"/>
          <w:sz w:val="24"/>
          <w:szCs w:val="24"/>
        </w:rPr>
        <w:t xml:space="preserve">，而上文 V7b 的符號失敗正是在修復後的模組上量測的。這段經歷也是我們現在把 V7 的效應量報告為「落在統合分析區間的下緣」而非「舒服地落在其中」的原因：先前那個較大的值，倚賴的是一個不可能發生的血鈣擺動。</w:t>
      </w:r>
    </w:p>
    <w:p>
      <w:pPr>
        <w:spacing w:after="120" w:line="480" w:lineRule="auto"/>
      </w:pPr>
      <w:r>
        <w:rPr>
          <w:rFonts w:ascii="PingFang TC" w:cs="PingFang TC" w:eastAsia="PingFang TC" w:hAnsi="PingFang TC"/>
          <w:i/>
          <w:iCs/>
          <w:sz w:val="24"/>
          <w:szCs w:val="24"/>
        </w:rPr>
        <w:t xml:space="preserve">硬化蛋白的雙重作用（V13）方向正確、幅度不足。</w:t>
      </w:r>
      <w:r>
        <w:rPr>
          <w:rFonts w:ascii="PingFang TC" w:cs="PingFang TC" w:eastAsia="PingFang TC" w:hAnsi="PingFang TC"/>
          <w:sz w:val="24"/>
          <w:szCs w:val="24"/>
        </w:rPr>
        <w:t xml:space="preserve"> 在十二倍的硬化蛋白掃描下，RANKL 上升（1.00 → 1.29）、OPG 下降（1.00 → 0.44），方向均如要求；因此 RANKL:OPG 比值上升 </w:t>
      </w:r>
      <w:r>
        <w:rPr>
          <w:rFonts w:ascii="PingFang TC" w:cs="PingFang TC" w:eastAsia="PingFang TC" w:hAnsi="PingFang TC"/>
          <w:b/>
          <w:bCs/>
          <w:sz w:val="24"/>
          <w:szCs w:val="24"/>
        </w:rPr>
        <w:t xml:space="preserve">2.9 倍</w:t>
      </w:r>
      <w:r>
        <w:rPr>
          <w:rFonts w:ascii="PingFang TC" w:cs="PingFang TC" w:eastAsia="PingFang TC" w:hAnsi="PingFang TC"/>
          <w:sz w:val="24"/>
          <w:szCs w:val="24"/>
        </w:rPr>
        <w:t xml:space="preserve">，而那正是原文報告會隨劑量上升的量 [15]。</w:t>
      </w:r>
    </w:p>
    <w:p>
      <w:pPr>
        <w:spacing w:after="120" w:line="480" w:lineRule="auto"/>
      </w:pPr>
      <w:r>
        <w:rPr>
          <w:rFonts w:ascii="PingFang TC" w:cs="PingFang TC" w:eastAsia="PingFang TC" w:hAnsi="PingFang TC"/>
          <w:sz w:val="24"/>
          <w:szCs w:val="24"/>
        </w:rPr>
        <w:t xml:space="preserve">我們原本是拿同一篇論文中「約 7 倍」的數字來評分此標的，並記為失敗。讀了全文之後才發現</w:t>
      </w:r>
      <w:r>
        <w:rPr>
          <w:rFonts w:ascii="PingFang TC" w:cs="PingFang TC" w:eastAsia="PingFang TC" w:hAnsi="PingFang TC"/>
          <w:b/>
          <w:bCs/>
          <w:sz w:val="24"/>
          <w:szCs w:val="24"/>
        </w:rPr>
        <w:t xml:space="preserve">那是我們的錯，不是模型的錯</w:t>
      </w:r>
      <w:r>
        <w:rPr>
          <w:rFonts w:ascii="PingFang TC" w:cs="PingFang TC" w:eastAsia="PingFang TC" w:hAnsi="PingFang TC"/>
          <w:sz w:val="24"/>
          <w:szCs w:val="24"/>
        </w:rPr>
        <w:t xml:space="preserve">：那個 7 倍指的是破骨</w:t>
      </w:r>
      <w:r>
        <w:rPr>
          <w:rFonts w:ascii="PingFang TC" w:cs="PingFang TC" w:eastAsia="PingFang TC" w:hAnsi="PingFang TC"/>
          <w:b/>
          <w:bCs/>
          <w:sz w:val="24"/>
          <w:szCs w:val="24"/>
        </w:rPr>
        <w:t xml:space="preserve">吸收</w:t>
      </w:r>
      <w:r>
        <w:rPr>
          <w:rFonts w:ascii="PingFang TC" w:cs="PingFang TC" w:eastAsia="PingFang TC" w:hAnsi="PingFang TC"/>
          <w:sz w:val="24"/>
          <w:szCs w:val="24"/>
        </w:rPr>
        <w:t xml:space="preserve">——100 ng/ml 重組硬化蛋白下、骨細胞與脾細胞共培養 14 天的吸收凹陷面積——而不是我們拿去比對的那個瞬時活化項。</w:t>
      </w:r>
      <w:r>
        <w:rPr>
          <w:rFonts w:ascii="PingFang TC" w:cs="PingFang TC" w:eastAsia="PingFang TC" w:hAnsi="PingFang TC"/>
          <w:b/>
          <w:bCs/>
          <w:sz w:val="24"/>
          <w:szCs w:val="24"/>
        </w:rPr>
        <w:t xml:space="preserve">這正是本節存在的目的所要揭發的「拿錯對比」，而這次是我們自己犯的。</w:t>
      </w:r>
      <w:r>
        <w:rPr>
          <w:rFonts w:ascii="PingFang TC" w:cs="PingFang TC" w:eastAsia="PingFang TC" w:hAnsi="PingFang TC"/>
          <w:sz w:val="24"/>
          <w:szCs w:val="24"/>
        </w:rPr>
        <w:t xml:space="preserve"> 該活化項確實有 1.42 倍的硬性天花板（其 Hill 常數低於基線硬化蛋白），但那個天花板回答的是原文從未提出的問題。要正確評分 V13，得跑出共培養下游的吸收輸出，而我們還沒做。</w:t>
      </w:r>
    </w:p>
    <w:p>
      <w:pPr>
        <w:spacing w:after="120" w:line="480" w:lineRule="auto"/>
      </w:pPr>
      <w:r>
        <w:rPr>
          <w:rFonts w:ascii="PingFang TC" w:cs="PingFang TC" w:eastAsia="PingFang TC" w:hAnsi="PingFang TC"/>
          <w:i/>
          <w:iCs/>
          <w:sz w:val="24"/>
          <w:szCs w:val="24"/>
        </w:rPr>
        <w:t xml:space="preserve">停經後幾何（V15）在後半段失敗，而它失敗的方式很有啟發性。</w:t>
      </w:r>
      <w:r>
        <w:rPr>
          <w:rFonts w:ascii="PingFang TC" w:cs="PingFang TC" w:eastAsia="PingFang TC" w:hAnsi="PingFang TC"/>
          <w:sz w:val="24"/>
          <w:szCs w:val="24"/>
        </w:rPr>
        <w:t xml:space="preserve"> 在雌激素嚴重下降時，骨內膜半徑外擴（+0.0752 mm）、皮質變薄（−0.0773 mm），皆如要求；但骨膜半徑是極輕微地</w:t>
      </w:r>
      <w:r>
        <w:rPr>
          <w:rFonts w:ascii="PingFang TC" w:cs="PingFang TC" w:eastAsia="PingFang TC" w:hAnsi="PingFang TC"/>
          <w:b/>
          <w:bCs/>
          <w:sz w:val="24"/>
          <w:szCs w:val="24"/>
        </w:rPr>
        <w:t xml:space="preserve">向內</w:t>
      </w:r>
      <w:r>
        <w:rPr>
          <w:rFonts w:ascii="PingFang TC" w:cs="PingFang TC" w:eastAsia="PingFang TC" w:hAnsi="PingFang TC"/>
          <w:sz w:val="24"/>
          <w:szCs w:val="24"/>
        </w:rPr>
        <w:t xml:space="preserve">漂移（−0.0021 mm）而非向外，故模型並未重現伴隨停經性變薄的骨徑增寬。十年的模擬看起來會壯觀地通過此標的，骨膜外擴達 4.62 mm——但它在第 511 天就逸出線性彈性域，屬於當初引入 modeling 飽和界正是為了消除的那一類假影。在有效域內讀取，此標的失敗。</w:t>
      </w:r>
    </w:p>
    <w:p>
      <w:pPr>
        <w:pStyle w:val="Heading2"/>
        <w:spacing w:after="120" w:before="240" w:line="360" w:lineRule="auto"/>
      </w:pPr>
      <w:r>
        <w:rPr>
          <w:rFonts w:ascii="PingFang TC" w:cs="PingFang TC" w:eastAsia="PingFang TC" w:hAnsi="PingFang TC"/>
          <w:b/>
          <w:bCs/>
          <w:i/>
          <w:iCs/>
          <w:sz w:val="24"/>
          <w:szCs w:val="24"/>
        </w:rPr>
        <w:t xml:space="preserve">P3 被否證：模型為單穩態</w:t>
      </w:r>
    </w:p>
    <w:p>
      <w:pPr>
        <w:spacing w:after="120" w:line="480" w:lineRule="auto"/>
      </w:pPr>
      <w:r>
        <w:rPr>
          <w:rFonts w:ascii="PingFang TC" w:cs="PingFang TC" w:eastAsia="PingFang TC" w:hAnsi="PingFang TC"/>
          <w:sz w:val="24"/>
          <w:szCs w:val="24"/>
        </w:rPr>
        <w:t xml:space="preserve">P3 主張骨質疏鬆是一個</w:t>
      </w:r>
      <w:r>
        <w:rPr>
          <w:rFonts w:ascii="PingFang TC" w:cs="PingFang TC" w:eastAsia="PingFang TC" w:hAnsi="PingFang TC"/>
          <w:b/>
          <w:bCs/>
          <w:sz w:val="24"/>
          <w:szCs w:val="24"/>
        </w:rPr>
        <w:t xml:space="preserve">替代穩態（alternative stable state）</w:t>
      </w:r>
      <w:r>
        <w:rPr>
          <w:rFonts w:ascii="PingFang TC" w:cs="PingFang TC" w:eastAsia="PingFang TC" w:hAnsi="PingFang TC"/>
          <w:sz w:val="24"/>
          <w:szCs w:val="24"/>
        </w:rPr>
        <w:t xml:space="preserve">：亦即在雌激素流失超過某個臨界點之後，骨骼會安定於第二個能自我維持的低骨量平衡態，且移除原始擾動並不能使其回復。這正是鞍結點分歧（saddle-node bifurcation）所產生的行為，也是對「快速流失、緩慢且不完全回復」這個臨床不對稱極具吸引力的解釋。模型中有兩個正回饋是</w:t>
      </w:r>
      <w:r>
        <w:rPr>
          <w:rFonts w:ascii="PingFang TC" w:cs="PingFang TC" w:eastAsia="PingFang TC" w:hAnsi="PingFang TC"/>
          <w:b/>
          <w:bCs/>
          <w:sz w:val="24"/>
          <w:szCs w:val="24"/>
        </w:rPr>
        <w:t xml:space="preserve">專為能產生此行為而放入</w:t>
      </w:r>
      <w:r>
        <w:rPr>
          <w:rFonts w:ascii="PingFang TC" w:cs="PingFang TC" w:eastAsia="PingFang TC" w:hAnsi="PingFang TC"/>
          <w:sz w:val="24"/>
          <w:szCs w:val="24"/>
        </w:rPr>
        <w:t xml:space="preserve">的：骨質消失時重塑表面隨之喪失，以及骨細胞死亡時感測能力隨之喪失。</w:t>
      </w:r>
    </w:p>
    <w:p>
      <w:pPr>
        <w:spacing w:after="120" w:line="480" w:lineRule="auto"/>
      </w:pPr>
      <w:r>
        <w:rPr>
          <w:rFonts w:ascii="PingFang TC" w:cs="PingFang TC" w:eastAsia="PingFang TC" w:hAnsi="PingFang TC"/>
          <w:sz w:val="24"/>
          <w:szCs w:val="24"/>
        </w:rPr>
        <w:t xml:space="preserve">要算證實，必須同時看到三件事：在同一個雌激素值下</w:t>
      </w:r>
      <w:r>
        <w:rPr>
          <w:rFonts w:ascii="PingFang TC" w:cs="PingFang TC" w:eastAsia="PingFang TC" w:hAnsi="PingFang TC"/>
          <w:b/>
          <w:bCs/>
          <w:sz w:val="24"/>
          <w:szCs w:val="24"/>
        </w:rPr>
        <w:t xml:space="preserve">兩個穩定平衡態共存</w:t>
      </w:r>
      <w:r>
        <w:rPr>
          <w:rFonts w:ascii="PingFang TC" w:cs="PingFang TC" w:eastAsia="PingFang TC" w:hAnsi="PingFang TC"/>
          <w:sz w:val="24"/>
          <w:szCs w:val="24"/>
        </w:rPr>
        <w:t xml:space="preserve">、其中之一消失處的</w:t>
      </w:r>
      <w:r>
        <w:rPr>
          <w:rFonts w:ascii="PingFang TC" w:cs="PingFang TC" w:eastAsia="PingFang TC" w:hAnsi="PingFang TC"/>
          <w:b/>
          <w:bCs/>
          <w:sz w:val="24"/>
          <w:szCs w:val="24"/>
        </w:rPr>
        <w:t xml:space="preserve">褶皺（fold）</w:t>
      </w:r>
      <w:r>
        <w:rPr>
          <w:rFonts w:ascii="PingFang TC" w:cs="PingFang TC" w:eastAsia="PingFang TC" w:hAnsi="PingFang TC"/>
          <w:sz w:val="24"/>
          <w:szCs w:val="24"/>
        </w:rPr>
        <w:t xml:space="preserve">、以及</w:t>
      </w:r>
      <w:r>
        <w:rPr>
          <w:rFonts w:ascii="PingFang TC" w:cs="PingFang TC" w:eastAsia="PingFang TC" w:hAnsi="PingFang TC"/>
          <w:b/>
          <w:bCs/>
          <w:sz w:val="24"/>
          <w:szCs w:val="24"/>
        </w:rPr>
        <w:t xml:space="preserve">遲滯</w:t>
      </w:r>
      <w:r>
        <w:rPr>
          <w:rFonts w:ascii="PingFang TC" w:cs="PingFang TC" w:eastAsia="PingFang TC" w:hAnsi="PingFang TC"/>
          <w:sz w:val="24"/>
          <w:szCs w:val="24"/>
        </w:rPr>
        <w:t xml:space="preserve">——系統下行的路徑在回程無法循原路折返。三者我們一個也沒看到（</w:t>
      </w:r>
      <w:r>
        <w:rPr>
          <w:rFonts w:ascii="PingFang TC" w:cs="PingFang TC" w:eastAsia="PingFang TC" w:hAnsi="PingFang TC"/>
          <w:b/>
          <w:bCs/>
          <w:sz w:val="24"/>
          <w:szCs w:val="24"/>
        </w:rPr>
        <w:t xml:space="preserve">圖 7</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sz w:val="24"/>
          <w:szCs w:val="24"/>
        </w:rPr>
        <w:t xml:space="preserve">凍結緩慢演化的包膜幾何以隔離孔隙率動力學，並在雌激素下降過程中計算骨體積分率零斜線的過零點數，全程都得到</w:t>
      </w:r>
      <w:r>
        <w:rPr>
          <w:rFonts w:ascii="PingFang TC" w:cs="PingFang TC" w:eastAsia="PingFang TC" w:hAnsi="PingFang TC"/>
          <w:b/>
          <w:bCs/>
          <w:sz w:val="24"/>
          <w:szCs w:val="24"/>
        </w:rPr>
        <w:t xml:space="preserve">一個</w:t>
      </w:r>
      <w:r>
        <w:rPr>
          <w:rFonts w:ascii="PingFang TC" w:cs="PingFang TC" w:eastAsia="PingFang TC" w:hAnsi="PingFang TC"/>
          <w:sz w:val="24"/>
          <w:szCs w:val="24"/>
        </w:rPr>
        <w:t xml:space="preserve">不動點。它由完整雌激素下的 f_bm</w:t>
      </w:r>
      <w:r>
        <w:rPr>
          <w:rFonts w:ascii="PingFang TC" w:cs="PingFang TC" w:eastAsia="PingFang TC" w:hAnsi="PingFang TC"/>
          <w:i/>
          <w:iCs/>
          <w:sz w:val="24"/>
          <w:szCs w:val="24"/>
        </w:rPr>
        <w:t xml:space="preserve"> = 0.078 平緩且連續地滑移至 E₂ = 0.65 時的 0.059，在 E₂ ≈ 0.92 附近陡峭但連續地通過。力學敏感度與基礎硬化蛋白分泌給出相同答案，將骨細胞密度正回饋強度掃過 1.5–5 亦然。</w:t>
      </w:r>
      <w:r>
        <w:rPr>
          <w:rFonts w:ascii="PingFang TC" w:cs="PingFang TC" w:eastAsia="PingFang TC" w:hAnsi="PingFang TC"/>
          <w:i/>
          <w:iCs/>
          <w:sz w:val="24"/>
          <w:szCs w:val="24"/>
        </w:rPr>
        <w:t xml:space="preserve">沒有褶皺、沒有雙穩態、沒有遲滯。</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sz w:val="24"/>
          <w:szCs w:val="24"/>
        </w:rPr>
        <w:t xml:space="preserve">第二條獨立路徑得到一致結論。在</w:t>
      </w:r>
      <w:r>
        <w:rPr>
          <w:rFonts w:ascii="PingFang TC" w:cs="PingFang TC" w:eastAsia="PingFang TC" w:hAnsi="PingFang TC"/>
          <w:b/>
          <w:bCs/>
          <w:sz w:val="24"/>
          <w:szCs w:val="24"/>
        </w:rPr>
        <w:t xml:space="preserve">幾何自由的完整模型</w:t>
      </w:r>
      <w:r>
        <w:rPr>
          <w:rFonts w:ascii="PingFang TC" w:cs="PingFang TC" w:eastAsia="PingFang TC" w:hAnsi="PingFang TC"/>
          <w:sz w:val="24"/>
          <w:szCs w:val="24"/>
        </w:rPr>
        <w:t xml:space="preserve">中將雌激素降下再恢復——一條全程停留在線性彈性域內的軌跡——骨體積分率由 0.950 降至 0.836，再回到 </w:t>
      </w:r>
      <w:r>
        <w:rPr>
          <w:rFonts w:ascii="PingFang TC" w:cs="PingFang TC" w:eastAsia="PingFang TC" w:hAnsi="PingFang TC"/>
          <w:b/>
          <w:bCs/>
          <w:sz w:val="24"/>
          <w:szCs w:val="24"/>
        </w:rPr>
        <w:t xml:space="preserve">0.953，即基線的 100.3 %</w:t>
      </w:r>
      <w:r>
        <w:rPr>
          <w:rFonts w:ascii="PingFang TC" w:cs="PingFang TC" w:eastAsia="PingFang TC" w:hAnsi="PingFang TC"/>
          <w:sz w:val="24"/>
          <w:szCs w:val="24"/>
        </w:rPr>
        <w:t xml:space="preserve">，且無遲滯。</w:t>
      </w:r>
    </w:p>
    <w:p>
      <w:pPr>
        <w:spacing w:after="120" w:line="480" w:lineRule="auto"/>
      </w:pPr>
      <w:r>
        <w:rPr>
          <w:rFonts w:ascii="PingFang TC" w:cs="PingFang TC" w:eastAsia="PingFang TC" w:hAnsi="PingFang TC"/>
          <w:sz w:val="24"/>
          <w:szCs w:val="24"/>
        </w:rPr>
        <w:t xml:space="preserve">單穩態的機制頗具啟發。骨體積分率下降使表觀彈性模數驟降，應變陡升，力學劑量與塑形漂移同時增加，由此產生的恢復驅動壓過了我們</w:t>
      </w:r>
      <w:r>
        <w:rPr>
          <w:rFonts w:ascii="PingFang TC" w:cs="PingFang TC" w:eastAsia="PingFang TC" w:hAnsi="PingFang TC"/>
          <w:b/>
          <w:bCs/>
          <w:sz w:val="24"/>
          <w:szCs w:val="24"/>
        </w:rPr>
        <w:t xml:space="preserve">專為產生雙穩態而放入</w:t>
      </w:r>
      <w:r>
        <w:rPr>
          <w:rFonts w:ascii="PingFang TC" w:cs="PingFang TC" w:eastAsia="PingFang TC" w:hAnsi="PingFang TC"/>
          <w:sz w:val="24"/>
          <w:szCs w:val="24"/>
        </w:rPr>
        <w:t xml:space="preserve">的兩個正回饋——骨質消失時重塑表面的喪失 [18]，以及骨細胞死亡時感測能力的喪失。</w:t>
      </w:r>
      <w:r>
        <w:rPr>
          <w:rFonts w:ascii="PingFang TC" w:cs="PingFang TC" w:eastAsia="PingFang TC" w:hAnsi="PingFang TC"/>
          <w:b/>
          <w:bCs/>
          <w:sz w:val="24"/>
          <w:szCs w:val="24"/>
        </w:rPr>
        <w:t xml:space="preserve">Mechanostat 會把低骨量救回來。</w:t>
      </w:r>
    </w:p>
    <w:p>
      <w:pPr>
        <w:spacing w:after="120" w:line="480" w:lineRule="auto"/>
      </w:pPr>
      <w:r>
        <w:rPr>
          <w:rFonts w:ascii="PingFang TC" w:cs="PingFang TC" w:eastAsia="PingFang TC" w:hAnsi="PingFang TC"/>
          <w:sz w:val="24"/>
          <w:szCs w:val="24"/>
        </w:rPr>
        <w:t xml:space="preserve">一項警示與一項細微差別。延續分支中低於 f_bm ≈ 0.391 的深端，落在力學所假設的線性彈性域之外 [17]，必須視為外推；單穩態的結論取決於過零點計數，不受影響。另外，該恢復循環留下了永久的 +0.005 mm 骨膜外擴，因為塑形只會在外表面增添而無物移除之。那是</w:t>
      </w:r>
      <w:r>
        <w:rPr>
          <w:rFonts w:ascii="PingFang TC" w:cs="PingFang TC" w:eastAsia="PingFang TC" w:hAnsi="PingFang TC"/>
          <w:b/>
          <w:bCs/>
          <w:sz w:val="24"/>
          <w:szCs w:val="24"/>
        </w:rPr>
        <w:t xml:space="preserve">結構記憶</w:t>
      </w:r>
      <w:r>
        <w:rPr>
          <w:rFonts w:ascii="PingFang TC" w:cs="PingFang TC" w:eastAsia="PingFang TC" w:hAnsi="PingFang TC"/>
          <w:sz w:val="24"/>
          <w:szCs w:val="24"/>
        </w:rPr>
        <w:t xml:space="preserve">——在生理上是真實的，因為活體的骨膜沉積大致不可逆——而它絕非動力學雙穩態，因為骨體積分率完全恢復了。</w:t>
      </w:r>
    </w:p>
    <w:p>
      <w:pPr>
        <w:spacing w:after="120" w:line="480" w:lineRule="auto"/>
      </w:pPr>
      <w:r>
        <w:rPr>
          <w:rFonts w:ascii="PingFang TC" w:cs="PingFang TC" w:eastAsia="PingFang TC" w:hAnsi="PingFang TC"/>
          <w:sz w:val="24"/>
          <w:szCs w:val="24"/>
        </w:rPr>
        <w:t xml:space="preserve">我們要指出，一個數值假影差點導出相反的結論。早期的全系統測試顯示骨體積分率停在其地板長達 40 年，讀起來像是不可逆。查證發現該「崩潰」態的皮質厚度達 </w:t>
      </w:r>
      <w:r>
        <w:rPr>
          <w:rFonts w:ascii="PingFang TC" w:cs="PingFang TC" w:eastAsia="PingFang TC" w:hAnsi="PingFang TC"/>
          <w:b/>
          <w:bCs/>
          <w:sz w:val="24"/>
          <w:szCs w:val="24"/>
        </w:rPr>
        <w:t xml:space="preserve">99 mm</w:t>
      </w:r>
      <w:r>
        <w:rPr>
          <w:rFonts w:ascii="PingFang TC" w:cs="PingFang TC" w:eastAsia="PingFang TC" w:hAnsi="PingFang TC"/>
          <w:sz w:val="24"/>
          <w:szCs w:val="24"/>
        </w:rPr>
        <w:t xml:space="preserve">：塑形項對應變超額為線性因而無界，在病理性應變下它要求每年 1513 mm 的骨膜沉積。將其設限——上限為 1.93 μm/天，這個值同時得到皮質骨降伏應變 [17,20] 與已知最大礦化沉積率兩條獨立論證的支持——移除了該假影，並使上述幾何自由的探針成為可能。</w:t>
      </w:r>
    </w:p>
    <w:p>
      <w:pPr>
        <w:pStyle w:val="Heading1"/>
        <w:spacing w:after="160" w:before="360" w:line="360" w:lineRule="auto"/>
      </w:pPr>
      <w:r>
        <w:rPr>
          <w:rFonts w:ascii="PingFang TC" w:cs="PingFang TC" w:eastAsia="PingFang TC" w:hAnsi="PingFang TC"/>
          <w:b/>
          <w:bCs/>
          <w:sz w:val="28"/>
          <w:szCs w:val="28"/>
        </w:rPr>
        <w:t xml:space="preserve">討論（Discussion）</w:t>
      </w:r>
    </w:p>
    <w:p>
      <w:pPr>
        <w:pStyle w:val="Heading2"/>
        <w:spacing w:after="120" w:before="240" w:line="360" w:lineRule="auto"/>
      </w:pPr>
      <w:r>
        <w:rPr>
          <w:rFonts w:ascii="PingFang TC" w:cs="PingFang TC" w:eastAsia="PingFang TC" w:hAnsi="PingFang TC"/>
          <w:b/>
          <w:bCs/>
          <w:i/>
          <w:iCs/>
          <w:sz w:val="24"/>
          <w:szCs w:val="24"/>
        </w:rPr>
        <w:t xml:space="preserve">這個模型買到了什麼</w:t>
      </w:r>
    </w:p>
    <w:p>
      <w:pPr>
        <w:spacing w:after="120" w:line="480" w:lineRule="auto"/>
      </w:pPr>
      <w:r>
        <w:rPr>
          <w:rFonts w:ascii="PingFang TC" w:cs="PingFang TC" w:eastAsia="PingFang TC" w:hAnsi="PingFang TC"/>
          <w:sz w:val="24"/>
          <w:szCs w:val="24"/>
        </w:rPr>
        <w:t xml:space="preserve">這條端到端的鏈條讓三個文獻兩端各自都無法回答的問題得以提出，而且每一個都回傳一個數字而非一個方向：在陳明的條件下負荷勝過鈣 15.3 倍；全身性藥劑無法產生局部不對稱，這是結構層面而非參數層面的結論；抗硬化蛋白抗體與機械負荷因共用一個節點而有 11 % 的次相加。</w:t>
      </w:r>
    </w:p>
    <w:p>
      <w:pPr>
        <w:spacing w:after="120" w:line="480" w:lineRule="auto"/>
      </w:pPr>
      <w:r>
        <w:rPr>
          <w:rFonts w:ascii="PingFang TC" w:cs="PingFang TC" w:eastAsia="PingFang TC" w:hAnsi="PingFang TC"/>
          <w:sz w:val="24"/>
          <w:szCs w:val="24"/>
        </w:rPr>
        <w:t xml:space="preserve">我們最願意為之辯護的結果，是那個不花任何代價的。Frost 的設定點——一個 1987 年由觀察推得的唯象常數——在此由通道閘控動力學與訊號 Hill 函數湧現於 787 με，落在他所提出的區間內，且未經擬合。連同六項盲測的網球選手指標與盲測的停藥流失，這是模型在</w:t>
      </w:r>
      <w:r>
        <w:rPr>
          <w:rFonts w:ascii="PingFang TC" w:cs="PingFang TC" w:eastAsia="PingFang TC" w:hAnsi="PingFang TC"/>
          <w:b/>
          <w:bCs/>
          <w:sz w:val="24"/>
          <w:szCs w:val="24"/>
        </w:rPr>
        <w:t xml:space="preserve">預測</w:t>
      </w:r>
      <w:r>
        <w:rPr>
          <w:rFonts w:ascii="PingFang TC" w:cs="PingFang TC" w:eastAsia="PingFang TC" w:hAnsi="PingFang TC"/>
          <w:sz w:val="24"/>
          <w:szCs w:val="24"/>
        </w:rPr>
        <w:t xml:space="preserve">而非在</w:t>
      </w:r>
      <w:r>
        <w:rPr>
          <w:rFonts w:ascii="PingFang TC" w:cs="PingFang TC" w:eastAsia="PingFang TC" w:hAnsi="PingFang TC"/>
          <w:b/>
          <w:bCs/>
          <w:sz w:val="24"/>
          <w:szCs w:val="24"/>
        </w:rPr>
        <w:t xml:space="preserve">遷就</w:t>
      </w:r>
      <w:r>
        <w:rPr>
          <w:rFonts w:ascii="PingFang TC" w:cs="PingFang TC" w:eastAsia="PingFang TC" w:hAnsi="PingFang TC"/>
          <w:sz w:val="24"/>
          <w:szCs w:val="24"/>
        </w:rPr>
        <w:t xml:space="preserve">的證據。</w:t>
      </w:r>
    </w:p>
    <w:p>
      <w:pPr>
        <w:pStyle w:val="Heading2"/>
        <w:spacing w:after="120" w:before="240" w:line="360" w:lineRule="auto"/>
      </w:pPr>
      <w:r>
        <w:rPr>
          <w:rFonts w:ascii="PingFang TC" w:cs="PingFang TC" w:eastAsia="PingFang TC" w:hAnsi="PingFang TC"/>
          <w:b/>
          <w:bCs/>
          <w:i/>
          <w:iCs/>
          <w:sz w:val="24"/>
          <w:szCs w:val="24"/>
        </w:rPr>
        <w:t xml:space="preserve">否證我們自己的假說</w:t>
      </w:r>
    </w:p>
    <w:p>
      <w:pPr>
        <w:spacing w:after="120" w:line="480" w:lineRule="auto"/>
      </w:pPr>
      <w:r>
        <w:rPr>
          <w:rFonts w:ascii="PingFang TC" w:cs="PingFang TC" w:eastAsia="PingFang TC" w:hAnsi="PingFang TC"/>
          <w:sz w:val="24"/>
          <w:szCs w:val="24"/>
        </w:rPr>
        <w:t xml:space="preserve">P3 是我們預期會被證實、結果卻沒有的那一個。我們在正文報告它，理由有二。</w:t>
      </w:r>
    </w:p>
    <w:p>
      <w:pPr>
        <w:spacing w:after="120" w:line="480" w:lineRule="auto"/>
      </w:pPr>
      <w:r>
        <w:rPr>
          <w:rFonts w:ascii="PingFang TC" w:cs="PingFang TC" w:eastAsia="PingFang TC" w:hAnsi="PingFang TC"/>
          <w:sz w:val="24"/>
          <w:szCs w:val="24"/>
        </w:rPr>
        <w:t xml:space="preserve">第一，它比證實更有資訊量。複雜的生理模型很容易表現出雙穩態，而這類發現相應地脆弱——我們的原本就會是，因為一個數值假影幾乎就送出了那個結論。否證換來的是一條</w:t>
      </w:r>
      <w:r>
        <w:rPr>
          <w:rFonts w:ascii="PingFang TC" w:cs="PingFang TC" w:eastAsia="PingFang TC" w:hAnsi="PingFang TC"/>
          <w:b/>
          <w:bCs/>
          <w:sz w:val="24"/>
          <w:szCs w:val="24"/>
        </w:rPr>
        <w:t xml:space="preserve">邊界</w:t>
      </w:r>
      <w:r>
        <w:rPr>
          <w:rFonts w:ascii="PingFang TC" w:cs="PingFang TC" w:eastAsia="PingFang TC" w:hAnsi="PingFang TC"/>
          <w:sz w:val="24"/>
          <w:szCs w:val="24"/>
        </w:rPr>
        <w:t xml:space="preserve">：在孔隙率尺度上，mechanostat 的力學負回饋強到足以救回低骨量，因此臨床的不可逆性</w:t>
      </w:r>
      <w:r>
        <w:rPr>
          <w:rFonts w:ascii="PingFang TC" w:cs="PingFang TC" w:eastAsia="PingFang TC" w:hAnsi="PingFang TC"/>
          <w:b/>
          <w:bCs/>
          <w:sz w:val="24"/>
          <w:szCs w:val="24"/>
        </w:rPr>
        <w:t xml:space="preserve">不可能</w:t>
      </w:r>
      <w:r>
        <w:rPr>
          <w:rFonts w:ascii="PingFang TC" w:cs="PingFang TC" w:eastAsia="PingFang TC" w:hAnsi="PingFang TC"/>
          <w:sz w:val="24"/>
          <w:szCs w:val="24"/>
        </w:rPr>
        <w:t xml:space="preserve">源自連續重塑動力學。它必然來自本模型未涵蓋的機制——小樑穿孔，也就是連續骨體積分率無法描述的「模板喪失」；骨細胞死亡；或幾何退化。</w:t>
      </w:r>
    </w:p>
    <w:p>
      <w:pPr>
        <w:spacing w:after="120" w:line="480" w:lineRule="auto"/>
      </w:pPr>
      <w:r>
        <w:rPr>
          <w:rFonts w:ascii="PingFang TC" w:cs="PingFang TC" w:eastAsia="PingFang TC" w:hAnsi="PingFang TC"/>
          <w:sz w:val="24"/>
          <w:szCs w:val="24"/>
        </w:rPr>
        <w:t xml:space="preserve">第二，那條邊界是一個可檢驗的預測，而非一句推託。它主張：一個能夠喪失模板的腔室——小樑腔室，其中骨小樑會穿孔且無法重建——應當表現出皮質腔室所沒有的雙穩態。我們的小樑腔室正是自然的檢驗場所，而我們在其中同樣</w:t>
      </w:r>
      <w:r>
        <w:rPr>
          <w:rFonts w:ascii="PingFang TC" w:cs="PingFang TC" w:eastAsia="PingFang TC" w:hAnsi="PingFang TC"/>
          <w:b/>
          <w:bCs/>
          <w:sz w:val="24"/>
          <w:szCs w:val="24"/>
        </w:rPr>
        <w:t xml:space="preserve">沒有</w:t>
      </w:r>
      <w:r>
        <w:rPr>
          <w:rFonts w:ascii="PingFang TC" w:cs="PingFang TC" w:eastAsia="PingFang TC" w:hAnsi="PingFang TC"/>
          <w:sz w:val="24"/>
          <w:szCs w:val="24"/>
        </w:rPr>
        <w:t xml:space="preserve">找到雙穩態，因為該腔室仍以連續的骨體積分率描述。明確地表徵穿孔，是具體的下一步。</w:t>
      </w:r>
    </w:p>
    <w:p>
      <w:pPr>
        <w:spacing w:after="120" w:line="480" w:lineRule="auto"/>
      </w:pPr>
      <w:r>
        <w:rPr>
          <w:rFonts w:ascii="PingFang TC" w:cs="PingFang TC" w:eastAsia="PingFang TC" w:hAnsi="PingFang TC"/>
          <w:sz w:val="24"/>
          <w:szCs w:val="24"/>
        </w:rPr>
        <w:t xml:space="preserve">我們也要區分文獻中常被混為一談的兩件事。快速流失與緩慢回復之間的臨床不對稱是一種</w:t>
      </w:r>
      <w:r>
        <w:rPr>
          <w:rFonts w:ascii="PingFang TC" w:cs="PingFang TC" w:eastAsia="PingFang TC" w:hAnsi="PingFang TC"/>
          <w:b/>
          <w:bCs/>
          <w:sz w:val="24"/>
          <w:szCs w:val="24"/>
        </w:rPr>
        <w:t xml:space="preserve">速率</w:t>
      </w:r>
      <w:r>
        <w:rPr>
          <w:rFonts w:ascii="PingFang TC" w:cs="PingFang TC" w:eastAsia="PingFang TC" w:hAnsi="PingFang TC"/>
          <w:sz w:val="24"/>
          <w:szCs w:val="24"/>
        </w:rPr>
        <w:t xml:space="preserve">不對稱，它存在於我們的單穩態模型中，而它並不是動力學不可逆性的證據。陡峭也不等於雙穩：E₂ ≈ 0.92 處的轉變陡到看起來像跳變，廢用流失對硬化蛋白 Hill 常數的敏感度同樣陡峭，但兩者都是單一不動點附近的高增益。</w:t>
      </w:r>
    </w:p>
    <w:p>
      <w:pPr>
        <w:pStyle w:val="Heading2"/>
        <w:spacing w:after="120" w:before="240" w:line="360" w:lineRule="auto"/>
      </w:pPr>
      <w:r>
        <w:rPr>
          <w:rFonts w:ascii="PingFang TC" w:cs="PingFang TC" w:eastAsia="PingFang TC" w:hAnsi="PingFang TC"/>
          <w:b/>
          <w:bCs/>
          <w:i/>
          <w:iCs/>
          <w:sz w:val="24"/>
          <w:szCs w:val="24"/>
        </w:rPr>
        <w:t xml:space="preserve">度量的選擇是一項結果，不是細節</w:t>
      </w:r>
    </w:p>
    <w:p>
      <w:pPr>
        <w:spacing w:after="120" w:line="480" w:lineRule="auto"/>
      </w:pPr>
      <w:r>
        <w:rPr>
          <w:rFonts w:ascii="PingFang TC" w:cs="PingFang TC" w:eastAsia="PingFang TC" w:hAnsi="PingFang TC"/>
          <w:sz w:val="24"/>
          <w:szCs w:val="24"/>
        </w:rPr>
        <w:t xml:space="preserve">P1 三個子句中有兩個在不同度量下符號反轉。負荷效應以骨礦物含量計為 +4.582 %，以面積骨密度計為 +1.778 %；鈣–負荷交互作用以絕對值計為正，以差異中的差異計為負。</w:t>
      </w:r>
    </w:p>
    <w:p>
      <w:pPr>
        <w:spacing w:after="120" w:line="480" w:lineRule="auto"/>
      </w:pPr>
      <w:r>
        <w:rPr>
          <w:rFonts w:ascii="PingFang TC" w:cs="PingFang TC" w:eastAsia="PingFang TC" w:hAnsi="PingFang TC"/>
          <w:sz w:val="24"/>
          <w:szCs w:val="24"/>
        </w:rPr>
        <w:t xml:space="preserve">兩個反轉都不是建模錯誤。面積骨密度的稀釋是對一個已知限制的忠實重現 [7]：負荷使皮質整體外移，而除以投影寬度會捨棄掉大部分增益。交互作用的反轉則是比較組的地板效應，因為鈣缺乏對久坐組的傷害大於對負荷組。</w:t>
      </w:r>
    </w:p>
    <w:p>
      <w:pPr>
        <w:spacing w:after="120" w:line="480" w:lineRule="auto"/>
      </w:pPr>
      <w:r>
        <w:rPr>
          <w:rFonts w:ascii="PingFang TC" w:cs="PingFang TC" w:eastAsia="PingFang TC" w:hAnsi="PingFang TC"/>
          <w:sz w:val="24"/>
          <w:szCs w:val="24"/>
        </w:rPr>
        <w:t xml:space="preserve">其意涵是實務性的。</w:t>
      </w:r>
      <w:r>
        <w:rPr>
          <w:rFonts w:ascii="PingFang TC" w:cs="PingFang TC" w:eastAsia="PingFang TC" w:hAnsi="PingFang TC"/>
          <w:b/>
          <w:bCs/>
          <w:sz w:val="24"/>
          <w:szCs w:val="24"/>
        </w:rPr>
        <w:t xml:space="preserve">一個以面積骨密度為主要療效指標的試驗，看到的負荷效應大約只有以骨量衡量者的五分之二；而一個報告交互作用項的試驗，可能會從完全相同的底層生物學中，報出與報告實際達成增益之試驗相反的符號。</w:t>
      </w:r>
      <w:r>
        <w:rPr>
          <w:rFonts w:ascii="PingFang TC" w:cs="PingFang TC" w:eastAsia="PingFang TC" w:hAnsi="PingFang TC"/>
          <w:sz w:val="24"/>
          <w:szCs w:val="24"/>
        </w:rPr>
        <w:t xml:space="preserve"> 我們因此在陳述 P1 每一個子句時都附上其度量與負荷強度，並建議實證文獻採取同樣的紀律。</w:t>
      </w:r>
    </w:p>
    <w:p>
      <w:pPr>
        <w:pStyle w:val="Heading2"/>
        <w:spacing w:after="120" w:before="240" w:line="360" w:lineRule="auto"/>
      </w:pPr>
      <w:r>
        <w:rPr>
          <w:rFonts w:ascii="PingFang TC" w:cs="PingFang TC" w:eastAsia="PingFang TC" w:hAnsi="PingFang TC"/>
          <w:b/>
          <w:bCs/>
          <w:i/>
          <w:iCs/>
          <w:sz w:val="24"/>
          <w:szCs w:val="24"/>
        </w:rPr>
        <w:t xml:space="preserve">限制</w:t>
      </w:r>
    </w:p>
    <w:p>
      <w:pPr>
        <w:spacing w:after="120" w:line="480" w:lineRule="auto"/>
      </w:pPr>
      <w:r>
        <w:rPr>
          <w:rFonts w:ascii="PingFang TC" w:cs="PingFang TC" w:eastAsia="PingFang TC" w:hAnsi="PingFang TC"/>
          <w:sz w:val="24"/>
          <w:szCs w:val="24"/>
        </w:rPr>
        <w:t xml:space="preserve">頻率反應在符號上與實驗不符 [11]，追因為通道開啟速率的飽和；機械敏感通道速率常數為取自 [2] 的佔位值，這是取得更佳數值後第一個該複驗的量。頻率依賴的對數</w:t>
      </w:r>
      <w:r>
        <w:rPr>
          <w:rFonts w:ascii="PingFang TC" w:cs="PingFang TC" w:eastAsia="PingFang TC" w:hAnsi="PingFang TC"/>
          <w:b/>
          <w:bCs/>
          <w:sz w:val="24"/>
          <w:szCs w:val="24"/>
        </w:rPr>
        <w:t xml:space="preserve">形式</w:t>
      </w:r>
      <w:r>
        <w:rPr>
          <w:rFonts w:ascii="PingFang TC" w:cs="PingFang TC" w:eastAsia="PingFang TC" w:hAnsi="PingFang TC"/>
          <w:sz w:val="24"/>
          <w:szCs w:val="24"/>
        </w:rPr>
        <w:t xml:space="preserve">與時序 micro-CT 的 mechanostat 參數估計一致 [12]，只有方向不一致。</w:t>
      </w:r>
    </w:p>
    <w:p>
      <w:pPr>
        <w:spacing w:after="120" w:line="480" w:lineRule="auto"/>
      </w:pPr>
      <w:r>
        <w:rPr>
          <w:rFonts w:ascii="PingFang TC" w:cs="PingFang TC" w:eastAsia="PingFang TC" w:hAnsi="PingFang TC"/>
          <w:sz w:val="24"/>
          <w:szCs w:val="24"/>
        </w:rPr>
        <w:t xml:space="preserve">將可用重塑表面與骨體積分率相關聯的比表面積函數（可用重塑表面對骨體積分率的關係）是佔位形式，而我們現在能說出它究竟錯多少。Lerebours 等人 [19] 直接量測人類皮質骨的這個關係，指出在高骨體積分率區其行為為 (1 − BV/TV)^b、</w:t>
      </w:r>
      <w:r>
        <w:rPr>
          <w:rFonts w:ascii="PingFang TC" w:cs="PingFang TC" w:eastAsia="PingFang TC" w:hAnsi="PingFang TC"/>
          <w:b/>
          <w:bCs/>
          <w:sz w:val="24"/>
          <w:szCs w:val="24"/>
        </w:rPr>
        <w:t xml:space="preserve">b = 0.5</w:t>
      </w:r>
      <w:r>
        <w:rPr>
          <w:rFonts w:ascii="PingFang TC" w:cs="PingFang TC" w:eastAsia="PingFang TC" w:hAnsi="PingFang TC"/>
          <w:sz w:val="24"/>
          <w:szCs w:val="24"/>
        </w:rPr>
        <w:t xml:space="preserve">；該平方根擬合優於古典五階多項式與 harmonic mean 形式（r² = 0.84 對 0.82 與 0.77），且在 BV/TV ≥ 0.9 時資料收斂於分數次冪而非任何整數次冪。</w:t>
      </w:r>
      <w:r>
        <w:rPr>
          <w:rFonts w:ascii="PingFang TC" w:cs="PingFang TC" w:eastAsia="PingFang TC" w:hAnsi="PingFang TC"/>
          <w:b/>
          <w:bCs/>
          <w:sz w:val="24"/>
          <w:szCs w:val="24"/>
        </w:rPr>
        <w:t xml:space="preserve">我們的指數是 3</w:t>
      </w:r>
      <w:r>
        <w:rPr>
          <w:rFonts w:ascii="PingFang TC" w:cs="PingFang TC" w:eastAsia="PingFang TC" w:hAnsi="PingFang TC"/>
          <w:sz w:val="24"/>
          <w:szCs w:val="24"/>
        </w:rPr>
        <w:t xml:space="preserve">，為實測值的六倍，而我們的皮質腔室正坐在骨體積分率 0.95 —— 落在他們量測的範圍內。後果是：本模型的比表面積對孔隙度變化的反應約陡了六倍（皮質基線的 d ln S_v / d ln f_bm 為 </w:t>
      </w:r>
      <w:r>
        <w:rPr>
          <w:rFonts w:ascii="PingFang TC" w:cs="PingFang TC" w:eastAsia="PingFang TC" w:hAnsi="PingFang TC"/>
          <w:b/>
          <w:bCs/>
          <w:sz w:val="24"/>
          <w:szCs w:val="24"/>
        </w:rPr>
        <w:t xml:space="preserve">−56</w:t>
      </w:r>
      <w:r>
        <w:rPr>
          <w:rFonts w:ascii="PingFang TC" w:cs="PingFang TC" w:eastAsia="PingFang TC" w:hAnsi="PingFang TC"/>
          <w:sz w:val="24"/>
          <w:szCs w:val="24"/>
        </w:rPr>
        <w:t xml:space="preserve">，而 Lerebours 隱含約 </w:t>
      </w:r>
      <w:r>
        <w:rPr>
          <w:rFonts w:ascii="PingFang TC" w:cs="PingFang TC" w:eastAsia="PingFang TC" w:hAnsi="PingFang TC"/>
          <w:b/>
          <w:bCs/>
          <w:sz w:val="24"/>
          <w:szCs w:val="24"/>
        </w:rPr>
        <w:t xml:space="preserve">−9.5</w:t>
      </w:r>
      <w:r>
        <w:rPr>
          <w:rFonts w:ascii="PingFang TC" w:cs="PingFang TC" w:eastAsia="PingFang TC" w:hAnsi="PingFang TC"/>
          <w:sz w:val="24"/>
          <w:szCs w:val="24"/>
        </w:rPr>
        <w:t xml:space="preserve">）。基線骨轉換不受影響（比表面積在基線被正規化），但</w:t>
      </w:r>
      <w:r>
        <w:rPr>
          <w:rFonts w:ascii="PingFang TC" w:cs="PingFang TC" w:eastAsia="PingFang TC" w:hAnsi="PingFang TC"/>
          <w:b/>
          <w:bCs/>
          <w:sz w:val="24"/>
          <w:szCs w:val="24"/>
        </w:rPr>
        <w:t xml:space="preserve">所有經由它的變化率都被誇大</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b/>
          <w:bCs/>
          <w:sz w:val="24"/>
          <w:szCs w:val="24"/>
        </w:rPr>
        <w:t xml:space="preserve">我們報告一次「嘗試修正卻未採用」的負面結果，因為它比修好本身更有訊息量。</w:t>
      </w:r>
      <w:r>
        <w:rPr>
          <w:rFonts w:ascii="PingFang TC" w:cs="PingFang TC" w:eastAsia="PingFang TC" w:hAnsi="PingFang TC"/>
          <w:sz w:val="24"/>
          <w:szCs w:val="24"/>
        </w:rPr>
        <w:t xml:space="preserve"> 把皮質指數改為實測的 0.5 在機制上是成功的（敏感度變為 −8.51，接近量測所隱含的值），但它使</w:t>
      </w:r>
      <w:r>
        <w:rPr>
          <w:rFonts w:ascii="PingFang TC" w:cs="PingFang TC" w:eastAsia="PingFang TC" w:hAnsi="PingFang TC"/>
          <w:b/>
          <w:bCs/>
          <w:sz w:val="24"/>
          <w:szCs w:val="24"/>
        </w:rPr>
        <w:t xml:space="preserve">廢用標的降到 0.44 %/月</w:t>
      </w:r>
      <w:r>
        <w:rPr>
          <w:rFonts w:ascii="PingFang TC" w:cs="PingFang TC" w:eastAsia="PingFang TC" w:hAnsi="PingFang TC"/>
          <w:sz w:val="24"/>
          <w:szCs w:val="24"/>
        </w:rPr>
        <w:t xml:space="preserve">，而硬化蛋白敏感度救不回來：把該參數掃到其容許範圍的下界，也只飽和在 0.99 %/月，進不了 1.0–1.5 %/月帶。也就是說，</w:t>
      </w:r>
      <w:r>
        <w:rPr>
          <w:rFonts w:ascii="PingFang TC" w:cs="PingFang TC" w:eastAsia="PingFang TC" w:hAnsi="PingFang TC"/>
          <w:b/>
          <w:bCs/>
          <w:sz w:val="24"/>
          <w:szCs w:val="24"/>
        </w:rPr>
        <w:t xml:space="preserve">本模型所產生的廢用流失，有相當部分一直是靠一個比真實陡六倍的比表面積反應撐起來的</w:t>
      </w:r>
      <w:r>
        <w:rPr>
          <w:rFonts w:ascii="PingFang TC" w:cs="PingFang TC" w:eastAsia="PingFang TC" w:hAnsi="PingFang TC"/>
          <w:sz w:val="24"/>
          <w:szCs w:val="24"/>
        </w:rPr>
        <w:t xml:space="preserve">；換上實測指數後，必須另有東西供給那份流失。</w:t>
      </w:r>
    </w:p>
    <w:p>
      <w:pPr>
        <w:spacing w:after="120" w:line="480" w:lineRule="auto"/>
      </w:pPr>
      <w:r>
        <w:rPr>
          <w:rFonts w:ascii="PingFang TC" w:cs="PingFang TC" w:eastAsia="PingFang TC" w:hAnsi="PingFang TC"/>
          <w:b/>
          <w:bCs/>
          <w:sz w:val="24"/>
          <w:szCs w:val="24"/>
        </w:rPr>
        <w:t xml:space="preserve">這裡要說得精確一些，因為我們最初的陳述講得太滿。</w:t>
      </w:r>
      <w:r>
        <w:rPr>
          <w:rFonts w:ascii="PingFang TC" w:cs="PingFang TC" w:eastAsia="PingFang TC" w:hAnsi="PingFang TC"/>
          <w:sz w:val="24"/>
          <w:szCs w:val="24"/>
        </w:rPr>
        <w:t xml:space="preserve"> 在骨轉換常數固定的前提下（如上），硬化蛋白敏感度取任何值都進不了該帶。但</w:t>
      </w:r>
      <w:r>
        <w:rPr>
          <w:rFonts w:ascii="PingFang TC" w:cs="PingFang TC" w:eastAsia="PingFang TC" w:hAnsi="PingFang TC"/>
          <w:b/>
          <w:bCs/>
          <w:sz w:val="24"/>
          <w:szCs w:val="24"/>
        </w:rPr>
        <w:t xml:space="preserve">若同時放開骨轉換常數</w:t>
      </w:r>
      <w:r>
        <w:rPr>
          <w:rFonts w:ascii="PingFang TC" w:cs="PingFang TC" w:eastAsia="PingFang TC" w:hAnsi="PingFang TC"/>
          <w:sz w:val="24"/>
          <w:szCs w:val="24"/>
        </w:rPr>
        <w:t xml:space="preserve">，重擬確實可以達到 </w:t>
      </w:r>
      <w:r>
        <w:rPr>
          <w:rFonts w:ascii="PingFang TC" w:cs="PingFang TC" w:eastAsia="PingFang TC" w:hAnsi="PingFang TC"/>
          <w:b/>
          <w:bCs/>
          <w:sz w:val="24"/>
          <w:szCs w:val="24"/>
        </w:rPr>
        <w:t xml:space="preserve">1.01 %/月</w:t>
      </w:r>
      <w:r>
        <w:rPr>
          <w:rFonts w:ascii="PingFang TC" w:cs="PingFang TC" w:eastAsia="PingFang TC" w:hAnsi="PingFang TC"/>
          <w:sz w:val="24"/>
          <w:szCs w:val="24"/>
        </w:rPr>
        <w:t xml:space="preserve"> —— 代價是成人骨轉換率被推到 </w:t>
      </w:r>
      <w:r>
        <w:rPr>
          <w:rFonts w:ascii="PingFang TC" w:cs="PingFang TC" w:eastAsia="PingFang TC" w:hAnsi="PingFang TC"/>
          <w:b/>
          <w:bCs/>
          <w:sz w:val="24"/>
          <w:szCs w:val="24"/>
        </w:rPr>
        <w:t xml:space="preserve">10.2 %/年</w:t>
      </w:r>
      <w:r>
        <w:rPr>
          <w:rFonts w:ascii="PingFang TC" w:cs="PingFang TC" w:eastAsia="PingFang TC" w:hAnsi="PingFang TC"/>
          <w:sz w:val="24"/>
          <w:szCs w:val="24"/>
        </w:rPr>
        <w:t xml:space="preserve">，落在 5–10 %/年帶之外，而該帶本身已是慣常引用範圍的上半部 [25]。因此正確的主張不是「以實測指數無法達成廢用標的」，而是：</w:t>
      </w:r>
      <w:r>
        <w:rPr>
          <w:rFonts w:ascii="PingFang TC" w:cs="PingFang TC" w:eastAsia="PingFang TC" w:hAnsi="PingFang TC"/>
          <w:b/>
          <w:bCs/>
          <w:sz w:val="24"/>
          <w:szCs w:val="24"/>
        </w:rPr>
        <w:t xml:space="preserve">我們找到的每一條路徑，都用另一個標的來付帳。</w:t>
      </w:r>
    </w:p>
    <w:p>
      <w:pPr>
        <w:spacing w:after="120" w:line="480" w:lineRule="auto"/>
      </w:pPr>
      <w:r>
        <w:rPr>
          <w:rFonts w:ascii="PingFang TC" w:cs="PingFang TC" w:eastAsia="PingFang TC" w:hAnsi="PingFang TC"/>
          <w:b/>
          <w:bCs/>
          <w:sz w:val="24"/>
          <w:szCs w:val="24"/>
        </w:rPr>
        <w:t xml:space="preserve">我們接著把「必須供給那份流失」的機制建了起來，而結果變了兩次 —— 這正是我們報告整個過程、而不只報告結論的理由。</w:t>
      </w:r>
      <w:r>
        <w:rPr>
          <w:rFonts w:ascii="PingFang TC" w:cs="PingFang TC" w:eastAsia="PingFang TC" w:hAnsi="PingFang TC"/>
          <w:sz w:val="24"/>
          <w:szCs w:val="24"/>
        </w:rPr>
        <w:t xml:space="preserve"> 候選其實是被逼出來的：硬化蛋白生成的力學臂在廢用時已經飽和，模擬 180 天臥床後達到其絕對上限的 </w:t>
      </w:r>
      <w:r>
        <w:rPr>
          <w:rFonts w:ascii="PingFang TC" w:cs="PingFang TC" w:eastAsia="PingFang TC" w:hAnsi="PingFang TC"/>
          <w:b/>
          <w:bCs/>
          <w:sz w:val="24"/>
          <w:szCs w:val="24"/>
        </w:rPr>
        <w:t xml:space="preserve">99.97 %</w:t>
      </w:r>
      <w:r>
        <w:rPr>
          <w:rFonts w:ascii="PingFang TC" w:cs="PingFang TC" w:eastAsia="PingFang TC" w:hAnsi="PingFang TC"/>
          <w:sz w:val="24"/>
          <w:szCs w:val="24"/>
        </w:rPr>
        <w:t xml:space="preserve">，所以任何經由力學感測的路徑都供給不了額外流失，缺的那一項必須</w:t>
      </w:r>
      <w:r>
        <w:rPr>
          <w:rFonts w:ascii="PingFang TC" w:cs="PingFang TC" w:eastAsia="PingFang TC" w:hAnsi="PingFang TC"/>
          <w:b/>
          <w:bCs/>
          <w:sz w:val="24"/>
          <w:szCs w:val="24"/>
        </w:rPr>
        <w:t xml:space="preserve">完全繞過硬化蛋白</w:t>
      </w:r>
      <w:r>
        <w:rPr>
          <w:rFonts w:ascii="PingFang TC" w:cs="PingFang TC" w:eastAsia="PingFang TC" w:hAnsi="PingFang TC"/>
          <w:sz w:val="24"/>
          <w:szCs w:val="24"/>
        </w:rPr>
        <w:t xml:space="preserve">。凋亡骨細胞直接釋出 RANKL 正是這樣一條路，我們把它實作為作用在骨細胞缺口上的因子，在基線嚴格失效。</w:t>
      </w:r>
    </w:p>
    <w:p>
      <w:pPr>
        <w:spacing w:after="120" w:line="480" w:lineRule="auto"/>
      </w:pPr>
      <w:r>
        <w:rPr>
          <w:rFonts w:ascii="PingFang TC" w:cs="PingFang TC" w:eastAsia="PingFang TC" w:hAnsi="PingFang TC"/>
          <w:sz w:val="24"/>
          <w:szCs w:val="24"/>
        </w:rPr>
        <w:t xml:space="preserve">以當時的模型量測，這一項是</w:t>
      </w:r>
      <w:r>
        <w:rPr>
          <w:rFonts w:ascii="PingFang TC" w:cs="PingFang TC" w:eastAsia="PingFang TC" w:hAnsi="PingFang TC"/>
          <w:b/>
          <w:bCs/>
          <w:sz w:val="24"/>
          <w:szCs w:val="24"/>
        </w:rPr>
        <w:t xml:space="preserve">有效</w:t>
      </w:r>
      <w:r>
        <w:rPr>
          <w:rFonts w:ascii="PingFang TC" w:cs="PingFang TC" w:eastAsia="PingFang TC" w:hAnsi="PingFang TC"/>
          <w:sz w:val="24"/>
          <w:szCs w:val="24"/>
        </w:rPr>
        <w:t xml:space="preserve">的，而反對的理由是它的代價：它讓廢用流失回到帶內，卻使鈣缺乏變成累進性的 —— 因為在本模型中唯一會降低骨細胞密度的就是吸收本身，所以它放大的是每一個由吸收驅動的情境，而非只有廢用。</w:t>
      </w:r>
      <w:r>
        <w:rPr>
          <w:rFonts w:ascii="PingFang TC" w:cs="PingFang TC" w:eastAsia="PingFang TC" w:hAnsi="PingFang TC"/>
          <w:b/>
          <w:bCs/>
          <w:sz w:val="24"/>
          <w:szCs w:val="24"/>
        </w:rPr>
        <w:t xml:space="preserve">在骨細胞周轉常數被修正之後（見下）再量一次，它根本無效。</w:t>
      </w:r>
      <w:r>
        <w:rPr>
          <w:rFonts w:ascii="PingFang TC" w:cs="PingFang TC" w:eastAsia="PingFang TC" w:hAnsi="PingFang TC"/>
          <w:sz w:val="24"/>
          <w:szCs w:val="24"/>
        </w:rPr>
        <w:t xml:space="preserve"> 推到其容許範圍的頂端，廢用流失也只從 0.44 升到 0.50 %/月，離 1.0–1.5 帶很遠 —— 因為驅動它的骨細胞缺口在 180 天臥床下是 </w:t>
      </w:r>
      <w:r>
        <w:rPr>
          <w:rFonts w:ascii="PingFang TC" w:cs="PingFang TC" w:eastAsia="PingFang TC" w:hAnsi="PingFang TC"/>
          <w:b/>
          <w:bCs/>
          <w:sz w:val="24"/>
          <w:szCs w:val="24"/>
        </w:rPr>
        <w:t xml:space="preserve">2.2 %</w:t>
      </w:r>
      <w:r>
        <w:rPr>
          <w:rFonts w:ascii="PingFang TC" w:cs="PingFang TC" w:eastAsia="PingFang TC" w:hAnsi="PingFang TC"/>
          <w:sz w:val="24"/>
          <w:szCs w:val="24"/>
        </w:rPr>
        <w:t xml:space="preserve">，而不是我們先前量到的 20.7 %；</w:t>
      </w:r>
      <w:r>
        <w:rPr>
          <w:rFonts w:ascii="PingFang TC" w:cs="PingFang TC" w:eastAsia="PingFang TC" w:hAnsi="PingFang TC"/>
          <w:b/>
          <w:bCs/>
          <w:sz w:val="24"/>
          <w:szCs w:val="24"/>
        </w:rPr>
        <w:t xml:space="preserve">而那 20.7 % 本身就是該錯誤的產物</w:t>
      </w:r>
      <w:r>
        <w:rPr>
          <w:rFonts w:ascii="PingFang TC" w:cs="PingFang TC" w:eastAsia="PingFang TC" w:hAnsi="PingFang TC"/>
          <w:sz w:val="24"/>
          <w:szCs w:val="24"/>
        </w:rPr>
        <w:t xml:space="preserve">。</w:t>
      </w:r>
      <w:r>
        <w:rPr>
          <w:rFonts w:ascii="PingFang TC" w:cs="PingFang TC" w:eastAsia="PingFang TC" w:hAnsi="PingFang TC"/>
          <w:b/>
          <w:bCs/>
          <w:sz w:val="24"/>
          <w:szCs w:val="24"/>
        </w:rPr>
        <w:t xml:space="preserve">機制沒有失敗；是「它可能成功」的那個證據本身是假影。</w:t>
      </w:r>
      <w:r>
        <w:rPr>
          <w:rFonts w:ascii="PingFang TC" w:cs="PingFang TC" w:eastAsia="PingFang TC" w:hAnsi="PingFang TC"/>
          <w:sz w:val="24"/>
          <w:szCs w:val="24"/>
        </w:rPr>
        <w:t xml:space="preserve"> 我們報告兩次量測，因為第一次會是一個站得住腳的已發表結果，而它錯得沒有任何標的抓得到。</w:t>
      </w:r>
    </w:p>
    <w:p>
      <w:pPr>
        <w:spacing w:after="120" w:line="480" w:lineRule="auto"/>
      </w:pPr>
      <w:r>
        <w:rPr>
          <w:rFonts w:ascii="PingFang TC" w:cs="PingFang TC" w:eastAsia="PingFang TC" w:hAnsi="PingFang TC"/>
          <w:sz w:val="24"/>
          <w:szCs w:val="24"/>
        </w:rPr>
        <w:t xml:space="preserve">有兩項獨立的檢查與這個結局一致。加入卸載誘發的骨細胞凋亡，使缺口由力學而非吸收產生，確實使它變成廢用專屬，卻改變不了什麼；而它所需要的誘導倍率遠超出量測範圍：後肢懸吊兩週使凋亡骨細胞的比例上升 66 % [26]，而這條路徑需要</w:t>
      </w:r>
      <w:r>
        <w:rPr>
          <w:rFonts w:ascii="PingFang TC" w:cs="PingFang TC" w:eastAsia="PingFang TC" w:hAnsi="PingFang TC"/>
          <w:b/>
          <w:bCs/>
          <w:sz w:val="24"/>
          <w:szCs w:val="24"/>
        </w:rPr>
        <w:t xml:space="preserve">大兩個數量級</w:t>
      </w:r>
      <w:r>
        <w:rPr>
          <w:rFonts w:ascii="PingFang TC" w:cs="PingFang TC" w:eastAsia="PingFang TC" w:hAnsi="PingFang TC"/>
          <w:sz w:val="24"/>
          <w:szCs w:val="24"/>
        </w:rPr>
        <w:t xml:space="preserve">的倍率。而且這個實驗已經有人做過了。以不抑制吸收的雙磷酸鹽類似物阻斷骨細胞凋亡，可以擋住骨細胞 RANKL 的上升，卻</w:t>
      </w:r>
      <w:r>
        <w:rPr>
          <w:rFonts w:ascii="PingFang TC" w:cs="PingFang TC" w:eastAsia="PingFang TC" w:hAnsi="PingFang TC"/>
          <w:b/>
          <w:bCs/>
          <w:sz w:val="24"/>
          <w:szCs w:val="24"/>
        </w:rPr>
        <w:t xml:space="preserve">擋不住卸載造成的吸收與骨流失</w:t>
      </w:r>
      <w:r>
        <w:rPr>
          <w:rFonts w:ascii="PingFang TC" w:cs="PingFang TC" w:eastAsia="PingFang TC" w:hAnsi="PingFang TC"/>
          <w:sz w:val="24"/>
          <w:szCs w:val="24"/>
        </w:rPr>
        <w:t xml:space="preserve"> [27]；作者由此推論，承載這份流失的 RANKL 來自非骨細胞的來源。我們的模型與該實驗由不同路徑到達同一處：</w:t>
      </w:r>
      <w:r>
        <w:rPr>
          <w:rFonts w:ascii="PingFang TC" w:cs="PingFang TC" w:eastAsia="PingFang TC" w:hAnsi="PingFang TC"/>
          <w:b/>
          <w:bCs/>
          <w:sz w:val="24"/>
          <w:szCs w:val="24"/>
        </w:rPr>
        <w:t xml:space="preserve">凋亡 RANKL 這條臂是真的，但它不是廢用骨流失的載體。</w:t>
      </w:r>
    </w:p>
    <w:p>
      <w:pPr>
        <w:spacing w:after="120" w:line="480" w:lineRule="auto"/>
      </w:pPr>
      <w:r>
        <w:rPr>
          <w:rFonts w:ascii="PingFang TC" w:cs="PingFang TC" w:eastAsia="PingFang TC" w:hAnsi="PingFang TC"/>
          <w:b/>
          <w:bCs/>
          <w:sz w:val="24"/>
          <w:szCs w:val="24"/>
        </w:rPr>
        <w:t xml:space="preserve">第三個機制補完了這次搜尋，而它是最接近的一個。</w:t>
      </w:r>
      <w:r>
        <w:rPr>
          <w:rFonts w:ascii="PingFang TC" w:cs="PingFang TC" w:eastAsia="PingFang TC" w:hAnsi="PingFang TC"/>
          <w:sz w:val="24"/>
          <w:szCs w:val="24"/>
        </w:rPr>
        <w:t xml:space="preserve"> 固定不動會提高皮質</w:t>
      </w:r>
      <w:r>
        <w:rPr>
          <w:rFonts w:ascii="PingFang TC" w:cs="PingFang TC" w:eastAsia="PingFang TC" w:hAnsi="PingFang TC"/>
          <w:b/>
          <w:bCs/>
          <w:sz w:val="24"/>
          <w:szCs w:val="24"/>
        </w:rPr>
        <w:t xml:space="preserve">孔隙度</w:t>
      </w:r>
      <w:r>
        <w:rPr>
          <w:rFonts w:ascii="PingFang TC" w:cs="PingFang TC" w:eastAsia="PingFang TC" w:hAnsi="PingFang TC"/>
          <w:sz w:val="24"/>
          <w:szCs w:val="24"/>
        </w:rPr>
        <w:t xml:space="preserve"> —— 那就是吸收往皮質內表面移動，而且在人體上量得到：長期臥床者的股骨皮質顯著較為多孔，且型態與停經後骨鬆可區分 [29]。把它寫成由力學劑量缺口驅動的吸收表面偏移，這條路徑在建構上與量測上都是廢用專屬的 —— 缺口在 180 天臥床是 </w:t>
      </w:r>
      <w:r>
        <w:rPr>
          <w:rFonts w:ascii="PingFang TC" w:cs="PingFang TC" w:eastAsia="PingFang TC" w:hAnsi="PingFang TC"/>
          <w:b/>
          <w:bCs/>
          <w:sz w:val="24"/>
          <w:szCs w:val="24"/>
        </w:rPr>
        <w:t xml:space="preserve">0.886</w:t>
      </w:r>
      <w:r>
        <w:rPr>
          <w:rFonts w:ascii="PingFang TC" w:cs="PingFang TC" w:eastAsia="PingFang TC" w:hAnsi="PingFang TC"/>
          <w:sz w:val="24"/>
          <w:szCs w:val="24"/>
        </w:rPr>
        <w:t xml:space="preserve">，在低鈣臂是 </w:t>
      </w:r>
      <w:r>
        <w:rPr>
          <w:rFonts w:ascii="PingFang TC" w:cs="PingFang TC" w:eastAsia="PingFang TC" w:hAnsi="PingFang TC"/>
          <w:b/>
          <w:bCs/>
          <w:sz w:val="24"/>
          <w:szCs w:val="24"/>
        </w:rPr>
        <w:t xml:space="preserve">0.0016</w:t>
      </w:r>
      <w:r>
        <w:rPr>
          <w:rFonts w:ascii="PingFang TC" w:cs="PingFang TC" w:eastAsia="PingFang TC" w:hAnsi="PingFang TC"/>
          <w:sz w:val="24"/>
          <w:szCs w:val="24"/>
        </w:rPr>
        <w:t xml:space="preserve"> —— 所以它沒有重蹈上述的失敗。它也具備凋亡那條臂所缺的</w:t>
      </w:r>
      <w:r>
        <w:rPr>
          <w:rFonts w:ascii="PingFang TC" w:cs="PingFang TC" w:eastAsia="PingFang TC" w:hAnsi="PingFang TC"/>
          <w:b/>
          <w:bCs/>
          <w:sz w:val="24"/>
          <w:szCs w:val="24"/>
        </w:rPr>
        <w:t xml:space="preserve">權威</w:t>
      </w:r>
      <w:r>
        <w:rPr>
          <w:rFonts w:ascii="PingFang TC" w:cs="PingFang TC" w:eastAsia="PingFang TC" w:hAnsi="PingFang TC"/>
          <w:sz w:val="24"/>
          <w:szCs w:val="24"/>
        </w:rPr>
        <w:t xml:space="preserve">：它把廢用流失由 0.44 拉到 </w:t>
      </w:r>
      <w:r>
        <w:rPr>
          <w:rFonts w:ascii="PingFang TC" w:cs="PingFang TC" w:eastAsia="PingFang TC" w:hAnsi="PingFang TC"/>
          <w:b/>
          <w:bCs/>
          <w:sz w:val="24"/>
          <w:szCs w:val="24"/>
        </w:rPr>
        <w:t xml:space="preserve">1.04 %/月</w:t>
      </w:r>
      <w:r>
        <w:rPr>
          <w:rFonts w:ascii="PingFang TC" w:cs="PingFang TC" w:eastAsia="PingFang TC" w:hAnsi="PingFang TC"/>
          <w:sz w:val="24"/>
          <w:szCs w:val="24"/>
        </w:rPr>
        <w:t xml:space="preserve">，而鈣效應、鈣平台與 romosozumab 反應全都留在帶內。</w:t>
      </w:r>
    </w:p>
    <w:p>
      <w:pPr>
        <w:spacing w:after="120" w:line="480" w:lineRule="auto"/>
      </w:pPr>
      <w:r>
        <w:rPr>
          <w:rFonts w:ascii="PingFang TC" w:cs="PingFang TC" w:eastAsia="PingFang TC" w:hAnsi="PingFang TC"/>
          <w:b/>
          <w:bCs/>
          <w:sz w:val="24"/>
          <w:szCs w:val="24"/>
        </w:rPr>
        <w:t xml:space="preserve">但它敗在生理。</w:t>
      </w:r>
      <w:r>
        <w:rPr>
          <w:rFonts w:ascii="PingFang TC" w:cs="PingFang TC" w:eastAsia="PingFang TC" w:hAnsi="PingFang TC"/>
          <w:sz w:val="24"/>
          <w:szCs w:val="24"/>
        </w:rPr>
        <w:t xml:space="preserve"> 要補上缺口，所需的係數會使廢用時 </w:t>
      </w:r>
      <w:r>
        <w:rPr>
          <w:rFonts w:ascii="PingFang TC" w:cs="PingFang TC" w:eastAsia="PingFang TC" w:hAnsi="PingFang TC"/>
          <w:b/>
          <w:bCs/>
          <w:sz w:val="24"/>
          <w:szCs w:val="24"/>
        </w:rPr>
        <w:t xml:space="preserve">94.5 % 的吸收是皮質內、5.0 % 是骨內膜</w:t>
      </w:r>
      <w:r>
        <w:rPr>
          <w:rFonts w:ascii="PingFang TC" w:cs="PingFang TC" w:eastAsia="PingFang TC" w:hAnsi="PingFang TC"/>
          <w:sz w:val="24"/>
          <w:szCs w:val="24"/>
        </w:rPr>
        <w:t xml:space="preserve">，而基線是 50/45 —— 那等於把幾乎全部吸收移到單一表面，而人體臥床除了打開孔隙度之外，骨內膜也是會變薄的。</w:t>
      </w:r>
      <w:r>
        <w:rPr>
          <w:rFonts w:ascii="PingFang TC" w:cs="PingFang TC" w:eastAsia="PingFang TC" w:hAnsi="PingFang TC"/>
          <w:b/>
          <w:bCs/>
          <w:sz w:val="24"/>
          <w:szCs w:val="24"/>
        </w:rPr>
        <w:t xml:space="preserve">一個只在「它所產生的狀態觀察不到」時才有效的係數，是披著機制外衣的擬合參數</w:t>
      </w:r>
      <w:r>
        <w:rPr>
          <w:rFonts w:ascii="PingFang TC" w:cs="PingFang TC" w:eastAsia="PingFang TC" w:hAnsi="PingFang TC"/>
          <w:sz w:val="24"/>
          <w:szCs w:val="24"/>
        </w:rPr>
        <w:t xml:space="preserve">，我們不把它當作解答來報告。</w:t>
      </w:r>
    </w:p>
    <w:p>
      <w:pPr>
        <w:spacing w:after="120" w:line="480" w:lineRule="auto"/>
      </w:pPr>
      <w:r>
        <w:rPr>
          <w:rFonts w:ascii="PingFang TC" w:cs="PingFang TC" w:eastAsia="PingFang TC" w:hAnsi="PingFang TC"/>
          <w:b/>
          <w:bCs/>
          <w:sz w:val="24"/>
          <w:szCs w:val="24"/>
        </w:rPr>
        <w:t xml:space="preserve">三條路徑至此以三種不同的方式失敗，而這個模式比其中任何一條都更有訊息量。</w:t>
      </w:r>
      <w:r>
        <w:rPr>
          <w:rFonts w:ascii="PingFang TC" w:cs="PingFang TC" w:eastAsia="PingFang TC" w:hAnsi="PingFang TC"/>
          <w:sz w:val="24"/>
          <w:szCs w:val="24"/>
        </w:rPr>
        <w:t xml:space="preserve"> 凋亡臂不是情境專屬的，因為驅動它的缺口本身就是吸收造出來的，代價是鈣的平台。把該缺口改為由力學產生，修好了專一性，卻讓這條路失去權威 —— 基礎凋亡在此僅佔骨細胞移除的約 1 %。表面偏移兩者兼具，卻要求一個觀察不到的表面分配。</w:t>
      </w:r>
      <w:r>
        <w:rPr>
          <w:rFonts w:ascii="PingFang TC" w:cs="PingFang TC" w:eastAsia="PingFang TC" w:hAnsi="PingFang TC"/>
          <w:b/>
          <w:bCs/>
          <w:sz w:val="24"/>
          <w:szCs w:val="24"/>
        </w:rPr>
        <w:t xml:space="preserve">專一性、權威、生理：三條路徑各自敗在其中不同的一項</w:t>
      </w:r>
      <w:r>
        <w:rPr>
          <w:rFonts w:ascii="PingFang TC" w:cs="PingFang TC" w:eastAsia="PingFang TC" w:hAnsi="PingFang TC"/>
          <w:sz w:val="24"/>
          <w:szCs w:val="24"/>
        </w:rPr>
        <w:t xml:space="preserve">，這比三次同型的失敗是更強的陳述。依此證據，要以實測比表面積指數重現廢用流失，需要一個這三條路都給不出的機制；而我們認為最可能的候選，是本模型</w:t>
      </w:r>
      <w:r>
        <w:rPr>
          <w:rFonts w:ascii="PingFang TC" w:cs="PingFang TC" w:eastAsia="PingFang TC" w:hAnsi="PingFang TC"/>
          <w:b/>
          <w:bCs/>
          <w:sz w:val="24"/>
          <w:szCs w:val="24"/>
        </w:rPr>
        <w:t xml:space="preserve">完全沒有表徵</w:t>
      </w:r>
      <w:r>
        <w:rPr>
          <w:rFonts w:ascii="PingFang TC" w:cs="PingFang TC" w:eastAsia="PingFang TC" w:hAnsi="PingFang TC"/>
          <w:sz w:val="24"/>
          <w:szCs w:val="24"/>
        </w:rPr>
        <w:t xml:space="preserve">的那一個 —— 小樑與骨內膜</w:t>
      </w:r>
      <w:r>
        <w:rPr>
          <w:rFonts w:ascii="PingFang TC" w:cs="PingFang TC" w:eastAsia="PingFang TC" w:hAnsi="PingFang TC"/>
          <w:b/>
          <w:bCs/>
          <w:sz w:val="24"/>
          <w:szCs w:val="24"/>
        </w:rPr>
        <w:t xml:space="preserve">模板</w:t>
      </w:r>
      <w:r>
        <w:rPr>
          <w:rFonts w:ascii="PingFang TC" w:cs="PingFang TC" w:eastAsia="PingFang TC" w:hAnsi="PingFang TC"/>
          <w:sz w:val="24"/>
          <w:szCs w:val="24"/>
        </w:rPr>
        <w:t xml:space="preserve">的喪失，而那也正是 P3 否證所指的方向。</w:t>
      </w:r>
    </w:p>
    <w:p>
      <w:pPr>
        <w:spacing w:after="120" w:line="480" w:lineRule="auto"/>
      </w:pPr>
      <w:r>
        <w:rPr>
          <w:rFonts w:ascii="PingFang TC" w:cs="PingFang TC" w:eastAsia="PingFang TC" w:hAnsi="PingFang TC"/>
          <w:sz w:val="24"/>
          <w:szCs w:val="24"/>
        </w:rPr>
        <w:t xml:space="preserve">實測指數還有一項後果值得記下，因為它在每一次量測中都存續：</w:t>
      </w:r>
      <w:r>
        <w:rPr>
          <w:rFonts w:ascii="PingFang TC" w:cs="PingFang TC" w:eastAsia="PingFang TC" w:hAnsi="PingFang TC"/>
          <w:b/>
          <w:bCs/>
          <w:sz w:val="24"/>
          <w:szCs w:val="24"/>
        </w:rPr>
        <w:t xml:space="preserve">它使廢用流失實質上不可逆</w:t>
      </w:r>
      <w:r>
        <w:rPr>
          <w:rFonts w:ascii="PingFang TC" w:cs="PingFang TC" w:eastAsia="PingFang TC" w:hAnsi="PingFang TC"/>
          <w:sz w:val="24"/>
          <w:szCs w:val="24"/>
        </w:rPr>
        <w:t xml:space="preserve">。180 天臥床後恢復正常負重十年，終點仍低於基線 </w:t>
      </w:r>
      <w:r>
        <w:rPr>
          <w:rFonts w:ascii="PingFang TC" w:cs="PingFang TC" w:eastAsia="PingFang TC" w:hAnsi="PingFang TC"/>
          <w:b/>
          <w:bCs/>
          <w:sz w:val="24"/>
          <w:szCs w:val="24"/>
        </w:rPr>
        <w:t xml:space="preserve">5.7 %</w:t>
      </w:r>
      <w:r>
        <w:rPr>
          <w:rFonts w:ascii="PingFang TC" w:cs="PingFang TC" w:eastAsia="PingFang TC" w:hAnsi="PingFang TC"/>
          <w:sz w:val="24"/>
          <w:szCs w:val="24"/>
        </w:rPr>
        <w:t xml:space="preserve"> 且淨回復為零；而在我們出貨的指數下則是完全回復 —— 把指數放平，</w:t>
      </w:r>
      <w:r>
        <w:rPr>
          <w:rFonts w:ascii="PingFang TC" w:cs="PingFang TC" w:eastAsia="PingFang TC" w:hAnsi="PingFang TC"/>
          <w:b/>
          <w:bCs/>
          <w:sz w:val="24"/>
          <w:szCs w:val="24"/>
        </w:rPr>
        <w:t xml:space="preserve">對回復的壓抑大於對流失的壓抑</w:t>
      </w:r>
      <w:r>
        <w:rPr>
          <w:rFonts w:ascii="PingFang TC" w:cs="PingFang TC" w:eastAsia="PingFang TC" w:hAnsi="PingFang TC"/>
          <w:sz w:val="24"/>
          <w:szCs w:val="24"/>
        </w:rPr>
        <w:t xml:space="preserve">。</w:t>
      </w:r>
    </w:p>
    <w:p>
      <w:pPr>
        <w:spacing w:after="120" w:line="480" w:lineRule="auto"/>
      </w:pPr>
      <w:r>
        <w:rPr>
          <w:rFonts w:ascii="PingFang TC" w:cs="PingFang TC" w:eastAsia="PingFang TC" w:hAnsi="PingFang TC"/>
          <w:sz w:val="24"/>
          <w:szCs w:val="24"/>
        </w:rPr>
        <w:t xml:space="preserve">於是我們既知道那個被誇大的指數原本在代替什麼，也知道</w:t>
      </w:r>
      <w:r>
        <w:rPr>
          <w:rFonts w:ascii="PingFang TC" w:cs="PingFang TC" w:eastAsia="PingFang TC" w:hAnsi="PingFang TC"/>
          <w:b/>
          <w:bCs/>
          <w:sz w:val="24"/>
          <w:szCs w:val="24"/>
        </w:rPr>
        <w:t xml:space="preserve">它所依賴的證據本身是假的</w:t>
      </w:r>
      <w:r>
        <w:rPr>
          <w:rFonts w:ascii="PingFang TC" w:cs="PingFang TC" w:eastAsia="PingFang TC" w:hAnsi="PingFang TC"/>
          <w:sz w:val="24"/>
          <w:szCs w:val="24"/>
        </w:rPr>
        <w:t xml:space="preserve">。維持出貨值的理由不再是「換不划算」，而是那條補救路徑在修正後的模型裡根本供給不了廢用流失。實測值 0.5 仍是有出處的那一個，而我們出貨的是 3 —— 這一點我們照實記著。</w:t>
      </w:r>
    </w:p>
    <w:p>
      <w:pPr>
        <w:spacing w:after="120" w:line="480" w:lineRule="auto"/>
      </w:pPr>
      <w:r>
        <w:rPr>
          <w:rFonts w:ascii="PingFang TC" w:cs="PingFang TC" w:eastAsia="PingFang TC" w:hAnsi="PingFang TC"/>
          <w:b/>
          <w:bCs/>
          <w:sz w:val="24"/>
          <w:szCs w:val="24"/>
        </w:rPr>
        <w:t xml:space="preserve">在核對上一項的過程中，浮現了第二個、而且更大的錯誤，它是一個內部矛盾，不是與量測的不一致。</w:t>
      </w:r>
      <w:r>
        <w:rPr>
          <w:rFonts w:ascii="PingFang TC" w:cs="PingFang TC" w:eastAsia="PingFang TC" w:hAnsi="PingFang TC"/>
          <w:sz w:val="24"/>
          <w:szCs w:val="24"/>
        </w:rPr>
        <w:t xml:space="preserve"> 骨細胞是在其所在的骨被吸收時離開組織的，所以骨細胞族群的分數周轉率</w:t>
      </w:r>
      <w:r>
        <w:rPr>
          <w:rFonts w:ascii="PingFang TC" w:cs="PingFang TC" w:eastAsia="PingFang TC" w:hAnsi="PingFang TC"/>
          <w:b/>
          <w:bCs/>
          <w:sz w:val="24"/>
          <w:szCs w:val="24"/>
        </w:rPr>
        <w:t xml:space="preserve">必須等於</w:t>
      </w:r>
      <w:r>
        <w:rPr>
          <w:rFonts w:ascii="PingFang TC" w:cs="PingFang TC" w:eastAsia="PingFang TC" w:hAnsi="PingFang TC"/>
          <w:sz w:val="24"/>
          <w:szCs w:val="24"/>
        </w:rPr>
        <w:t xml:space="preserve">骨的分數周轉率。在我們去核對之前，它並不相等：骨以每天 1.93 × 10⁻⁴ 的速率被吸收（此即我們自己的成人骨轉換率所隱含的值），而骨細胞的移除速率是每天 9.9 × 10⁻² —— </w:t>
      </w:r>
      <w:r>
        <w:rPr>
          <w:rFonts w:ascii="PingFang TC" w:cs="PingFang TC" w:eastAsia="PingFang TC" w:hAnsi="PingFang TC"/>
          <w:b/>
          <w:bCs/>
          <w:sz w:val="24"/>
          <w:szCs w:val="24"/>
        </w:rPr>
        <w:t xml:space="preserve">相差 514 倍</w:t>
      </w:r>
      <w:r>
        <w:rPr>
          <w:rFonts w:ascii="PingFang TC" w:cs="PingFang TC" w:eastAsia="PingFang TC" w:hAnsi="PingFang TC"/>
          <w:sz w:val="24"/>
          <w:szCs w:val="24"/>
        </w:rPr>
        <w:t xml:space="preserve">，骨細胞平均停留時間成了十天而非數年。看出這一點</w:t>
      </w:r>
      <w:r>
        <w:rPr>
          <w:rFonts w:ascii="PingFang TC" w:cs="PingFang TC" w:eastAsia="PingFang TC" w:hAnsi="PingFang TC"/>
          <w:b/>
          <w:bCs/>
          <w:sz w:val="24"/>
          <w:szCs w:val="24"/>
        </w:rPr>
        <w:t xml:space="preserve">不需要任何外部資料</w:t>
      </w:r>
      <w:r>
        <w:rPr>
          <w:rFonts w:ascii="PingFang TC" w:cs="PingFang TC" w:eastAsia="PingFang TC" w:hAnsi="PingFang TC"/>
          <w:sz w:val="24"/>
          <w:szCs w:val="24"/>
        </w:rPr>
        <w:t xml:space="preserve">；模型和自己不一致，而它兩年來通過了它所有的標的。</w:t>
      </w:r>
    </w:p>
    <w:p>
      <w:pPr>
        <w:spacing w:after="120" w:line="480" w:lineRule="auto"/>
      </w:pPr>
      <w:r>
        <w:rPr>
          <w:rFonts w:ascii="PingFang TC" w:cs="PingFang TC" w:eastAsia="PingFang TC" w:hAnsi="PingFang TC"/>
          <w:sz w:val="24"/>
          <w:szCs w:val="24"/>
        </w:rPr>
        <w:t xml:space="preserve">一個獨立的估計確認了錯的是哪一邊：成人骨骼約 420 億個骨細胞、每天補充 910 萬個 [28]，給出每天 2.17 × 10⁻⁴、停留 12.6 年，站在骨轉換那一邊而非我們這一邊。我們已經修正它，而</w:t>
      </w:r>
      <w:r>
        <w:rPr>
          <w:rFonts w:ascii="PingFang TC" w:cs="PingFang TC" w:eastAsia="PingFang TC" w:hAnsi="PingFang TC"/>
          <w:b/>
          <w:bCs/>
          <w:sz w:val="24"/>
          <w:szCs w:val="24"/>
        </w:rPr>
        <w:t xml:space="preserve">修正是結構性的、不是換一個數值</w:t>
      </w:r>
      <w:r>
        <w:rPr>
          <w:rFonts w:ascii="PingFang TC" w:cs="PingFang TC" w:eastAsia="PingFang TC" w:hAnsi="PingFang TC"/>
          <w:sz w:val="24"/>
          <w:szCs w:val="24"/>
        </w:rPr>
        <w:t xml:space="preserve">：掩埋常數現在如同形成常數一樣，在每一組參數下都</w:t>
      </w:r>
      <w:r>
        <w:rPr>
          <w:rFonts w:ascii="PingFang TC" w:cs="PingFang TC" w:eastAsia="PingFang TC" w:hAnsi="PingFang TC"/>
          <w:b/>
          <w:bCs/>
          <w:sz w:val="24"/>
          <w:szCs w:val="24"/>
        </w:rPr>
        <w:t xml:space="preserve">由骨轉換率導出</w:t>
      </w:r>
      <w:r>
        <w:rPr>
          <w:rFonts w:ascii="PingFang TC" w:cs="PingFang TC" w:eastAsia="PingFang TC" w:hAnsi="PingFang TC"/>
          <w:sz w:val="24"/>
          <w:szCs w:val="24"/>
        </w:rPr>
        <w:t xml:space="preserve">，因此這個矛盾不可能再發生。本文所有結果都是在該修正與一次五參數重擬之後計算的。</w:t>
      </w:r>
    </w:p>
    <w:p>
      <w:pPr>
        <w:spacing w:after="120" w:line="480" w:lineRule="auto"/>
      </w:pPr>
      <w:r>
        <w:rPr>
          <w:rFonts w:ascii="PingFang TC" w:cs="PingFang TC" w:eastAsia="PingFang TC" w:hAnsi="PingFang TC"/>
          <w:sz w:val="24"/>
          <w:szCs w:val="24"/>
        </w:rPr>
        <w:t xml:space="preserve">後果值得雙向陳述，因為它確實是雙向的。</w:t>
      </w:r>
      <w:r>
        <w:rPr>
          <w:rFonts w:ascii="PingFang TC" w:cs="PingFang TC" w:eastAsia="PingFang TC" w:hAnsi="PingFang TC"/>
          <w:b/>
          <w:bCs/>
          <w:sz w:val="24"/>
          <w:szCs w:val="24"/>
        </w:rPr>
        <w:t xml:space="preserve">不利的一面</w:t>
      </w:r>
      <w:r>
        <w:rPr>
          <w:rFonts w:ascii="PingFang TC" w:cs="PingFang TC" w:eastAsia="PingFang TC" w:hAnsi="PingFang TC"/>
          <w:sz w:val="24"/>
          <w:szCs w:val="24"/>
        </w:rPr>
        <w:t xml:space="preserve">：鈣效應降到 +0.663 %，剛好落在帶外 —— 因為鈣這條臂原本被一個骨細胞密度回饋放大，而十天的停留時間讓那個回饋快得不合生理。</w:t>
      </w:r>
      <w:r>
        <w:rPr>
          <w:rFonts w:ascii="PingFang TC" w:cs="PingFang TC" w:eastAsia="PingFang TC" w:hAnsi="PingFang TC"/>
          <w:b/>
          <w:bCs/>
          <w:sz w:val="24"/>
          <w:szCs w:val="24"/>
        </w:rPr>
        <w:t xml:space="preserve">有利的一面</w:t>
      </w:r>
      <w:r>
        <w:rPr>
          <w:rFonts w:ascii="PingFang TC" w:cs="PingFang TC" w:eastAsia="PingFang TC" w:hAnsi="PingFang TC"/>
          <w:sz w:val="24"/>
          <w:szCs w:val="24"/>
        </w:rPr>
        <w:t xml:space="preserve">：停藥後的盲測由「收在治療前基線之下 0.75 %」改善為「收在其上 2.68 %」，而那正是臨床觀測所描述的方向，且</w:t>
      </w:r>
      <w:r>
        <w:rPr>
          <w:rFonts w:ascii="PingFang TC" w:cs="PingFang TC" w:eastAsia="PingFang TC" w:hAnsi="PingFang TC"/>
          <w:b/>
          <w:bCs/>
          <w:sz w:val="24"/>
          <w:szCs w:val="24"/>
        </w:rPr>
        <w:t xml:space="preserve">沒有動任何藥物參數</w:t>
      </w:r>
      <w:r>
        <w:rPr>
          <w:rFonts w:ascii="PingFang TC" w:cs="PingFang TC" w:eastAsia="PingFang TC" w:hAnsi="PingFang TC"/>
          <w:sz w:val="24"/>
          <w:szCs w:val="24"/>
        </w:rPr>
        <w:t xml:space="preserve">；臥床後的十年回復由部分變為完整；先前被釘在上界的那個副甲狀腺素路徑參數也離開了上界。基線漂移、彈性域與單穩性均不受影響。我們認為這個交換顯然值得做 —— </w:t>
      </w:r>
      <w:r>
        <w:rPr>
          <w:rFonts w:ascii="PingFang TC" w:cs="PingFang TC" w:eastAsia="PingFang TC" w:hAnsi="PingFang TC"/>
          <w:b/>
          <w:bCs/>
          <w:sz w:val="24"/>
          <w:szCs w:val="24"/>
        </w:rPr>
        <w:t xml:space="preserve">一個誇大某個校正標的的假影，不構成保留內部矛盾的理由</w:t>
      </w:r>
      <w:r>
        <w:rPr>
          <w:rFonts w:ascii="PingFang TC" w:cs="PingFang TC" w:eastAsia="PingFang TC" w:hAnsi="PingFang TC"/>
          <w:sz w:val="24"/>
          <w:szCs w:val="24"/>
        </w:rPr>
        <w:t xml:space="preserve"> —— 但如果讀者比我們更看重那個鈣的區間，應該清楚知道被交換掉的究竟是什麼。</w:t>
      </w:r>
    </w:p>
    <w:p>
      <w:pPr>
        <w:spacing w:after="120" w:line="480" w:lineRule="auto"/>
      </w:pPr>
      <w:r>
        <w:rPr>
          <w:rFonts w:ascii="PingFang TC" w:cs="PingFang TC" w:eastAsia="PingFang TC" w:hAnsi="PingFang TC"/>
          <w:sz w:val="24"/>
          <w:szCs w:val="24"/>
        </w:rPr>
        <w:t xml:space="preserve">因此，我們是用一個</w:t>
      </w:r>
      <w:r>
        <w:rPr>
          <w:rFonts w:ascii="PingFang TC" w:cs="PingFang TC" w:eastAsia="PingFang TC" w:hAnsi="PingFang TC"/>
          <w:b/>
          <w:bCs/>
          <w:sz w:val="24"/>
          <w:szCs w:val="24"/>
        </w:rPr>
        <w:t xml:space="preserve">已知過陡的指數</w:t>
      </w:r>
      <w:r>
        <w:rPr>
          <w:rFonts w:ascii="PingFang TC" w:cs="PingFang TC" w:eastAsia="PingFang TC" w:hAnsi="PingFang TC"/>
          <w:sz w:val="24"/>
          <w:szCs w:val="24"/>
        </w:rPr>
        <w:t xml:space="preserve">在報告結果，並且把這件事講明，而不是悄悄採用實測值再報告一個壞掉的廢用標的。同一篇論文的標題還帶來另一個警告：這個關係是</w:t>
      </w:r>
      <w:r>
        <w:rPr>
          <w:rFonts w:ascii="PingFang TC" w:cs="PingFang TC" w:eastAsia="PingFang TC" w:hAnsi="PingFang TC"/>
          <w:b/>
          <w:bCs/>
          <w:sz w:val="24"/>
          <w:szCs w:val="24"/>
        </w:rPr>
        <w:t xml:space="preserve">個體專一</w:t>
      </w:r>
      <w:r>
        <w:rPr>
          <w:rFonts w:ascii="PingFang TC" w:cs="PingFang TC" w:eastAsia="PingFang TC" w:hAnsi="PingFang TC"/>
          <w:sz w:val="24"/>
          <w:szCs w:val="24"/>
        </w:rPr>
        <w:t xml:space="preserve">的，而非內在的 —— 逐個體擬合的 r² 達 0.87–0.98，優於合併的 0.84，且與性別與孔洞密度相關，與年齡、身高、體重無關。</w:t>
      </w:r>
      <w:r>
        <w:rPr>
          <w:rFonts w:ascii="PingFang TC" w:cs="PingFang TC" w:eastAsia="PingFang TC" w:hAnsi="PingFang TC"/>
          <w:b/>
          <w:bCs/>
          <w:sz w:val="24"/>
          <w:szCs w:val="24"/>
        </w:rPr>
        <w:t xml:space="preserve">一條曲線不只是跨腔室的近似，也是跨個體的近似。</w:t>
      </w:r>
    </w:p>
    <w:p>
      <w:pPr>
        <w:spacing w:after="120" w:line="480" w:lineRule="auto"/>
      </w:pPr>
      <w:r>
        <w:rPr>
          <w:rFonts w:ascii="PingFang TC" w:cs="PingFang TC" w:eastAsia="PingFang TC" w:hAnsi="PingFang TC"/>
          <w:sz w:val="24"/>
          <w:szCs w:val="24"/>
        </w:rPr>
        <w:t xml:space="preserve">完全卸載超過約 7.5 個月會逸出模型的有效域，故長期廢用不在範疇內。抗體被建模為階躍函數而非藥物動力學曲線，這使停藥暫態較實際尖銳——被校正的量是下游的吸收過衝，其幅度不受影響。兩個副甲狀腺素路徑參數僅能聯合辨識。皮質幾何是理想化的圓環。</w:t>
      </w:r>
    </w:p>
    <w:p>
      <w:pPr>
        <w:spacing w:after="120" w:line="480" w:lineRule="auto"/>
      </w:pPr>
      <w:r>
        <w:rPr>
          <w:rFonts w:ascii="PingFang TC" w:cs="PingFang TC" w:eastAsia="PingFang TC" w:hAnsi="PingFang TC"/>
          <w:sz w:val="24"/>
          <w:szCs w:val="24"/>
        </w:rPr>
        <w:t xml:space="preserve">有三項限制直接來自上述那四個標的，我們認為這是讀者能從本文取得的、關於本模型最脆弱之處最有用的資訊。其一，</w:t>
      </w:r>
      <w:r>
        <w:rPr>
          <w:rFonts w:ascii="PingFang TC" w:cs="PingFang TC" w:eastAsia="PingFang TC" w:hAnsi="PingFang TC"/>
          <w:b/>
          <w:bCs/>
          <w:sz w:val="24"/>
          <w:szCs w:val="24"/>
        </w:rPr>
        <w:t xml:space="preserve">全身鈣模組已於本次工作中重建</w:t>
      </w:r>
      <w:r>
        <w:rPr>
          <w:rFonts w:ascii="PingFang TC" w:cs="PingFang TC" w:eastAsia="PingFang TC" w:hAnsi="PingFang TC"/>
          <w:sz w:val="24"/>
          <w:szCs w:val="24"/>
        </w:rPr>
        <w:t xml:space="preserve">。它原本在兩個相反方向上同時失敗：血清鈣隨飲食擺動 15 %（生理約 2 %），而把骨鈣帶入血液池的係數又比它們所被正規化的通量小三個數量級，故該耦合在結構上雙向、數值上單向。</w:t>
      </w:r>
      <w:r>
        <w:rPr>
          <w:rFonts w:ascii="PingFang TC" w:cs="PingFang TC" w:eastAsia="PingFang TC" w:hAnsi="PingFang TC"/>
          <w:b/>
          <w:bCs/>
          <w:sz w:val="24"/>
          <w:szCs w:val="24"/>
        </w:rPr>
        <w:t xml:space="preserve">兩者皆已修復</w:t>
      </w:r>
      <w:r>
        <w:rPr>
          <w:rFonts w:ascii="PingFang TC" w:cs="PingFang TC" w:eastAsia="PingFang TC" w:hAnsi="PingFang TC"/>
          <w:sz w:val="24"/>
          <w:szCs w:val="24"/>
        </w:rPr>
        <w:t xml:space="preserve">——擺動現在為 1.6 %，且卸載使副甲狀腺素下降 21.3 %（文獻 24 %）——但留下兩個後果。修復付出的代價是鈣的效應量：</w:t>
      </w:r>
      <w:r>
        <w:rPr>
          <w:rFonts w:ascii="PingFang TC" w:cs="PingFang TC" w:eastAsia="PingFang TC" w:hAnsi="PingFang TC"/>
          <w:b/>
          <w:bCs/>
          <w:sz w:val="24"/>
          <w:szCs w:val="24"/>
        </w:rPr>
        <w:t xml:space="preserve">V7 現在落在其區間的下緣而非中段</w:t>
      </w:r>
      <w:r>
        <w:rPr>
          <w:rFonts w:ascii="PingFang TC" w:cs="PingFang TC" w:eastAsia="PingFang TC" w:hAnsi="PingFang TC"/>
          <w:sz w:val="24"/>
          <w:szCs w:val="24"/>
        </w:rPr>
        <w:t xml:space="preserve">，因為先前較大的值倚賴的正是已被移除的那個擺動。以及它製造了上文所述的 V7/V16 衝突。兩者都未被隱藏，且都是「把模組做得更合生理」而非更不合生理的後果。同一個模組在</w:t>
      </w:r>
      <w:r>
        <w:rPr>
          <w:rFonts w:ascii="PingFang TC" w:cs="PingFang TC" w:eastAsia="PingFang TC" w:hAnsi="PingFang TC"/>
          <w:b/>
          <w:bCs/>
          <w:sz w:val="24"/>
          <w:szCs w:val="24"/>
        </w:rPr>
        <w:t xml:space="preserve">回程</w:t>
      </w:r>
      <w:r>
        <w:rPr>
          <w:rFonts w:ascii="PingFang TC" w:cs="PingFang TC" w:eastAsia="PingFang TC" w:hAnsi="PingFang TC"/>
          <w:sz w:val="24"/>
          <w:szCs w:val="24"/>
        </w:rPr>
        <w:t xml:space="preserve">上則以相反方向失敗：把骨鈣通量帶入全身池的係數，比它們所被正規化的腸道通量小一千倍以上，故該耦合在結構上是雙向的、在數值上實質是單向的，模型也因此無法重現失用症的副甲狀腺素抑制與高血鈣 [24]。</w:t>
      </w:r>
      <w:r>
        <w:rPr>
          <w:rFonts w:ascii="PingFang TC" w:cs="PingFang TC" w:eastAsia="PingFang TC" w:hAnsi="PingFang TC"/>
          <w:b/>
          <w:bCs/>
          <w:sz w:val="24"/>
          <w:szCs w:val="24"/>
        </w:rPr>
        <w:t xml:space="preserve">把鈣模組的這兩半都修好，是我們會最先做的一件事。</w:t>
      </w:r>
      <w:r>
        <w:rPr>
          <w:rFonts w:ascii="PingFang TC" w:cs="PingFang TC" w:eastAsia="PingFang TC" w:hAnsi="PingFang TC"/>
          <w:sz w:val="24"/>
          <w:szCs w:val="24"/>
        </w:rPr>
        <w:t xml:space="preserve">其二，RANKL 對硬化蛋白的反應在</w:t>
      </w:r>
      <w:r>
        <w:rPr>
          <w:rFonts w:ascii="PingFang TC" w:cs="PingFang TC" w:eastAsia="PingFang TC" w:hAnsi="PingFang TC"/>
          <w:b/>
          <w:bCs/>
          <w:sz w:val="24"/>
          <w:szCs w:val="24"/>
        </w:rPr>
        <w:t xml:space="preserve">任何</w:t>
      </w:r>
      <w:r>
        <w:rPr>
          <w:rFonts w:ascii="PingFang TC" w:cs="PingFang TC" w:eastAsia="PingFang TC" w:hAnsi="PingFang TC"/>
          <w:sz w:val="24"/>
          <w:szCs w:val="24"/>
        </w:rPr>
        <w:t xml:space="preserve">參數值下都無法達到文獻所報告的幅度，因為相關的半飽和常數低於基線硬化蛋白。其三，模型無法產生停經後的骨膜外擴，故老化皮質的幾何只重現了「變薄」那一半。最後，模型並未將小樑結構表徵為</w:t>
      </w:r>
      <w:r>
        <w:rPr>
          <w:rFonts w:ascii="PingFang TC" w:cs="PingFang TC" w:eastAsia="PingFang TC" w:hAnsi="PingFang TC"/>
          <w:b/>
          <w:bCs/>
          <w:sz w:val="24"/>
          <w:szCs w:val="24"/>
        </w:rPr>
        <w:t xml:space="preserve">結構</w:t>
      </w:r>
      <w:r>
        <w:rPr>
          <w:rFonts w:ascii="PingFang TC" w:cs="PingFang TC" w:eastAsia="PingFang TC" w:hAnsi="PingFang TC"/>
          <w:sz w:val="24"/>
          <w:szCs w:val="24"/>
        </w:rPr>
        <w:t xml:space="preserve">，而那正是 P3 的否證所指向之處。</w:t>
      </w:r>
    </w:p>
    <w:p>
      <w:pPr>
        <w:pStyle w:val="Heading2"/>
        <w:spacing w:after="120" w:before="240" w:line="360" w:lineRule="auto"/>
      </w:pPr>
      <w:r>
        <w:rPr>
          <w:rFonts w:ascii="PingFang TC" w:cs="PingFang TC" w:eastAsia="PingFang TC" w:hAnsi="PingFang TC"/>
          <w:b/>
          <w:bCs/>
          <w:i/>
          <w:iCs/>
          <w:sz w:val="24"/>
          <w:szCs w:val="24"/>
        </w:rPr>
        <w:t xml:space="preserve">結論</w:t>
      </w:r>
    </w:p>
    <w:p>
      <w:pPr>
        <w:spacing w:after="120" w:line="480" w:lineRule="auto"/>
      </w:pPr>
      <w:r>
        <w:rPr>
          <w:rFonts w:ascii="PingFang TC" w:cs="PingFang TC" w:eastAsia="PingFang TC" w:hAnsi="PingFang TC"/>
          <w:sz w:val="24"/>
          <w:szCs w:val="24"/>
        </w:rPr>
        <w:t xml:space="preserve">將一個已驗證的力學傳導前端接上一個已驗證的骨細胞後端，產生了一個能預測盲測觀測、能計算出先前只能被觀察的設定點、並在定量上解決鈣與負荷之爭的模型——同時推翻了我們自己對骨質疏鬆動力學本質的假說，並顯示我們三個定量主張中有兩個取決於用哪一種度量來陳述它們。</w:t>
      </w:r>
    </w:p>
    <w:p>
      <w:pPr>
        <w:pStyle w:val="Heading1"/>
        <w:spacing w:after="160" w:before="360" w:line="360" w:lineRule="auto"/>
      </w:pPr>
      <w:r>
        <w:rPr>
          <w:rFonts w:ascii="PingFang TC" w:cs="PingFang TC" w:eastAsia="PingFang TC" w:hAnsi="PingFang TC"/>
          <w:b/>
          <w:bCs/>
          <w:sz w:val="28"/>
          <w:szCs w:val="28"/>
        </w:rPr>
        <w:t xml:space="preserve">材料與方法（Materials and methods）</w:t>
      </w:r>
    </w:p>
    <w:p>
      <w:pPr>
        <w:pStyle w:val="Heading2"/>
        <w:spacing w:after="120" w:before="240" w:line="360" w:lineRule="auto"/>
      </w:pPr>
      <w:r>
        <w:rPr>
          <w:rFonts w:ascii="PingFang TC" w:cs="PingFang TC" w:eastAsia="PingFang TC" w:hAnsi="PingFang TC"/>
          <w:b/>
          <w:bCs/>
          <w:i/>
          <w:iCs/>
          <w:sz w:val="24"/>
          <w:szCs w:val="24"/>
        </w:rPr>
        <w:t xml:space="preserve">模型結構</w:t>
      </w:r>
    </w:p>
    <w:p>
      <w:pPr>
        <w:spacing w:after="120" w:line="480" w:lineRule="auto"/>
      </w:pPr>
      <w:r>
        <w:rPr>
          <w:rFonts w:ascii="PingFang TC" w:cs="PingFang TC" w:eastAsia="PingFang TC" w:hAnsi="PingFang TC"/>
          <w:sz w:val="24"/>
          <w:szCs w:val="24"/>
        </w:rPr>
        <w:t xml:space="preserve">八個模組；完整方程式見 </w:t>
      </w:r>
      <w:r>
        <w:rPr>
          <w:rFonts w:ascii="PingFang TC" w:cs="PingFang TC" w:eastAsia="PingFang TC" w:hAnsi="PingFang TC"/>
          <w:b/>
          <w:bCs/>
          <w:sz w:val="24"/>
          <w:szCs w:val="24"/>
        </w:rPr>
        <w:t xml:space="preserve">S1 Text</w:t>
      </w:r>
      <w:r>
        <w:rPr>
          <w:rFonts w:ascii="PingFang TC" w:cs="PingFang TC" w:eastAsia="PingFang TC" w:hAnsi="PingFang TC"/>
          <w:sz w:val="24"/>
          <w:szCs w:val="24"/>
        </w:rPr>
        <w:t xml:space="preserve">。狀態向量：17（單腔室）、30（雙腔室；每站 13 個局部狀態加 4 個共用全身狀態）。以 </w:t>
      </w:r>
      <w:r>
        <w:rPr>
          <w:rFonts w:ascii="Courier New" w:cs="Courier New" w:eastAsia="Courier New" w:hAnsi="Courier New"/>
          <w:sz w:val="24"/>
          <w:szCs w:val="24"/>
        </w:rPr>
        <w:t xml:space="preserve">ode15s</w:t>
      </w:r>
      <w:r>
        <w:rPr>
          <w:rFonts w:ascii="PingFang TC" w:cs="PingFang TC" w:eastAsia="PingFang TC" w:hAnsi="PingFang TC"/>
          <w:sz w:val="24"/>
          <w:szCs w:val="24"/>
        </w:rPr>
        <w:t xml:space="preserve"> 積分，相對容差 1 × 10⁻⁶、絕對容差 1 × 10⁻⁹，所有狀態強制非負。</w:t>
      </w:r>
    </w:p>
    <w:p>
      <w:pPr>
        <w:spacing w:after="120" w:line="480" w:lineRule="auto"/>
      </w:pPr>
      <w:r>
        <w:rPr>
          <w:rFonts w:ascii="PingFang TC" w:cs="PingFang TC" w:eastAsia="PingFang TC" w:hAnsi="PingFang TC"/>
          <w:sz w:val="24"/>
          <w:szCs w:val="24"/>
        </w:rPr>
        <w:t xml:space="preserve">每站生物學只實作一次，並由單腔室與雙腔室兩個右手側函式共同呼叫，因此兩者不可能分歧。機械敏感通道閘控只存在於一個地方；快（次秒）與慢（每日）時間尺度之間的介面是單一純量，即通道開啟機率的日內積分。早期版本曾將同一組現象表述四次，並讓那個本應跨越時間尺度界線的純量沒有任何下游消費者，以致力學訊號實際上從未跨越該界線。</w:t>
      </w:r>
    </w:p>
    <w:p>
      <w:pPr>
        <w:pStyle w:val="Heading2"/>
        <w:spacing w:after="120" w:before="240" w:line="360" w:lineRule="auto"/>
      </w:pPr>
      <w:r>
        <w:rPr>
          <w:rFonts w:ascii="PingFang TC" w:cs="PingFang TC" w:eastAsia="PingFang TC" w:hAnsi="PingFang TC"/>
          <w:b/>
          <w:bCs/>
          <w:i/>
          <w:iCs/>
          <w:sz w:val="24"/>
          <w:szCs w:val="24"/>
        </w:rPr>
        <w:t xml:space="preserve">負荷規格</w:t>
      </w:r>
    </w:p>
    <w:p>
      <w:pPr>
        <w:spacing w:after="120" w:line="480" w:lineRule="auto"/>
      </w:pPr>
      <w:r>
        <w:rPr>
          <w:rFonts w:ascii="PingFang TC" w:cs="PingFang TC" w:eastAsia="PingFang TC" w:hAnsi="PingFang TC"/>
          <w:sz w:val="24"/>
          <w:szCs w:val="24"/>
        </w:rPr>
        <w:t xml:space="preserve">情境以每個負荷 bout 的峰值彎矩與峰值軸向力指定，另含循環數、頻率、循環間休息、bout 後休息與每週天數。</w:t>
      </w:r>
      <w:r>
        <w:rPr>
          <w:rFonts w:ascii="PingFang TC" w:cs="PingFang TC" w:eastAsia="PingFang TC" w:hAnsi="PingFang TC"/>
          <w:b/>
          <w:bCs/>
          <w:sz w:val="24"/>
          <w:szCs w:val="24"/>
        </w:rPr>
        <w:t xml:space="preserve">應變絕不作為輸入。</w:t>
      </w:r>
      <w:r>
        <w:rPr>
          <w:rFonts w:ascii="PingFang TC" w:cs="PingFang TC" w:eastAsia="PingFang TC" w:hAnsi="PingFang TC"/>
          <w:sz w:val="24"/>
          <w:szCs w:val="24"/>
        </w:rPr>
        <w:t xml:space="preserve"> 此點由一項自動檢查強制執行，該檢查會拒絕任何帶有類應變欄位的情境。</w:t>
      </w:r>
    </w:p>
    <w:p>
      <w:pPr>
        <w:pStyle w:val="Heading2"/>
        <w:spacing w:after="120" w:before="240" w:line="360" w:lineRule="auto"/>
      </w:pPr>
      <w:r>
        <w:rPr>
          <w:rFonts w:ascii="PingFang TC" w:cs="PingFang TC" w:eastAsia="PingFang TC" w:hAnsi="PingFang TC"/>
          <w:b/>
          <w:bCs/>
          <w:i/>
          <w:iCs/>
          <w:sz w:val="24"/>
          <w:szCs w:val="24"/>
        </w:rPr>
        <w:t xml:space="preserve">校正與驗證</w:t>
      </w:r>
    </w:p>
    <w:p>
      <w:pPr>
        <w:spacing w:after="120" w:line="480" w:lineRule="auto"/>
      </w:pPr>
      <w:r>
        <w:rPr>
          <w:rFonts w:ascii="PingFang TC" w:cs="PingFang TC" w:eastAsia="PingFang TC" w:hAnsi="PingFang TC"/>
          <w:sz w:val="24"/>
          <w:szCs w:val="24"/>
        </w:rPr>
        <w:t xml:space="preserve">六個自由參數以 </w:t>
      </w:r>
      <w:r>
        <w:rPr>
          <w:rFonts w:ascii="Courier New" w:cs="Courier New" w:eastAsia="Courier New" w:hAnsi="Courier New"/>
          <w:sz w:val="24"/>
          <w:szCs w:val="24"/>
        </w:rPr>
        <w:t xml:space="preserve">surrogateopt</w:t>
      </w:r>
      <w:r>
        <w:rPr>
          <w:rFonts w:ascii="PingFang TC" w:cs="PingFang TC" w:eastAsia="PingFang TC" w:hAnsi="PingFang TC"/>
          <w:sz w:val="24"/>
          <w:szCs w:val="24"/>
        </w:rPr>
        <w:t xml:space="preserve">（固定亂數種子）對六個標的擬合；形成速率常數在每次評估時由骨量平衡導出。八項觀測保留為盲測：受負荷肱骨的六項 pQCT 指標、停藥後面積骨密度變化，以及湧現的設定點。標的與容差列於 </w:t>
      </w:r>
      <w:r>
        <w:rPr>
          <w:rFonts w:ascii="PingFang TC" w:cs="PingFang TC" w:eastAsia="PingFang TC" w:hAnsi="PingFang TC"/>
          <w:b/>
          <w:bCs/>
          <w:sz w:val="24"/>
          <w:szCs w:val="24"/>
        </w:rPr>
        <w:t xml:space="preserve">S2 Table</w:t>
      </w:r>
      <w:r>
        <w:rPr>
          <w:rFonts w:ascii="PingFang TC" w:cs="PingFang TC" w:eastAsia="PingFang TC" w:hAnsi="PingFang TC"/>
          <w:sz w:val="24"/>
          <w:szCs w:val="24"/>
        </w:rPr>
        <w:t xml:space="preserve">；所有參數連同來源與信心度分級列於 </w:t>
      </w:r>
      <w:r>
        <w:rPr>
          <w:rFonts w:ascii="PingFang TC" w:cs="PingFang TC" w:eastAsia="PingFang TC" w:hAnsi="PingFang TC"/>
          <w:b/>
          <w:bCs/>
          <w:sz w:val="24"/>
          <w:szCs w:val="24"/>
        </w:rPr>
        <w:t xml:space="preserve">S1 Table</w:t>
      </w:r>
      <w:r>
        <w:rPr>
          <w:rFonts w:ascii="PingFang TC" w:cs="PingFang TC" w:eastAsia="PingFang TC" w:hAnsi="PingFang TC"/>
          <w:sz w:val="24"/>
          <w:szCs w:val="24"/>
        </w:rPr>
        <w:t xml:space="preserve">。原始碼中的硬編碼數值常數視為缺陷，並由自動檢查捕捉。</w:t>
      </w:r>
    </w:p>
    <w:p>
      <w:pPr>
        <w:pStyle w:val="Heading2"/>
        <w:spacing w:after="120" w:before="240" w:line="360" w:lineRule="auto"/>
      </w:pPr>
      <w:r>
        <w:rPr>
          <w:rFonts w:ascii="PingFang TC" w:cs="PingFang TC" w:eastAsia="PingFang TC" w:hAnsi="PingFang TC"/>
          <w:b/>
          <w:bCs/>
          <w:i/>
          <w:iCs/>
          <w:sz w:val="24"/>
          <w:szCs w:val="24"/>
        </w:rPr>
        <w:t xml:space="preserve">有效性域</w:t>
      </w:r>
    </w:p>
    <w:p>
      <w:pPr>
        <w:spacing w:after="120" w:line="480" w:lineRule="auto"/>
      </w:pPr>
      <w:r>
        <w:rPr>
          <w:rFonts w:ascii="PingFang TC" w:cs="PingFang TC" w:eastAsia="PingFang TC" w:hAnsi="PingFang TC"/>
          <w:sz w:val="24"/>
          <w:szCs w:val="24"/>
        </w:rPr>
        <w:t xml:space="preserve">每次模擬都會回報峰值應變是否維持在皮質骨降伏應變（7000 με）以下 [17]，超過該值則整個力學堆疊所假設的線性彈性失效。逸出此域之模擬的結果不予詮釋。</w:t>
      </w:r>
      <w:r>
        <w:rPr>
          <w:rFonts w:ascii="PingFang TC" w:cs="PingFang TC" w:eastAsia="PingFang TC" w:hAnsi="PingFang TC"/>
          <w:b/>
          <w:bCs/>
          <w:sz w:val="24"/>
          <w:szCs w:val="24"/>
        </w:rPr>
        <w:t xml:space="preserve">正是這項檢查辨識出長期廢用的範疇限制，以及分歧圖深端屬於外推。</w:t>
      </w:r>
    </w:p>
    <w:p>
      <w:pPr>
        <w:pStyle w:val="Heading2"/>
        <w:spacing w:after="120" w:before="240" w:line="360" w:lineRule="auto"/>
      </w:pPr>
      <w:r>
        <w:rPr>
          <w:rFonts w:ascii="PingFang TC" w:cs="PingFang TC" w:eastAsia="PingFang TC" w:hAnsi="PingFang TC"/>
          <w:b/>
          <w:bCs/>
          <w:i/>
          <w:iCs/>
          <w:sz w:val="24"/>
          <w:szCs w:val="24"/>
        </w:rPr>
        <w:t xml:space="preserve">分歧分析</w:t>
      </w:r>
    </w:p>
    <w:p>
      <w:pPr>
        <w:spacing w:after="120" w:line="480" w:lineRule="auto"/>
      </w:pPr>
      <w:r>
        <w:rPr>
          <w:rFonts w:ascii="PingFang TC" w:cs="PingFang TC" w:eastAsia="PingFang TC" w:hAnsi="PingFang TC"/>
          <w:sz w:val="24"/>
          <w:szCs w:val="24"/>
        </w:rPr>
        <w:t xml:space="preserve">以兩種方式評估單穩態：在凍結包膜幾何下計算骨體積分率零斜線的過零點數，以及獨立地在幾何自由的完整模型中執行一條「撤除再恢復」軌跡。不動點穩定性由 Jacobian 特徵值判定。</w:t>
      </w:r>
    </w:p>
    <w:p>
      <w:pPr>
        <w:pStyle w:val="Heading2"/>
        <w:spacing w:after="120" w:before="240" w:line="360" w:lineRule="auto"/>
      </w:pPr>
      <w:r>
        <w:rPr>
          <w:rFonts w:ascii="PingFang TC" w:cs="PingFang TC" w:eastAsia="PingFang TC" w:hAnsi="PingFang TC"/>
          <w:b/>
          <w:bCs/>
          <w:i/>
          <w:iCs/>
          <w:sz w:val="24"/>
          <w:szCs w:val="24"/>
        </w:rPr>
        <w:t xml:space="preserve">軟體與可重現性</w:t>
      </w:r>
    </w:p>
    <w:p>
      <w:pPr>
        <w:spacing w:after="120" w:line="480" w:lineRule="auto"/>
      </w:pPr>
      <w:r>
        <w:rPr>
          <w:rFonts w:ascii="PingFang TC" w:cs="PingFang TC" w:eastAsia="PingFang TC" w:hAnsi="PingFang TC"/>
          <w:sz w:val="24"/>
          <w:szCs w:val="24"/>
        </w:rPr>
        <w:t xml:space="preserve">MATLAB R2026a。模型、參數與標的表、全部七支實驗腳本，以及一套 91 項斷言的自動測試，可於 https://github.com/myhsieh1002/bone-mechanostat 取得，並存檔於 Zenodo（concept DOI 10.5281/zenodo.21592303；本版本 10.5281/zenodo.21784609）。本文每一張圖都由單一具名腳本重新產生。</w:t>
      </w:r>
    </w:p>
    <w:p>
      <w:pPr>
        <w:pStyle w:val="Heading1"/>
        <w:spacing w:after="160" w:before="360" w:line="360" w:lineRule="auto"/>
      </w:pPr>
      <w:r>
        <w:rPr>
          <w:rFonts w:ascii="PingFang TC" w:cs="PingFang TC" w:eastAsia="PingFang TC" w:hAnsi="PingFang TC"/>
          <w:b/>
          <w:bCs/>
          <w:sz w:val="28"/>
          <w:szCs w:val="28"/>
        </w:rPr>
        <w:t xml:space="preserve">圖說（Figure captions）</w:t>
      </w:r>
    </w:p>
    <w:p>
      <w:pPr>
        <w:spacing w:after="120" w:line="480" w:lineRule="auto"/>
      </w:pPr>
      <w:r>
        <w:rPr>
          <w:rFonts w:ascii="PingFang TC" w:cs="PingFang TC" w:eastAsia="PingFang TC" w:hAnsi="PingFang TC"/>
          <w:b/>
          <w:bCs/>
          <w:sz w:val="24"/>
          <w:szCs w:val="24"/>
        </w:rPr>
        <w:t xml:space="preserve">圖 1．基線穩態與湧現的 mechanostat 設定點。</w:t>
      </w:r>
      <w:r>
        <w:rPr>
          <w:rFonts w:ascii="PingFang TC" w:cs="PingFang TC" w:eastAsia="PingFang TC" w:hAnsi="PingFang TC"/>
          <w:sz w:val="24"/>
          <w:szCs w:val="24"/>
        </w:rPr>
        <w:t xml:space="preserve">（A）基線下 24 個月的面積骨密度；漂移 −0.015 %。（B）同期間的骨體積分率。（C）閉環最終安定的峰值應變 786.8 με，對照 Frost 由觀察推得的 lazy zone。此值為計算所得而非擬合，且被保留於校正之外。</w:t>
      </w:r>
    </w:p>
    <w:p>
      <w:pPr>
        <w:spacing w:after="120" w:line="480" w:lineRule="auto"/>
      </w:pPr>
      <w:r>
        <w:rPr>
          <w:rFonts w:ascii="PingFang TC" w:cs="PingFang TC" w:eastAsia="PingFang TC" w:hAnsi="PingFang TC"/>
          <w:b/>
          <w:bCs/>
          <w:sz w:val="24"/>
          <w:szCs w:val="24"/>
        </w:rPr>
        <w:t xml:space="preserve">圖 2．力學劑量–反應。</w:t>
      </w:r>
      <w:r>
        <w:rPr>
          <w:rFonts w:ascii="PingFang TC" w:cs="PingFang TC" w:eastAsia="PingFang TC" w:hAnsi="PingFang TC"/>
          <w:sz w:val="24"/>
          <w:szCs w:val="24"/>
        </w:rPr>
        <w:t xml:space="preserve">（A）循環數對 12 個月面積骨密度變化；由 18 至 1200 循環，邊際報酬下降 33 倍。此飽和為下游性質——在通道層級劑量對循環數為線性。（B）兩個層級的頻率依賴：流體剪應力（灰，左軸）依孔彈性要求隨 ln f 上升，而骨層級反應（藍綠，右軸）下降。對數形式存續至骨層級，符號則否。（C）三種幅值下的休息插入。增益隨幅值遞減，與實驗相符，並反轉了通道層級所見的方向。</w:t>
      </w:r>
    </w:p>
    <w:p>
      <w:pPr>
        <w:spacing w:after="120" w:line="480" w:lineRule="auto"/>
      </w:pPr>
      <w:r>
        <w:rPr>
          <w:rFonts w:ascii="PingFang TC" w:cs="PingFang TC" w:eastAsia="PingFang TC" w:hAnsi="PingFang TC"/>
          <w:b/>
          <w:bCs/>
          <w:sz w:val="24"/>
          <w:szCs w:val="24"/>
        </w:rPr>
        <w:t xml:space="preserve">圖 3．鈣對負荷（P1）。</w:t>
      </w:r>
      <w:r>
        <w:rPr>
          <w:rFonts w:ascii="PingFang TC" w:cs="PingFang TC" w:eastAsia="PingFang TC" w:hAnsi="PingFang TC"/>
          <w:sz w:val="24"/>
          <w:szCs w:val="24"/>
        </w:rPr>
        <w:t xml:space="preserve">（A）四種鈣攝取量與三種負荷層級下 24 個月的骨礦物含量變化；虛線標示 P1 的 4 % 門檻。只有劇烈方案（2949 με）跨過它。（B）同一劇烈負荷對比，分別以骨礦物含量與面積骨密度呈現：DXA 將負荷反應稀釋 61 %，因為負荷使骨膜表面外移而面積骨密度除以投影寬度。</w:t>
      </w:r>
    </w:p>
    <w:p>
      <w:pPr>
        <w:spacing w:after="120" w:line="480" w:lineRule="auto"/>
      </w:pPr>
      <w:r>
        <w:rPr>
          <w:rFonts w:ascii="PingFang TC" w:cs="PingFang TC" w:eastAsia="PingFang TC" w:hAnsi="PingFang TC"/>
          <w:b/>
          <w:bCs/>
          <w:sz w:val="24"/>
          <w:szCs w:val="24"/>
        </w:rPr>
        <w:t xml:space="preserve">圖 4．廢用與最小有效對策。</w:t>
      </w:r>
      <w:r>
        <w:rPr>
          <w:rFonts w:ascii="PingFang TC" w:cs="PingFang TC" w:eastAsia="PingFang TC" w:hAnsi="PingFang TC"/>
          <w:sz w:val="24"/>
          <w:szCs w:val="24"/>
        </w:rPr>
        <w:t xml:space="preserve">（A）180 天卸載期間的骨礦物含量，未防護與採用預算內最佳對策兩種情形。（B）對策網格上的每月流失；空白格超出每日 30 分鐘預算。預算內無任何處方能將流失壓在 0.25 %/月以下。</w:t>
      </w:r>
    </w:p>
    <w:p>
      <w:pPr>
        <w:spacing w:after="120" w:line="480" w:lineRule="auto"/>
      </w:pPr>
      <w:r>
        <w:rPr>
          <w:rFonts w:ascii="PingFang TC" w:cs="PingFang TC" w:eastAsia="PingFang TC" w:hAnsi="PingFang TC"/>
          <w:b/>
          <w:bCs/>
          <w:sz w:val="24"/>
          <w:szCs w:val="24"/>
        </w:rPr>
        <w:t xml:space="preserve">圖 5．Romosozumab、停藥與負荷。</w:t>
      </w:r>
      <w:r>
        <w:rPr>
          <w:rFonts w:ascii="PingFang TC" w:cs="PingFang TC" w:eastAsia="PingFang TC" w:hAnsi="PingFang TC"/>
          <w:sz w:val="24"/>
          <w:szCs w:val="24"/>
        </w:rPr>
        <w:t xml:space="preserve">（A）四個臂、24 個月，第 12 個月停藥。（B）用藥期間的成骨細胞族群：提早達峰並在持續給藥中下降，因為代償性 </w:t>
      </w:r>
      <w:r>
        <w:rPr>
          <w:rFonts w:ascii="PingFang TC" w:cs="PingFang TC" w:eastAsia="PingFang TC" w:hAnsi="PingFang TC"/>
          <w:i/>
          <w:iCs/>
          <w:sz w:val="24"/>
          <w:szCs w:val="24"/>
        </w:rPr>
        <w:t xml:space="preserve">SOST</w:t>
      </w:r>
      <w:r>
        <w:rPr>
          <w:rFonts w:ascii="PingFang TC" w:cs="PingFang TC" w:eastAsia="PingFang TC" w:hAnsi="PingFang TC"/>
          <w:sz w:val="24"/>
          <w:szCs w:val="24"/>
        </w:rPr>
        <w:t xml:space="preserve"> 轉錄逐步抵銷抗體。（C）小樑對皮質的反應，陰影為 +11–14 % 的脊椎標的帶；5.3 倍的放大純粹來自結構。</w:t>
      </w:r>
    </w:p>
    <w:p>
      <w:pPr>
        <w:spacing w:after="120" w:line="480" w:lineRule="auto"/>
      </w:pPr>
      <w:r>
        <w:rPr>
          <w:rFonts w:ascii="PingFang TC" w:cs="PingFang TC" w:eastAsia="PingFang TC" w:hAnsi="PingFang TC"/>
          <w:b/>
          <w:bCs/>
          <w:sz w:val="24"/>
          <w:szCs w:val="24"/>
        </w:rPr>
        <w:t xml:space="preserve">圖 6．部位專一性（P2）。</w:t>
      </w:r>
      <w:r>
        <w:rPr>
          <w:rFonts w:ascii="PingFang TC" w:cs="PingFang TC" w:eastAsia="PingFang TC" w:hAnsi="PingFang TC"/>
          <w:sz w:val="24"/>
          <w:szCs w:val="24"/>
        </w:rPr>
        <w:t xml:space="preserve">（A）受負荷肱骨的六項 pQCT 指標對照 Haapasalo 的實測區間（灰帶）。六項全部落在容差內，且六項全部保留於校正之外。（B）依介入類型的左右差異：只有單側負荷會產生差異；全身補鈣與全身 romosozumab 給出 0.0000 %。</w:t>
      </w:r>
    </w:p>
    <w:p>
      <w:pPr>
        <w:spacing w:after="120" w:line="480" w:lineRule="auto"/>
      </w:pPr>
      <w:r>
        <w:rPr>
          <w:rFonts w:ascii="PingFang TC" w:cs="PingFang TC" w:eastAsia="PingFang TC" w:hAnsi="PingFang TC"/>
          <w:b/>
          <w:bCs/>
          <w:sz w:val="24"/>
          <w:szCs w:val="24"/>
        </w:rPr>
        <w:t xml:space="preserve">圖 7．骨質疏鬆是陡峭的連續位移，不是第二個穩態（P3）。</w:t>
      </w:r>
      <w:r>
        <w:rPr>
          <w:rFonts w:ascii="PingFang TC" w:cs="PingFang TC" w:eastAsia="PingFang TC" w:hAnsi="PingFang TC"/>
          <w:sz w:val="24"/>
          <w:szCs w:val="24"/>
        </w:rPr>
        <w:t xml:space="preserve">（A）凍結包膜幾何的雌激素延續：全程單一分支，陡峭但連續地滑移，無褶皺。陰影標出低於線性彈性有效性下限的骨體積分率區域，該處分支屬外推。（B）幾何自由的獨立全模型探針：將雌激素降下再恢復，回到基線的 100.3 % 且無遲滯。</w:t>
      </w:r>
    </w:p>
    <w:p>
      <w:pPr>
        <w:pStyle w:val="Heading1"/>
        <w:spacing w:after="160" w:before="360" w:line="360" w:lineRule="auto"/>
      </w:pPr>
      <w:r>
        <w:rPr>
          <w:rFonts w:ascii="PingFang TC" w:cs="PingFang TC" w:eastAsia="PingFang TC" w:hAnsi="PingFang TC"/>
          <w:b/>
          <w:bCs/>
          <w:sz w:val="28"/>
          <w:szCs w:val="28"/>
        </w:rPr>
        <w:t xml:space="preserve">補充材料（Supporting information）</w:t>
      </w:r>
    </w:p>
    <w:p>
      <w:pPr>
        <w:spacing w:after="120" w:line="480" w:lineRule="auto"/>
      </w:pPr>
      <w:r>
        <w:rPr>
          <w:rFonts w:ascii="PingFang TC" w:cs="PingFang TC" w:eastAsia="PingFang TC" w:hAnsi="PingFang TC"/>
          <w:b/>
          <w:bCs/>
          <w:sz w:val="24"/>
          <w:szCs w:val="24"/>
        </w:rPr>
        <w:t xml:space="preserve">S1 Text．模型方程式。</w:t>
      </w:r>
      <w:r>
        <w:rPr>
          <w:rFonts w:ascii="PingFang TC" w:cs="PingFang TC" w:eastAsia="PingFang TC" w:hAnsi="PingFang TC"/>
          <w:sz w:val="24"/>
          <w:szCs w:val="24"/>
        </w:rPr>
        <w:t xml:space="preserve"> 模組 M1–M8 的完整規格、狀態向量配置、小樑腔室、有效性域，以及形成速率常數之骨量平衡約束的推導。</w:t>
      </w:r>
    </w:p>
    <w:p>
      <w:pPr>
        <w:spacing w:after="120" w:line="480" w:lineRule="auto"/>
      </w:pPr>
      <w:r>
        <w:rPr>
          <w:rFonts w:ascii="PingFang TC" w:cs="PingFang TC" w:eastAsia="PingFang TC" w:hAnsi="PingFang TC"/>
          <w:b/>
          <w:bCs/>
          <w:sz w:val="24"/>
          <w:szCs w:val="24"/>
        </w:rPr>
        <w:t xml:space="preserve">S1 Table．參數。</w:t>
      </w:r>
      <w:r>
        <w:rPr>
          <w:rFonts w:ascii="PingFang TC" w:cs="PingFang TC" w:eastAsia="PingFang TC" w:hAnsi="PingFang TC"/>
          <w:sz w:val="24"/>
          <w:szCs w:val="24"/>
        </w:rPr>
        <w:t xml:space="preserve"> 每個參數的值、單位、上下界、所屬模組、文獻來源與信心度分級。</w:t>
      </w:r>
    </w:p>
    <w:p>
      <w:pPr>
        <w:spacing w:after="120" w:line="480" w:lineRule="auto"/>
      </w:pPr>
      <w:r>
        <w:rPr>
          <w:rFonts w:ascii="PingFang TC" w:cs="PingFang TC" w:eastAsia="PingFang TC" w:hAnsi="PingFang TC"/>
          <w:b/>
          <w:bCs/>
          <w:sz w:val="24"/>
          <w:szCs w:val="24"/>
        </w:rPr>
        <w:t xml:space="preserve">S2 Table．驗證標的。</w:t>
      </w:r>
      <w:r>
        <w:rPr>
          <w:rFonts w:ascii="PingFang TC" w:cs="PingFang TC" w:eastAsia="PingFang TC" w:hAnsi="PingFang TC"/>
          <w:sz w:val="24"/>
          <w:szCs w:val="24"/>
        </w:rPr>
        <w:t xml:space="preserve"> 所有標的的範圍、容差、對應實驗與盲測狀態。</w:t>
      </w:r>
    </w:p>
    <w:p>
      <w:pPr>
        <w:spacing w:after="120" w:line="480" w:lineRule="auto"/>
      </w:pPr>
      <w:r>
        <w:rPr>
          <w:rFonts w:ascii="PingFang TC" w:cs="PingFang TC" w:eastAsia="PingFang TC" w:hAnsi="PingFang TC"/>
          <w:b/>
          <w:bCs/>
          <w:sz w:val="24"/>
          <w:szCs w:val="24"/>
        </w:rPr>
        <w:t xml:space="preserve">S1 Fig．辨識性。</w:t>
      </w:r>
      <w:r>
        <w:rPr>
          <w:rFonts w:ascii="PingFang TC" w:cs="PingFang TC" w:eastAsia="PingFang TC" w:hAnsi="PingFang TC"/>
          <w:sz w:val="24"/>
          <w:szCs w:val="24"/>
        </w:rPr>
        <w:t xml:space="preserve"> 相關副甲狀腺素路徑參數對的二維 χ² 曲面，以及其餘三個擬合參數的一維剖面 —— 其中兩個個別可辨識，抗體清除常數則否。</w:t>
      </w:r>
    </w:p>
    <w:p>
      <w:pPr>
        <w:pStyle w:val="Heading1"/>
        <w:spacing w:after="160" w:before="360" w:line="360" w:lineRule="auto"/>
      </w:pPr>
      <w:r>
        <w:rPr>
          <w:rFonts w:ascii="PingFang TC" w:cs="PingFang TC" w:eastAsia="PingFang TC" w:hAnsi="PingFang TC"/>
          <w:b/>
          <w:bCs/>
          <w:sz w:val="28"/>
          <w:szCs w:val="28"/>
        </w:rPr>
        <w:t xml:space="preserve">參考文獻（References）</w:t>
      </w:r>
    </w:p>
    <w:p>
      <w:pPr>
        <w:spacing w:after="120" w:line="480" w:lineRule="auto"/>
      </w:pPr>
      <w:r>
        <w:rPr>
          <w:rFonts w:ascii="PingFang TC" w:cs="PingFang TC" w:eastAsia="PingFang TC" w:hAnsi="PingFang TC"/>
          <w:i/>
          <w:iCs/>
          <w:sz w:val="24"/>
          <w:szCs w:val="24"/>
        </w:rPr>
        <w:t xml:space="preserve">依慣例不翻譯；完整書目與逐筆查證紀錄見 `references_verified.md`。</w:t>
      </w:r>
    </w:p>
    <w:p>
      <w:pPr>
        <w:spacing w:after="120" w:line="480" w:lineRule="auto"/>
      </w:pPr>
      <w:r>
        <w:rPr>
          <w:rFonts w:ascii="PingFang TC" w:cs="PingFang TC" w:eastAsia="PingFang TC" w:hAnsi="PingFang TC"/>
          <w:sz w:val="24"/>
          <w:szCs w:val="24"/>
        </w:rPr>
        <w:t xml:space="preserve">1. Frost HM. Anat Rec. 1987;219(1):1–9.</w:t>
      </w:r>
    </w:p>
    <w:p>
      <w:pPr>
        <w:spacing w:after="120" w:line="480" w:lineRule="auto"/>
      </w:pPr>
      <w:r>
        <w:rPr>
          <w:rFonts w:ascii="PingFang TC" w:cs="PingFang TC" w:eastAsia="PingFang TC" w:hAnsi="PingFang TC"/>
          <w:sz w:val="24"/>
          <w:szCs w:val="24"/>
        </w:rPr>
        <w:t xml:space="preserve">2. Fu R, Wang C, Shahneela N, Ud Din R, Yang H. Int J Mech Sci. 2025;286:109931.</w:t>
      </w:r>
    </w:p>
    <w:p>
      <w:pPr>
        <w:spacing w:after="120" w:line="480" w:lineRule="auto"/>
      </w:pPr>
      <w:r>
        <w:rPr>
          <w:rFonts w:ascii="PingFang TC" w:cs="PingFang TC" w:eastAsia="PingFang TC" w:hAnsi="PingFang TC"/>
          <w:sz w:val="24"/>
          <w:szCs w:val="24"/>
        </w:rPr>
        <w:t xml:space="preserve">3. Lemaire V, Tobin FL, Greller LD, Cho CR, Suva LJ. J Theor Biol. 2004;229(3):293–309.</w:t>
      </w:r>
    </w:p>
    <w:p>
      <w:pPr>
        <w:spacing w:after="120" w:line="480" w:lineRule="auto"/>
      </w:pPr>
      <w:r>
        <w:rPr>
          <w:rFonts w:ascii="PingFang TC" w:cs="PingFang TC" w:eastAsia="PingFang TC" w:hAnsi="PingFang TC"/>
          <w:sz w:val="24"/>
          <w:szCs w:val="24"/>
        </w:rPr>
        <w:t xml:space="preserve">4. Pivonka P, Zimak J, Smith DW, Gardiner BS, Dunstan CR, Sims NA, et al. Bone. 2008;43(2):249–263.</w:t>
      </w:r>
    </w:p>
    <w:p>
      <w:pPr>
        <w:spacing w:after="120" w:line="480" w:lineRule="auto"/>
      </w:pPr>
      <w:r>
        <w:rPr>
          <w:rFonts w:ascii="PingFang TC" w:cs="PingFang TC" w:eastAsia="PingFang TC" w:hAnsi="PingFang TC"/>
          <w:sz w:val="24"/>
          <w:szCs w:val="24"/>
        </w:rPr>
        <w:t xml:space="preserve">5. Scheiner S, Pivonka P, Hellmich C. Comput Methods Appl Mech Eng. 2013;254:181–196.</w:t>
      </w:r>
    </w:p>
    <w:p>
      <w:pPr>
        <w:spacing w:after="120" w:line="480" w:lineRule="auto"/>
      </w:pPr>
      <w:r>
        <w:rPr>
          <w:rFonts w:ascii="PingFang TC" w:cs="PingFang TC" w:eastAsia="PingFang TC" w:hAnsi="PingFang TC"/>
          <w:sz w:val="24"/>
          <w:szCs w:val="24"/>
        </w:rPr>
        <w:t xml:space="preserve">6. Tai V, Leung W, Grey A, Reid IR, Bolland MJ. BMJ. 2015;351:h4183.</w:t>
      </w:r>
    </w:p>
    <w:p>
      <w:pPr>
        <w:spacing w:after="120" w:line="480" w:lineRule="auto"/>
      </w:pPr>
      <w:r>
        <w:rPr>
          <w:rFonts w:ascii="PingFang TC" w:cs="PingFang TC" w:eastAsia="PingFang TC" w:hAnsi="PingFang TC"/>
          <w:sz w:val="24"/>
          <w:szCs w:val="24"/>
        </w:rPr>
        <w:t xml:space="preserve">7. Haapasalo H, Kontulainen S, Sievänen H, Kannus P, Järvinen M, Vuori I. Bone. 2000;27(3):351–357.</w:t>
      </w:r>
    </w:p>
    <w:p>
      <w:pPr>
        <w:spacing w:after="120" w:line="480" w:lineRule="auto"/>
      </w:pPr>
      <w:r>
        <w:rPr>
          <w:rFonts w:ascii="PingFang TC" w:cs="PingFang TC" w:eastAsia="PingFang TC" w:hAnsi="PingFang TC"/>
          <w:sz w:val="24"/>
          <w:szCs w:val="24"/>
        </w:rPr>
        <w:t xml:space="preserve">8. Peterson MC, Riggs MM. Bone. 2010;46(1):49–63.</w:t>
      </w:r>
    </w:p>
    <w:p>
      <w:pPr>
        <w:spacing w:after="120" w:line="480" w:lineRule="auto"/>
      </w:pPr>
      <w:r>
        <w:rPr>
          <w:rFonts w:ascii="PingFang TC" w:cs="PingFang TC" w:eastAsia="PingFang TC" w:hAnsi="PingFang TC"/>
          <w:sz w:val="24"/>
          <w:szCs w:val="24"/>
        </w:rPr>
        <w:t xml:space="preserve">9. Weinbaum S, Cowin SC, Zeng Y. J Biomech. 1994;27(3):339–360.</w:t>
      </w:r>
    </w:p>
    <w:p>
      <w:pPr>
        <w:spacing w:after="120" w:line="480" w:lineRule="auto"/>
      </w:pPr>
      <w:r>
        <w:rPr>
          <w:rFonts w:ascii="PingFang TC" w:cs="PingFang TC" w:eastAsia="PingFang TC" w:hAnsi="PingFang TC"/>
          <w:sz w:val="24"/>
          <w:szCs w:val="24"/>
        </w:rPr>
        <w:t xml:space="preserve">10. Srinivasan S, Weimer DA, Agans SC, Bain SD, Gross TS. J Bone Miner Res. 2002;17(9):1613–1620.</w:t>
      </w:r>
    </w:p>
    <w:p>
      <w:pPr>
        <w:spacing w:after="120" w:line="480" w:lineRule="auto"/>
      </w:pPr>
      <w:r>
        <w:rPr>
          <w:rFonts w:ascii="PingFang TC" w:cs="PingFang TC" w:eastAsia="PingFang TC" w:hAnsi="PingFang TC"/>
          <w:sz w:val="24"/>
          <w:szCs w:val="24"/>
        </w:rPr>
        <w:t xml:space="preserve">11. Hsieh YF, Turner CH. J Bone Miner Res. 2001;16(5):918–924.</w:t>
      </w:r>
    </w:p>
    <w:p>
      <w:pPr>
        <w:spacing w:after="120" w:line="480" w:lineRule="auto"/>
      </w:pPr>
      <w:r>
        <w:rPr>
          <w:rFonts w:ascii="PingFang TC" w:cs="PingFang TC" w:eastAsia="PingFang TC" w:hAnsi="PingFang TC"/>
          <w:sz w:val="24"/>
          <w:szCs w:val="24"/>
        </w:rPr>
        <w:t xml:space="preserve">12. Marques FC, Boaretti D, Walle M, Scheuren AC, Schulte FA, Müller R. Front Bioeng Biotechnol. 2023;11:1140673.</w:t>
      </w:r>
    </w:p>
    <w:p>
      <w:pPr>
        <w:spacing w:after="120" w:line="480" w:lineRule="auto"/>
      </w:pPr>
      <w:r>
        <w:rPr>
          <w:rFonts w:ascii="PingFang TC" w:cs="PingFang TC" w:eastAsia="PingFang TC" w:hAnsi="PingFang TC"/>
          <w:sz w:val="24"/>
          <w:szCs w:val="24"/>
        </w:rPr>
        <w:t xml:space="preserve">13. Schulte FA, Marques FC, Griesbach JK, Weigt C, von Salis-Soglio M, Lambers FM, et al. Nat Commun. 2026;17:3759.</w:t>
      </w:r>
    </w:p>
    <w:p>
      <w:pPr>
        <w:spacing w:after="120" w:line="480" w:lineRule="auto"/>
      </w:pPr>
      <w:r>
        <w:rPr>
          <w:rFonts w:ascii="PingFang TC" w:cs="PingFang TC" w:eastAsia="PingFang TC" w:hAnsi="PingFang TC"/>
          <w:sz w:val="24"/>
          <w:szCs w:val="24"/>
        </w:rPr>
        <w:t xml:space="preserve">14. Cosman F, Crittenden DB, Adachi JD, Binkley N, Czerwinski E, Ferrari S, et al. N Engl J Med. 2016;375(16):1532–1543.</w:t>
      </w:r>
    </w:p>
    <w:p>
      <w:pPr>
        <w:spacing w:after="120" w:line="480" w:lineRule="auto"/>
      </w:pPr>
      <w:r>
        <w:rPr>
          <w:rFonts w:ascii="PingFang TC" w:cs="PingFang TC" w:eastAsia="PingFang TC" w:hAnsi="PingFang TC"/>
          <w:sz w:val="24"/>
          <w:szCs w:val="24"/>
        </w:rPr>
        <w:t xml:space="preserve">15. Wijenayaka AR, Kogawa M, Lim HP, Bonewald LF, Findlay DM, Atkins GJ. PLoS One. 2011;6(10):e25900.</w:t>
      </w:r>
    </w:p>
    <w:p>
      <w:pPr>
        <w:spacing w:after="120" w:line="480" w:lineRule="auto"/>
      </w:pPr>
      <w:r>
        <w:rPr>
          <w:rFonts w:ascii="PingFang TC" w:cs="PingFang TC" w:eastAsia="PingFang TC" w:hAnsi="PingFang TC"/>
          <w:sz w:val="24"/>
          <w:szCs w:val="24"/>
        </w:rPr>
        <w:t xml:space="preserve">16. Currey JD. J Biomech. 1988;21(2):131–139.</w:t>
      </w:r>
    </w:p>
    <w:p>
      <w:pPr>
        <w:spacing w:after="120" w:line="480" w:lineRule="auto"/>
      </w:pPr>
      <w:r>
        <w:rPr>
          <w:rFonts w:ascii="PingFang TC" w:cs="PingFang TC" w:eastAsia="PingFang TC" w:hAnsi="PingFang TC"/>
          <w:sz w:val="24"/>
          <w:szCs w:val="24"/>
        </w:rPr>
        <w:t xml:space="preserve">17. Bayraktar HH, Morgan EF, Niebur GL, Morris GE, Wong EK, Keaveny TM. J Biomech. 2004;37(1):27–35.</w:t>
      </w:r>
    </w:p>
    <w:p>
      <w:pPr>
        <w:spacing w:after="120" w:line="480" w:lineRule="auto"/>
      </w:pPr>
      <w:r>
        <w:rPr>
          <w:rFonts w:ascii="PingFang TC" w:cs="PingFang TC" w:eastAsia="PingFang TC" w:hAnsi="PingFang TC"/>
          <w:sz w:val="24"/>
          <w:szCs w:val="24"/>
        </w:rPr>
        <w:t xml:space="preserve">18. Martin RB. Crit Rev Biomed Eng. 1984;10(3):179–222.</w:t>
      </w:r>
    </w:p>
    <w:p>
      <w:pPr>
        <w:spacing w:after="120" w:line="480" w:lineRule="auto"/>
      </w:pPr>
      <w:r>
        <w:rPr>
          <w:rFonts w:ascii="PingFang TC" w:cs="PingFang TC" w:eastAsia="PingFang TC" w:hAnsi="PingFang TC"/>
          <w:sz w:val="24"/>
          <w:szCs w:val="24"/>
        </w:rPr>
        <w:t xml:space="preserve">19. Lerebours C, Thomas CDL, Clement JG, Buenzli PR, Pivonka P. Bone. 2015;72:109–117.</w:t>
      </w:r>
    </w:p>
    <w:p>
      <w:pPr>
        <w:spacing w:after="120" w:line="480" w:lineRule="auto"/>
      </w:pPr>
      <w:r>
        <w:rPr>
          <w:rFonts w:ascii="PingFang TC" w:cs="PingFang TC" w:eastAsia="PingFang TC" w:hAnsi="PingFang TC"/>
          <w:sz w:val="24"/>
          <w:szCs w:val="24"/>
        </w:rPr>
        <w:t xml:space="preserve">20. Morgan EF, Keaveny TM. J Biomech. 2001;34(5):569–577.</w:t>
      </w:r>
    </w:p>
    <w:p>
      <w:pPr>
        <w:spacing w:after="120" w:line="480" w:lineRule="auto"/>
      </w:pPr>
      <w:r>
        <w:rPr>
          <w:rFonts w:ascii="PingFang TC" w:cs="PingFang TC" w:eastAsia="PingFang TC" w:hAnsi="PingFang TC"/>
          <w:sz w:val="24"/>
          <w:szCs w:val="24"/>
        </w:rPr>
        <w:t xml:space="preserve">21. Yang H, Embry RE, Main RP. PLoS One. 2017;12(1):e0169601.</w:t>
      </w:r>
    </w:p>
    <w:p>
      <w:pPr>
        <w:spacing w:after="120" w:line="480" w:lineRule="auto"/>
      </w:pPr>
      <w:r>
        <w:rPr>
          <w:rFonts w:ascii="PingFang TC" w:cs="PingFang TC" w:eastAsia="PingFang TC" w:hAnsi="PingFang TC"/>
          <w:sz w:val="24"/>
          <w:szCs w:val="24"/>
        </w:rPr>
        <w:t xml:space="preserve">22. Li X, Han L, Nookaew I, Mannen E, Silva MJ, Almeida M, et al. eLife. 2019;8:e49631.</w:t>
      </w:r>
    </w:p>
    <w:p>
      <w:pPr>
        <w:spacing w:after="120" w:line="480" w:lineRule="auto"/>
      </w:pPr>
      <w:r>
        <w:rPr>
          <w:rFonts w:ascii="PingFang TC" w:cs="PingFang TC" w:eastAsia="PingFang TC" w:hAnsi="PingFang TC"/>
          <w:sz w:val="24"/>
          <w:szCs w:val="24"/>
        </w:rPr>
        <w:t xml:space="preserve">23. McClung MR, Brown JP, Diez-Perez A, Resch H, Caminis J, Meisner P, et al. J Bone Miner Res. 2018;33(8):1397-1406.</w:t>
      </w:r>
    </w:p>
    <w:p>
      <w:pPr>
        <w:spacing w:after="120" w:line="480" w:lineRule="auto"/>
      </w:pPr>
      <w:r>
        <w:rPr>
          <w:rFonts w:ascii="PingFang TC" w:cs="PingFang TC" w:eastAsia="PingFang TC" w:hAnsi="PingFang TC"/>
          <w:sz w:val="24"/>
          <w:szCs w:val="24"/>
        </w:rPr>
        <w:t xml:space="preserve">24. Spatz JM, Fields EE, Yu EW, Divieti Pajevic P, Bouxsein ML, Sibonga JD, et al. J Clin Endocrinol Metab. 2012;97(9):E1736-40.</w:t>
      </w:r>
    </w:p>
    <w:p>
      <w:pPr>
        <w:spacing w:after="120" w:line="480" w:lineRule="auto"/>
      </w:pPr>
      <w:r>
        <w:rPr>
          <w:rFonts w:ascii="PingFang TC" w:cs="PingFang TC" w:eastAsia="PingFang TC" w:hAnsi="PingFang TC"/>
          <w:sz w:val="24"/>
          <w:szCs w:val="24"/>
        </w:rPr>
        <w:t xml:space="preserve">25. Parfitt AM. Bone. 2002;30(6):807-809.</w:t>
      </w:r>
    </w:p>
    <w:p>
      <w:pPr>
        <w:spacing w:after="120" w:line="480" w:lineRule="auto"/>
      </w:pPr>
      <w:r>
        <w:rPr>
          <w:rFonts w:ascii="PingFang TC" w:cs="PingFang TC" w:eastAsia="PingFang TC" w:hAnsi="PingFang TC"/>
          <w:sz w:val="24"/>
          <w:szCs w:val="24"/>
        </w:rPr>
        <w:t xml:space="preserve">26. Basso N, Heersche JNM. Bone. 2006;39(4):807-814. doi:10.1016/j.bone.2006.04.014</w:t>
      </w:r>
    </w:p>
    <w:p>
      <w:pPr>
        <w:spacing w:after="120" w:line="480" w:lineRule="auto"/>
      </w:pPr>
      <w:r>
        <w:rPr>
          <w:rFonts w:ascii="PingFang TC" w:cs="PingFang TC" w:eastAsia="PingFang TC" w:hAnsi="PingFang TC"/>
          <w:sz w:val="24"/>
          <w:szCs w:val="24"/>
        </w:rPr>
        <w:t xml:space="preserve">27. Plotkin LI, Gortazar AR, Davis HM, Condon KW, Gabilondo H, Maycas M, et al. J Biol Chem. 2015;290(31):18934-18942. doi:10.1074/jbc.M115.642090</w:t>
      </w:r>
    </w:p>
    <w:p>
      <w:pPr>
        <w:spacing w:after="120" w:line="480" w:lineRule="auto"/>
      </w:pPr>
      <w:r>
        <w:rPr>
          <w:rFonts w:ascii="PingFang TC" w:cs="PingFang TC" w:eastAsia="PingFang TC" w:hAnsi="PingFang TC"/>
          <w:sz w:val="24"/>
          <w:szCs w:val="24"/>
        </w:rPr>
        <w:t xml:space="preserve">28. Buenzli PR, Sims NA. Bone. 2015;75:144-150. doi:10.1016/j.bone.2015.02.016</w:t>
      </w:r>
    </w:p>
    <w:p>
      <w:pPr>
        <w:spacing w:after="120" w:line="480" w:lineRule="auto"/>
      </w:pPr>
      <w:r>
        <w:rPr>
          <w:rFonts w:ascii="PingFang TC" w:cs="PingFang TC" w:eastAsia="PingFang TC" w:hAnsi="PingFang TC"/>
          <w:sz w:val="24"/>
          <w:szCs w:val="24"/>
        </w:rPr>
        <w:t xml:space="preserve">29. Rolvien T, Milovanovic P, Schmidt FN, von Kroge S, Wölfel EM, Krause M, et al. J Bone Miner Res. 2020;35(7):1343-1351. doi:10.1002/jbmr.3970</w:t>
      </w:r>
    </w:p>
    <w:p>
      <w:pPr>
        <w:pStyle w:val="Heading1"/>
        <w:spacing w:after="160" w:before="360" w:line="360" w:lineRule="auto"/>
      </w:pPr>
      <w:r>
        <w:rPr>
          <w:rFonts w:ascii="PingFang TC" w:cs="PingFang TC" w:eastAsia="PingFang TC" w:hAnsi="PingFang TC"/>
          <w:b/>
          <w:bCs/>
          <w:sz w:val="28"/>
          <w:szCs w:val="28"/>
        </w:rPr>
        <w:t xml:space="preserve">聲明（Declarations）</w:t>
      </w:r>
    </w:p>
    <w:p>
      <w:pPr>
        <w:spacing w:after="120" w:line="480" w:lineRule="auto"/>
      </w:pPr>
      <w:r>
        <w:rPr>
          <w:rFonts w:ascii="PingFang TC" w:cs="PingFang TC" w:eastAsia="PingFang TC" w:hAnsi="PingFang TC"/>
          <w:b/>
          <w:bCs/>
          <w:sz w:val="24"/>
          <w:szCs w:val="24"/>
        </w:rPr>
        <w:t xml:space="preserve">資料可得性。</w:t>
      </w:r>
      <w:r>
        <w:rPr>
          <w:rFonts w:ascii="PingFang TC" w:cs="PingFang TC" w:eastAsia="PingFang TC" w:hAnsi="PingFang TC"/>
          <w:sz w:val="24"/>
          <w:szCs w:val="24"/>
        </w:rPr>
        <w:t xml:space="preserve"> 所有模型程式碼、參數表、驗證標的定義、實驗腳本與自動測試皆存放於 https://github.com/myhsieh1002/bone-mechanostat，並存檔於 Zenodo（concept DOI 10.5281/zenodo.21592303；本版本 10.5281/zenodo.21784609）。本研究未產生實證資料；所有驗證標的取自已發表文獻，其來源列於 S2 Table。</w:t>
      </w:r>
    </w:p>
    <w:p>
      <w:pPr>
        <w:spacing w:after="120" w:line="480" w:lineRule="auto"/>
      </w:pPr>
      <w:r>
        <w:rPr>
          <w:rFonts w:ascii="PingFang TC" w:cs="PingFang TC" w:eastAsia="PingFang TC" w:hAnsi="PingFang TC"/>
          <w:b/>
          <w:bCs/>
          <w:sz w:val="24"/>
          <w:szCs w:val="24"/>
        </w:rPr>
        <w:t xml:space="preserve">作者貢獻。</w:t>
      </w:r>
      <w:r>
        <w:rPr>
          <w:rFonts w:ascii="PingFang TC" w:cs="PingFang TC" w:eastAsia="PingFang TC" w:hAnsi="PingFang TC"/>
          <w:sz w:val="24"/>
          <w:szCs w:val="24"/>
        </w:rPr>
        <w:t xml:space="preserve"> PLOS 透過投稿系統以 CRediT 分類收集貢獻聲明；此處陳述應與該處填寫者一致。Hsiang-Lin Lee：概念發想（Conceptualization）；研究執行（Investigation）；監督指導（Supervision）；驗證（Validation）；審閱與編修（Writing – review &amp; editing）。Tzu-Ling Wang：資料典藏（Data curation）；研究執行（Investigation）；資源提供（Resources）；審閱與編修（Writing – review &amp; editing）。Ming-Yu Hsieh：概念發想（Conceptualization）；資料典藏（Data curation）；形式分析（Formal analysis）；研究執行（Investigation）；方法學（Methodology）；專案管理（Project administration）；軟體（Software）；驗證（Validation）；視覺化（Visualization）；初稿撰寫（Writing – original draft）；審閱與編修（Writing – review &amp; editing）。</w:t>
      </w:r>
    </w:p>
    <w:p>
      <w:pPr>
        <w:spacing w:after="120" w:line="480" w:lineRule="auto"/>
      </w:pPr>
      <w:r>
        <w:rPr>
          <w:rFonts w:ascii="PingFang TC" w:cs="PingFang TC" w:eastAsia="PingFang TC" w:hAnsi="PingFang TC"/>
          <w:b/>
          <w:bCs/>
          <w:sz w:val="24"/>
          <w:szCs w:val="24"/>
        </w:rPr>
        <w:t xml:space="preserve">經費。</w:t>
      </w:r>
      <w:r>
        <w:rPr>
          <w:rFonts w:ascii="PingFang TC" w:cs="PingFang TC" w:eastAsia="PingFang TC" w:hAnsi="PingFang TC"/>
          <w:sz w:val="24"/>
          <w:szCs w:val="24"/>
        </w:rPr>
        <w:t xml:space="preserve"> 作者未因本研究獲得任何經費。</w:t>
      </w:r>
    </w:p>
    <w:p>
      <w:pPr>
        <w:spacing w:after="120" w:line="480" w:lineRule="auto"/>
      </w:pPr>
      <w:r>
        <w:rPr>
          <w:rFonts w:ascii="PingFang TC" w:cs="PingFang TC" w:eastAsia="PingFang TC" w:hAnsi="PingFang TC"/>
          <w:b/>
          <w:bCs/>
          <w:sz w:val="24"/>
          <w:szCs w:val="24"/>
        </w:rPr>
        <w:t xml:space="preserve">利益衝突。</w:t>
      </w:r>
      <w:r>
        <w:rPr>
          <w:rFonts w:ascii="PingFang TC" w:cs="PingFang TC" w:eastAsia="PingFang TC" w:hAnsi="PingFang TC"/>
          <w:sz w:val="24"/>
          <w:szCs w:val="24"/>
        </w:rPr>
        <w:t xml:space="preserve"> 作者聲明無利益衝突。</w:t>
      </w:r>
    </w:p>
    <w:p>
      <w:pPr>
        <w:spacing w:after="120" w:line="480" w:lineRule="auto"/>
      </w:pPr>
      <w:r>
        <w:rPr>
          <w:rFonts w:ascii="PingFang TC" w:cs="PingFang TC" w:eastAsia="PingFang TC" w:hAnsi="PingFang TC"/>
          <w:b/>
          <w:bCs/>
          <w:sz w:val="24"/>
          <w:szCs w:val="24"/>
        </w:rPr>
        <w:t xml:space="preserve">倫理。</w:t>
      </w:r>
      <w:r>
        <w:rPr>
          <w:rFonts w:ascii="PingFang TC" w:cs="PingFang TC" w:eastAsia="PingFang TC" w:hAnsi="PingFang TC"/>
          <w:sz w:val="24"/>
          <w:szCs w:val="24"/>
        </w:rPr>
        <w:t xml:space="preserve"> 本研究為純計算研究，不涉及人體或動物受試者，無須機構審查委員會審查。</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ingFang TC" w:cs="PingFang TC" w:eastAsia="PingFang TC" w:hAnsi="PingFang TC"/>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ingFang TC" w:cs="PingFang TC" w:eastAsia="PingFang TC" w:hAnsi="PingFang T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fluid shear to sclerostin</dc:title>
  <dc:creator>Ming-Yu Hsieh</dc:creator>
  <cp:lastModifiedBy>Un-named</cp:lastModifiedBy>
  <cp:revision>1</cp:revision>
  <dcterms:created xsi:type="dcterms:W3CDTF">2026-08-04T05:01:32.761Z</dcterms:created>
  <dcterms:modified xsi:type="dcterms:W3CDTF">2026-08-04T05:01:32.762Z</dcterms:modified>
</cp:coreProperties>
</file>

<file path=docProps/custom.xml><?xml version="1.0" encoding="utf-8"?>
<Properties xmlns="http://schemas.openxmlformats.org/officeDocument/2006/custom-properties" xmlns:vt="http://schemas.openxmlformats.org/officeDocument/2006/docPropsVTypes"/>
</file>