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 w:lineRule="auto"/>
        <w:jc w:val="left"/>
      </w:pPr>
      <w:r>
        <w:rPr>
          <w:rFonts w:ascii="PingFang TC" w:cs="PingFang TC" w:eastAsia="PingFang TC" w:hAnsi="PingFang TC"/>
          <w:b/>
          <w:bCs/>
          <w:sz w:val="32"/>
          <w:szCs w:val="32"/>
        </w:rPr>
        <w:t xml:space="preserve">S1 Table. 參數表（Parameters）</w:t>
      </w:r>
    </w:p>
    <w:p>
      <w:pPr>
        <w:spacing w:after="100" w:line="360" w:lineRule="auto"/>
        <w:ind w:left="400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中文校稿版。</w:t>
      </w:r>
      <w:r>
        <w:rPr>
          <w:rFonts w:ascii="PingFang TC" w:cs="PingFang TC" w:eastAsia="PingFang TC" w:hAnsi="PingFang TC"/>
          <w:sz w:val="24"/>
          <w:szCs w:val="24"/>
        </w:rPr>
        <w:t xml:space="preserve"> 與 </w:t>
      </w:r>
      <w:r>
        <w:rPr>
          <w:rFonts w:ascii="Courier New" w:cs="Courier New" w:eastAsia="Courier New" w:hAnsi="Courier New"/>
          <w:sz w:val="24"/>
          <w:szCs w:val="24"/>
        </w:rPr>
        <w:t xml:space="preserve">S1_Table_parameters.csv</w:t>
      </w:r>
      <w:r>
        <w:rPr>
          <w:rFonts w:ascii="PingFang TC" w:cs="PingFang TC" w:eastAsia="PingFang TC" w:hAnsi="PingFang TC"/>
          <w:sz w:val="24"/>
          <w:szCs w:val="24"/>
        </w:rPr>
        <w:t xml:space="preserve"> 逐列對應，供內容校對用，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非投稿檔案</w:t>
      </w:r>
      <w:r>
        <w:rPr>
          <w:rFonts w:ascii="PingFang TC" w:cs="PingFang TC" w:eastAsia="PingFang TC" w:hAnsi="PingFang TC"/>
          <w:sz w:val="24"/>
          <w:szCs w:val="24"/>
        </w:rPr>
        <w:t xml:space="preserve">。</w:t>
      </w:r>
    </w:p>
    <w:p>
      <w:pPr>
        <w:spacing w:after="100" w:line="360" w:lineRule="auto"/>
        <w:ind w:left="400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數值、單位、上下界、模組、出處、信心等級一律由 CSV 原樣帶出</w:t>
      </w:r>
      <w:r>
        <w:rPr>
          <w:rFonts w:ascii="PingFang TC" w:cs="PingFang TC" w:eastAsia="PingFang TC" w:hAnsi="PingFang TC"/>
          <w:sz w:val="24"/>
          <w:szCs w:val="24"/>
        </w:rPr>
        <w:t xml:space="preserve">（語言中性，不經人手轉錄），只翻譯 </w:t>
      </w:r>
      <w:r>
        <w:rPr>
          <w:rFonts w:ascii="Courier New" w:cs="Courier New" w:eastAsia="Courier New" w:hAnsi="Courier New"/>
          <w:sz w:val="24"/>
          <w:szCs w:val="24"/>
        </w:rPr>
        <w:t xml:space="preserve">description</w:t>
      </w:r>
      <w:r>
        <w:rPr>
          <w:rFonts w:ascii="PingFang TC" w:cs="PingFang TC" w:eastAsia="PingFang TC" w:hAnsi="PingFang TC"/>
          <w:sz w:val="24"/>
          <w:szCs w:val="24"/>
        </w:rPr>
        <w:t xml:space="preserve"> 欄。</w:t>
      </w:r>
    </w:p>
    <w:p>
      <w:pPr>
        <w:spacing w:after="100" w:line="360" w:lineRule="auto"/>
        <w:ind w:left="400"/>
      </w:pPr>
      <w:r>
        <w:rPr>
          <w:rFonts w:ascii="PingFang TC" w:cs="PingFang TC" w:eastAsia="PingFang TC" w:hAnsi="PingFang TC"/>
          <w:sz w:val="24"/>
          <w:szCs w:val="24"/>
        </w:rPr>
        <w:t xml:space="preserve">⚠️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這不是程式讀的檔案。</w:t>
      </w:r>
      <w:r>
        <w:rPr>
          <w:rFonts w:ascii="PingFang TC" w:cs="PingFang TC" w:eastAsia="PingFang TC" w:hAnsi="PingFang TC"/>
          <w:sz w:val="24"/>
          <w:szCs w:val="24"/>
        </w:rPr>
        <w:t xml:space="preserve"> 模型只讀 </w:t>
      </w:r>
      <w:r>
        <w:rPr>
          <w:rFonts w:ascii="Courier New" w:cs="Courier New" w:eastAsia="Courier New" w:hAnsi="Courier New"/>
          <w:sz w:val="24"/>
          <w:szCs w:val="24"/>
        </w:rPr>
        <w:t xml:space="preserve">data/parameters_literature.csv</w:t>
      </w:r>
      <w:r>
        <w:rPr>
          <w:rFonts w:ascii="PingFang TC" w:cs="PingFang TC" w:eastAsia="PingFang TC" w:hAnsi="PingFang TC"/>
          <w:sz w:val="24"/>
          <w:szCs w:val="24"/>
        </w:rPr>
        <w:t xml:space="preserve">（英文），此處為單向複本。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出處欄語彙</w:t>
      </w:r>
      <w:r>
        <w:rPr>
          <w:rFonts w:ascii="PingFang TC" w:cs="PingFang TC" w:eastAsia="PingFang TC" w:hAnsi="PingFang TC"/>
          <w:sz w:val="24"/>
          <w:szCs w:val="24"/>
        </w:rPr>
        <w:t xml:space="preserve">：</w:t>
      </w:r>
      <w:r>
        <w:rPr>
          <w:rFonts w:ascii="Courier New" w:cs="Courier New" w:eastAsia="Courier New" w:hAnsi="Courier New"/>
          <w:sz w:val="24"/>
          <w:szCs w:val="24"/>
        </w:rPr>
        <w:t xml:space="preserve">assumed</w:t>
      </w:r>
      <w:r>
        <w:rPr>
          <w:rFonts w:ascii="PingFang TC" w:cs="PingFang TC" w:eastAsia="PingFang TC" w:hAnsi="PingFang TC"/>
          <w:sz w:val="24"/>
          <w:szCs w:val="24"/>
        </w:rPr>
        <w:t xml:space="preserve"> 假定｜</w:t>
      </w:r>
      <w:r>
        <w:rPr>
          <w:rFonts w:ascii="Courier New" w:cs="Courier New" w:eastAsia="Courier New" w:hAnsi="Courier New"/>
          <w:sz w:val="24"/>
          <w:szCs w:val="24"/>
        </w:rPr>
        <w:t xml:space="preserve">calibrated</w:t>
      </w:r>
      <w:r>
        <w:rPr>
          <w:rFonts w:ascii="PingFang TC" w:cs="PingFang TC" w:eastAsia="PingFang TC" w:hAnsi="PingFang TC"/>
          <w:sz w:val="24"/>
          <w:szCs w:val="24"/>
        </w:rPr>
        <w:t xml:space="preserve"> 校正｜</w:t>
      </w:r>
      <w:r>
        <w:rPr>
          <w:rFonts w:ascii="Courier New" w:cs="Courier New" w:eastAsia="Courier New" w:hAnsi="Courier New"/>
          <w:sz w:val="24"/>
          <w:szCs w:val="24"/>
        </w:rPr>
        <w:t xml:space="preserve">derived</w:t>
      </w:r>
      <w:r>
        <w:rPr>
          <w:rFonts w:ascii="PingFang TC" w:cs="PingFang TC" w:eastAsia="PingFang TC" w:hAnsi="PingFang TC"/>
          <w:sz w:val="24"/>
          <w:szCs w:val="24"/>
        </w:rPr>
        <w:t xml:space="preserve"> 導出｜</w:t>
      </w:r>
      <w:r>
        <w:rPr>
          <w:rFonts w:ascii="Courier New" w:cs="Courier New" w:eastAsia="Courier New" w:hAnsi="Courier New"/>
          <w:sz w:val="24"/>
          <w:szCs w:val="24"/>
        </w:rPr>
        <w:t xml:space="preserve">fixed</w:t>
      </w:r>
      <w:r>
        <w:rPr>
          <w:rFonts w:ascii="PingFang TC" w:cs="PingFang TC" w:eastAsia="PingFang TC" w:hAnsi="PingFang TC"/>
          <w:sz w:val="24"/>
          <w:szCs w:val="24"/>
        </w:rPr>
        <w:t xml:space="preserve"> 定義用常數｜</w:t>
      </w:r>
      <w:r>
        <w:rPr>
          <w:rFonts w:ascii="Courier New" w:cs="Courier New" w:eastAsia="Courier New" w:hAnsi="Courier New"/>
          <w:sz w:val="24"/>
          <w:szCs w:val="24"/>
        </w:rPr>
        <w:t xml:space="preserve">literature</w:t>
      </w:r>
      <w:r>
        <w:rPr>
          <w:rFonts w:ascii="PingFang TC" w:cs="PingFang TC" w:eastAsia="PingFang TC" w:hAnsi="PingFang TC"/>
          <w:sz w:val="24"/>
          <w:szCs w:val="24"/>
        </w:rPr>
        <w:t xml:space="preserve"> 文獻｜</w:t>
      </w:r>
      <w:r>
        <w:rPr>
          <w:rFonts w:ascii="Courier New" w:cs="Courier New" w:eastAsia="Courier New" w:hAnsi="Courier New"/>
          <w:sz w:val="24"/>
          <w:szCs w:val="24"/>
        </w:rPr>
        <w:t xml:space="preserve">superseded</w:t>
      </w:r>
      <w:r>
        <w:rPr>
          <w:rFonts w:ascii="PingFang TC" w:cs="PingFang TC" w:eastAsia="PingFang TC" w:hAnsi="PingFang TC"/>
          <w:sz w:val="24"/>
          <w:szCs w:val="24"/>
        </w:rPr>
        <w:t xml:space="preserve"> 已退役｜其餘為文獻代號。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信心等級</w:t>
      </w:r>
      <w:r>
        <w:rPr>
          <w:rFonts w:ascii="PingFang TC" w:cs="PingFang TC" w:eastAsia="PingFang TC" w:hAnsi="PingFang TC"/>
          <w:sz w:val="24"/>
          <w:szCs w:val="24"/>
        </w:rPr>
        <w:t xml:space="preserve">：high 高｜medium 中｜low 低。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上下界</w:t>
      </w:r>
      <w:r>
        <w:rPr>
          <w:rFonts w:ascii="PingFang TC" w:cs="PingFang TC" w:eastAsia="PingFang TC" w:hAnsi="PingFang TC"/>
          <w:sz w:val="24"/>
          <w:szCs w:val="24"/>
        </w:rPr>
        <w:t xml:space="preserve">：供 LHS/Sobol 抽樣與校正使用；上下界相等者為定義用常數，不參與抽樣。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共用／無因次化基準（1 項）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E2_0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E2_0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1.0 | 1.0 | 定義用常數（fixed）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基線雌激素（經無因次化定義為停經前 = 1；停經後情境設為 0.1）。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M1 — 器官層級力學（11 項）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r_p_0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r_p0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0.0105</w:t>
      </w:r>
      <w:r>
        <w:rPr>
          <w:rFonts w:ascii="PingFang TC" w:cs="PingFang TC" w:eastAsia="PingFang TC" w:hAnsi="PingFang TC"/>
          <w:sz w:val="24"/>
          <w:szCs w:val="24"/>
        </w:rPr>
        <w:t xml:space="preserve"> | m | 0.0080 | 0.0140 | Haapasalo2000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肱骨骨幹的基線骨膜半徑（由總面積的數量級推得）。部位專屬的絕對值待全文確認。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r_e_0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r_e0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0.0074</w:t>
      </w:r>
      <w:r>
        <w:rPr>
          <w:rFonts w:ascii="PingFang TC" w:cs="PingFang TC" w:eastAsia="PingFang TC" w:hAnsi="PingFang TC"/>
          <w:sz w:val="24"/>
          <w:szCs w:val="24"/>
        </w:rPr>
        <w:t xml:space="preserve"> | m | 0.0050 | 0.0100 | Haapasalo2000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肱骨骨幹的基線骨內膜半徑（由髓腔面積的數量級推得）。待全文確認。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E_ref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E_ref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2.0e10</w:t>
      </w:r>
      <w:r>
        <w:rPr>
          <w:rFonts w:ascii="PingFang TC" w:cs="PingFang TC" w:eastAsia="PingFang TC" w:hAnsi="PingFang TC"/>
          <w:sz w:val="24"/>
          <w:szCs w:val="24"/>
        </w:rPr>
        <w:t xml:space="preserve"> | Pa | 1.5e10 | 2.5e10 | 假定（assumed）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皮質骨基質的參考彈性模數（在 f_bm = 1 且基線礦化下）。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kappa_E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kappa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3.13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2.0 | 6.0 | Currey1988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E_app 對 f_bm 的指數，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皮質</w:t>
      </w:r>
      <w:r>
        <w:rPr>
          <w:rFonts w:ascii="PingFang TC" w:cs="PingFang TC" w:eastAsia="PingFang TC" w:hAnsi="PingFang TC"/>
          <w:sz w:val="24"/>
          <w:szCs w:val="24"/>
        </w:rPr>
        <w:t xml:space="preserve">腔室。v2.17（P5m）採自 Currey 1988：log E = −4.84 + 2.55 log(calcium) + 3.13 log(V_f)，R² = 0.83，取自 18 個物種的緻密骨。P5l 曾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全域</w:t>
      </w:r>
      <w:r>
        <w:rPr>
          <w:rFonts w:ascii="PingFang TC" w:cs="PingFang TC" w:eastAsia="PingFang TC" w:hAnsi="PingFang TC"/>
          <w:sz w:val="24"/>
          <w:szCs w:val="24"/>
        </w:rPr>
        <w:t xml:space="preserve">採用此值而不得不撤回，因為 Currey 量的是緻密骨，該指數不可外推到小樑腔室；P5m 改為讓 trabecularParams 覆寫為 2.0，即適用於細胞性固體的 Gibson–Ashby 開孔標度。依此解讀，先前 2.5 的折衷值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對兩個腔室都不正確</w:t>
      </w:r>
      <w:r>
        <w:rPr>
          <w:rFonts w:ascii="PingFang TC" w:cs="PingFang TC" w:eastAsia="PingFang TC" w:hAnsi="PingFang TC"/>
          <w:sz w:val="24"/>
          <w:szCs w:val="24"/>
        </w:rPr>
        <w:t xml:space="preserve">。閉環恆等式 d ln eps/d ln f_bm = −kappa_E 現在在皮質為 −3.13、在椎體為 −2.00。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nu_E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nu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2.55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0.5 | 4.0 | Currey1988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E_app 對礦化的指數。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v2.16（P5l）直接採自原文</w:t>
      </w:r>
      <w:r>
        <w:rPr>
          <w:rFonts w:ascii="PingFang TC" w:cs="PingFang TC" w:eastAsia="PingFang TC" w:hAnsi="PingFang TC"/>
          <w:sz w:val="24"/>
          <w:szCs w:val="24"/>
        </w:rPr>
        <w:t xml:space="preserve">：Currey 1988 的雙變數擬合 log E = −4.84 + 2.55 log(calcium) + 3.13 log(V_f)（R² = 0.83）在鈣含量上給出 2.55，而非先前假定的 1.0；原本 2.0 的上界甚至排除了它。與體積分率指數不同，這一個可以安全轉移：礦物密度在兩個腔室都位於其基線，因此提高它不會擾動小樑模數（已驗證：小樑 E_app 不受影響、無漂移、彈性域完整）。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f_bm_min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-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0.02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0.005 | 0.05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數值下限。由於 E_app 正比於 f_bm^kappa，f_bm 趨近零時應變會發散。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eps_elastic_max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eps_el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7.0e-3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4.0e-3 | 2.0e-2 | 文獻（literature）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皮質骨的降伏應變，約 7000 微應變（Bayraktar 2004；Morgan &amp; Keaveny）。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這不是模型參數而是有效性邊界</w:t>
      </w:r>
      <w:r>
        <w:rPr>
          <w:rFonts w:ascii="PingFang TC" w:cs="PingFang TC" w:eastAsia="PingFang TC" w:hAnsi="PingFang TC"/>
          <w:sz w:val="24"/>
          <w:szCs w:val="24"/>
        </w:rPr>
        <w:t xml:space="preserve">：模型全程假設線性彈性 E_app = E_ref·f_bm^kappa_E，超過降伏後該假設失效，組織進入損傷或骨折而非適應。simulate() 以 out.validity.ok 標記；在病理性低 f_bm 下的模擬會觸發它。任何正常情境中的最高應變是網球負荷案例的 2851 微應變，遠低於此界。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f_bm_0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f_bm0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0.95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0.90 | 0.98 | 假定（assumed）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皮質骨的基線骨基質體積分率（皮質孔隙度約 5 %）。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rho_min_0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rho_min0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1200</w:t>
      </w:r>
      <w:r>
        <w:rPr>
          <w:rFonts w:ascii="PingFang TC" w:cs="PingFang TC" w:eastAsia="PingFang TC" w:hAnsi="PingFang TC"/>
          <w:sz w:val="24"/>
          <w:szCs w:val="24"/>
        </w:rPr>
        <w:t xml:space="preserve"> | kg/m^3 | 1000 | 1400 | 假定（assumed）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基線平均組織礦物密度（灰分密度尺度）。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M_L_0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M_L0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8.0</w:t>
      </w:r>
      <w:r>
        <w:rPr>
          <w:rFonts w:ascii="PingFang TC" w:cs="PingFang TC" w:eastAsia="PingFang TC" w:hAnsi="PingFang TC"/>
          <w:sz w:val="24"/>
          <w:szCs w:val="24"/>
        </w:rPr>
        <w:t xml:space="preserve"> | N*m | 2.0 | 30.0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日常活動的基線峰值彎矩（肱骨骨幹）。scenarioLibrary 以此為 1.0 倍參考。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F_L_0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F_L0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300</w:t>
      </w:r>
      <w:r>
        <w:rPr>
          <w:rFonts w:ascii="PingFang TC" w:cs="PingFang TC" w:eastAsia="PingFang TC" w:hAnsi="PingFang TC"/>
          <w:sz w:val="24"/>
          <w:szCs w:val="24"/>
        </w:rPr>
        <w:t xml:space="preserve"> | N | 100 | 1000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日常活動的基線峰值軸向力。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M2 — 孔彈性骨小管剪應力（12 項）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k_perm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k_p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1.0e-20</w:t>
      </w:r>
      <w:r>
        <w:rPr>
          <w:rFonts w:ascii="PingFang TC" w:cs="PingFang TC" w:eastAsia="PingFang TC" w:hAnsi="PingFang TC"/>
          <w:sz w:val="24"/>
          <w:szCs w:val="24"/>
        </w:rPr>
        <w:t xml:space="preserve"> | m^2 | 1.0e-21 | 1.0e-19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骨小管網路的內在滲透率。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v2.20 已讀 Weinbaum 1994</w:t>
      </w:r>
      <w:r>
        <w:rPr>
          <w:rFonts w:ascii="PingFang TC" w:cs="PingFang TC" w:eastAsia="PingFang TC" w:hAnsi="PingFang TC"/>
          <w:sz w:val="24"/>
          <w:szCs w:val="24"/>
        </w:rPr>
        <w:t xml:space="preserve">（Reference/a05.pdf）。它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並未</w:t>
      </w:r>
      <w:r>
        <w:rPr>
          <w:rFonts w:ascii="PingFang TC" w:cs="PingFang TC" w:eastAsia="PingFang TC" w:hAnsi="PingFang TC"/>
          <w:sz w:val="24"/>
          <w:szCs w:val="24"/>
        </w:rPr>
        <w:t xml:space="preserve">直接給出此參數：該文以纖維基質理論計算骨細胞突起上的剪應力，而非給出一個我們可以直接讀取的集總放大量，因此 K_tau 目前仍無法由它導出。它真正提供的是一項更銳利的檢查 —— 見 K_tau 與 tau_target_lo。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mu_fluid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mu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1.0e-3</w:t>
      </w:r>
      <w:r>
        <w:rPr>
          <w:rFonts w:ascii="PingFang TC" w:cs="PingFang TC" w:eastAsia="PingFang TC" w:hAnsi="PingFang TC"/>
          <w:sz w:val="24"/>
          <w:szCs w:val="24"/>
        </w:rPr>
        <w:t xml:space="preserve"> | Pa*s | 8.0e-4 | 1.5e-3 | 文獻（literature）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骨組織間液的黏度（接近 37 °C 的水）。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S_stor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S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1.0e-10</w:t>
      </w:r>
      <w:r>
        <w:rPr>
          <w:rFonts w:ascii="PingFang TC" w:cs="PingFang TC" w:eastAsia="PingFang TC" w:hAnsi="PingFang TC"/>
          <w:sz w:val="24"/>
          <w:szCs w:val="24"/>
        </w:rPr>
        <w:t xml:space="preserve"> | 1/Pa | 1.0e-11 | 1.0e-9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孔彈性儲存係數。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v2.20 已讀 Weinbaum 1994</w:t>
      </w:r>
      <w:r>
        <w:rPr>
          <w:rFonts w:ascii="PingFang TC" w:cs="PingFang TC" w:eastAsia="PingFang TC" w:hAnsi="PingFang TC"/>
          <w:sz w:val="24"/>
          <w:szCs w:val="24"/>
        </w:rPr>
        <w:t xml:space="preserve">（Reference/a05.pdf）。它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並未</w:t>
      </w:r>
      <w:r>
        <w:rPr>
          <w:rFonts w:ascii="PingFang TC" w:cs="PingFang TC" w:eastAsia="PingFang TC" w:hAnsi="PingFang TC"/>
          <w:sz w:val="24"/>
          <w:szCs w:val="24"/>
        </w:rPr>
        <w:t xml:space="preserve">直接給出此參數：該文以纖維基質理論計算骨細胞突起上的剪應力，而非給出可直接讀取的集總放大量，因此 K_tau 目前仍無法由它導出。它真正提供的是一項更銳利的檢查 —— 見 K_tau 與 tau_target_lo。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a_canal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a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1.5e-7</w:t>
      </w:r>
      <w:r>
        <w:rPr>
          <w:rFonts w:ascii="PingFang TC" w:cs="PingFang TC" w:eastAsia="PingFang TC" w:hAnsi="PingFang TC"/>
          <w:sz w:val="24"/>
          <w:szCs w:val="24"/>
        </w:rPr>
        <w:t xml:space="preserve"> | m | 1.0e-7 | 2.5e-7 | Weinbaum1994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骨小管半徑。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v2.20 對照 Weinbaum 1994 確認</w:t>
      </w:r>
      <w:r>
        <w:rPr>
          <w:rFonts w:ascii="PingFang TC" w:cs="PingFang TC" w:eastAsia="PingFang TC" w:hAnsi="PingFang TC"/>
          <w:sz w:val="24"/>
          <w:szCs w:val="24"/>
        </w:rPr>
        <w:t xml:space="preserve">：該文的幾何是一個半徑 a（約 0.1 微米量級）的骨細胞突起，位於半徑 b 的骨小管內，我們的 150 nm 與該階層一致。Weinbaum 另將 GAG 纖維間距定為 Δ = 7 nm（以流動電位資料驗證，6–11 nm 可接受）—— 這個長度尺度被我們的集總 K_tau 吸收，而非被表徵。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Gamma_PCM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Gamma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20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5 | 50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細胞周基質的剪應力放大因子。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v2.20 已讀 Weinbaum 1994</w:t>
      </w:r>
      <w:r>
        <w:rPr>
          <w:rFonts w:ascii="PingFang TC" w:cs="PingFang TC" w:eastAsia="PingFang TC" w:hAnsi="PingFang TC"/>
          <w:sz w:val="24"/>
          <w:szCs w:val="24"/>
        </w:rPr>
        <w:t xml:space="preserve">（Reference/a05.pdf）。它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並未</w:t>
      </w:r>
      <w:r>
        <w:rPr>
          <w:rFonts w:ascii="PingFang TC" w:cs="PingFang TC" w:eastAsia="PingFang TC" w:hAnsi="PingFang TC"/>
          <w:sz w:val="24"/>
          <w:szCs w:val="24"/>
        </w:rPr>
        <w:t xml:space="preserve">直接給出此參數：該文以纖維基質理論計算骨細胞突起上的剪應力，而非給出可直接讀取的集總放大量，因此 K_tau 目前仍無法由它導出。它真正提供的是一項更銳利的檢查 —— 見 K_tau 與 tau_target_lo。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L_poro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L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1.0e-4</w:t>
      </w:r>
      <w:r>
        <w:rPr>
          <w:rFonts w:ascii="PingFang TC" w:cs="PingFang TC" w:eastAsia="PingFang TC" w:hAnsi="PingFang TC"/>
          <w:sz w:val="24"/>
          <w:szCs w:val="24"/>
        </w:rPr>
        <w:t xml:space="preserve"> | m | 3.0e-5 | 3.0e-4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孔彈性排水路徑長度（骨單位半徑尺度，由骨小管網路到 Haversian 管）。與 c_p 共同決定頻率轉角。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K_tau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K_tau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2.0e3</w:t>
      </w:r>
      <w:r>
        <w:rPr>
          <w:rFonts w:ascii="PingFang TC" w:cs="PingFang TC" w:eastAsia="PingFang TC" w:hAnsi="PingFang TC"/>
          <w:sz w:val="24"/>
          <w:szCs w:val="24"/>
        </w:rPr>
        <w:t xml:space="preserve"> | Pa | 1.0e2 | 1.0e4 | 校正（calibrated）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集總剪應力增益：在 f_0 = 1 Hz 下，每單位峰值應變所對應的峰值剪應力 tau_max [Pa/strain]。吸收了三個未知的微結構參數 (a/2)·Gamma/S。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v2.20 仍為校正而非導出</w:t>
      </w:r>
      <w:r>
        <w:rPr>
          <w:rFonts w:ascii="PingFang TC" w:cs="PingFang TC" w:eastAsia="PingFang TC" w:hAnsi="PingFang TC"/>
          <w:sz w:val="24"/>
          <w:szCs w:val="24"/>
        </w:rPr>
        <w:t xml:space="preserve">：Weinbaum 1994 以纖維基質理論計算剪應力，並未給出可代入此處的集總放大量。但它確實收緊了檢查。Weinbaum 自己預測的剪應力是 10–20 dyn/cm²，即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1–2 Pa</w:t>
      </w:r>
      <w:r>
        <w:rPr>
          <w:rFonts w:ascii="PingFang TC" w:cs="PingFang TC" w:eastAsia="PingFang TC" w:hAnsi="PingFang TC"/>
          <w:sz w:val="24"/>
          <w:szCs w:val="24"/>
        </w:rPr>
        <w:t xml:space="preserve">，而他指出這與觀察到適應性重塑反應的範圍重合 ——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比我們用來校正的 0.8–3.0 Pa 帶更窄</w:t>
      </w:r>
      <w:r>
        <w:rPr>
          <w:rFonts w:ascii="PingFang TC" w:cs="PingFang TC" w:eastAsia="PingFang TC" w:hAnsi="PingFang TC"/>
          <w:sz w:val="24"/>
          <w:szCs w:val="24"/>
        </w:rPr>
        <w:t xml:space="preserve">。我們的基線久坐剪應力是 1.57 Pa，落在那個較窄的窗口內。因此 K_tau 受到的約束比 0.8–3.0 帶所暗示的更強，信心等級據此由 low 提升為 medium。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alpha_f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alpha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0.75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0.50 | 1.00 | 已退役（superseded）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［v1.5 退役］</w:t>
      </w:r>
      <w:r>
        <w:rPr>
          <w:rFonts w:ascii="PingFang TC" w:cs="PingFang TC" w:eastAsia="PingFang TC" w:hAnsi="PingFang TC"/>
          <w:sz w:val="24"/>
          <w:szCs w:val="24"/>
        </w:rPr>
        <w:t xml:space="preserve"> 原唯象代理函數的指數。已被閉式解 |k tanh(kL)| 取代，因此頻率相依性不再帶有可調指數。僅保留供對照。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f_c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f_c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10</w:t>
      </w:r>
      <w:r>
        <w:rPr>
          <w:rFonts w:ascii="PingFang TC" w:cs="PingFang TC" w:eastAsia="PingFang TC" w:hAnsi="PingFang TC"/>
          <w:sz w:val="24"/>
          <w:szCs w:val="24"/>
        </w:rPr>
        <w:t xml:space="preserve"> | Hz | 5 | 30 | 已退役（superseded）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［v1.5 退役］</w:t>
      </w:r>
      <w:r>
        <w:rPr>
          <w:rFonts w:ascii="PingFang TC" w:cs="PingFang TC" w:eastAsia="PingFang TC" w:hAnsi="PingFang TC"/>
          <w:sz w:val="24"/>
          <w:szCs w:val="24"/>
        </w:rPr>
        <w:t xml:space="preserve"> 原唯象轉角頻率。真正的轉角由 t_poro = L²/c_p 決定，不是自由參數。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f_0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f_0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Hz | 1.0 | 1.0 | 定義用常數（fixed）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代理函數的參考頻率（定義用常數）。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tau_target_lo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-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Pa | 1.0 | 1.0 | Weinbaum1994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生理流體剪應力範圍的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下界</w:t>
      </w:r>
      <w:r>
        <w:rPr>
          <w:rFonts w:ascii="PingFang TC" w:cs="PingFang TC" w:eastAsia="PingFang TC" w:hAnsi="PingFang TC"/>
          <w:sz w:val="24"/>
          <w:szCs w:val="24"/>
        </w:rPr>
        <w:t xml:space="preserve">，供驗證使用（非模型參數）。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v2.21 依原文由 0.8 收緊為 1.0</w:t>
      </w:r>
      <w:r>
        <w:rPr>
          <w:rFonts w:ascii="PingFang TC" w:cs="PingFang TC" w:eastAsia="PingFang TC" w:hAnsi="PingFang TC"/>
          <w:sz w:val="24"/>
          <w:szCs w:val="24"/>
        </w:rPr>
        <w:t xml:space="preserve">：Weinbaum 1994 預測 10–20 dyn/cm²，即 1–2 Pa，並指出這與觀察到適應性重塑反應的範圍重合。原本 0.8–3.0 的帶是我們自己的，比文獻所述的任何範圍都寬。這與 v2.12 收緊 V14 是同一種作法：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把自訂的帶收窄到原文真正說的內容</w:t>
      </w:r>
      <w:r>
        <w:rPr>
          <w:rFonts w:ascii="PingFang TC" w:cs="PingFang TC" w:eastAsia="PingFang TC" w:hAnsi="PingFang TC"/>
          <w:sz w:val="24"/>
          <w:szCs w:val="24"/>
        </w:rPr>
        <w:t xml:space="preserve">。我們的基線久坐剪應力 1.57 Pa 仍然通過，因此 K_tau 現在被一個寬度減半的帶釘住。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tau_target_hi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-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2.0</w:t>
      </w:r>
      <w:r>
        <w:rPr>
          <w:rFonts w:ascii="PingFang TC" w:cs="PingFang TC" w:eastAsia="PingFang TC" w:hAnsi="PingFang TC"/>
          <w:sz w:val="24"/>
          <w:szCs w:val="24"/>
        </w:rPr>
        <w:t xml:space="preserve"> | Pa | 2.0 | 2.0 | Weinbaum1994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生理流體剪應力範圍的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上界</w:t>
      </w:r>
      <w:r>
        <w:rPr>
          <w:rFonts w:ascii="PingFang TC" w:cs="PingFang TC" w:eastAsia="PingFang TC" w:hAnsi="PingFang TC"/>
          <w:sz w:val="24"/>
          <w:szCs w:val="24"/>
        </w:rPr>
        <w:t xml:space="preserve">，供驗證使用（非模型參數）。v2.21 由 3.0 收緊為 2.0；見 tau_target_lo。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M3 — 每日機械劑量（7 項）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tau_50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tau_50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Pa | 0.5 | 2.5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機械敏感離子通道的半活化剪應力。v1.4 由 M4 移入。待 Li 2019（Piezo1）。分岔分析（E6）中主要的分歧來源之一。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k_tau_sig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k_tau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0.12</w:t>
      </w:r>
      <w:r>
        <w:rPr>
          <w:rFonts w:ascii="PingFang TC" w:cs="PingFang TC" w:eastAsia="PingFang TC" w:hAnsi="PingFang TC"/>
          <w:sz w:val="24"/>
          <w:szCs w:val="24"/>
        </w:rPr>
        <w:t xml:space="preserve"> | Pa | 0.08 | 0.30 | 校正（calibrated）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通道活化 S 形曲線的陡度。v1.4 由 M4 移入，現在承擔了原唯象指數 q 的超線性角色。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v1.5 由 0.30 降為 0.12</w:t>
      </w:r>
      <w:r>
        <w:rPr>
          <w:rFonts w:ascii="PingFang TC" w:cs="PingFang TC" w:eastAsia="PingFang TC" w:hAnsi="PingFang TC"/>
          <w:sz w:val="24"/>
          <w:szCs w:val="24"/>
        </w:rPr>
        <w:t xml:space="preserve">：在 0.30 時 k_co(0) 達到 k_co_max 的 3.4 %、靜息開啟機率為 4.6 %，因此負荷只能把每日劑量提高 5.6 %（訊號被基線淹沒），廢用流失標的 V2 無法達成。0.12 給出久坐對臥床的劑量比 8.4，屬合理。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仍是佔位值</w:t>
      </w:r>
      <w:r>
        <w:rPr>
          <w:rFonts w:ascii="PingFang TC" w:cs="PingFang TC" w:eastAsia="PingFang TC" w:hAnsi="PingFang TC"/>
          <w:sz w:val="24"/>
          <w:szCs w:val="24"/>
        </w:rPr>
        <w:t xml:space="preserve">：Fu 2025 於 v2.18 到手，但它帶的是方程式而不是數值（見 k_co_max）。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k_co_max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k_co_max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10</w:t>
      </w:r>
      <w:r>
        <w:rPr>
          <w:rFonts w:ascii="PingFang TC" w:cs="PingFang TC" w:eastAsia="PingFang TC" w:hAnsi="PingFang TC"/>
          <w:sz w:val="24"/>
          <w:szCs w:val="24"/>
        </w:rPr>
        <w:t xml:space="preserve"> | 1/s | 1 | 100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關閉→開啟的最大速率。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待取得速率常數本身。v2.18 狀態</w:t>
      </w:r>
      <w:r>
        <w:rPr>
          <w:rFonts w:ascii="PingFang TC" w:cs="PingFang TC" w:eastAsia="PingFang TC" w:hAnsi="PingFang TC"/>
          <w:sz w:val="24"/>
          <w:szCs w:val="24"/>
        </w:rPr>
        <w:t xml:space="preserve">：Fu 2025 已到手（Reference/a01.pdf）而它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解不開這一項</w:t>
      </w:r>
      <w:r>
        <w:rPr>
          <w:rFonts w:ascii="PingFang TC" w:cs="PingFang TC" w:eastAsia="PingFang TC" w:hAnsi="PingFang TC"/>
          <w:sz w:val="24"/>
          <w:szCs w:val="24"/>
        </w:rPr>
        <w:t xml:space="preserve">。Fu 的正文給出三態 ODE，但用的是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六個</w:t>
      </w:r>
      <w:r>
        <w:rPr>
          <w:rFonts w:ascii="PingFang TC" w:cs="PingFang TC" w:eastAsia="PingFang TC" w:hAnsi="PingFang TC"/>
          <w:sz w:val="24"/>
          <w:szCs w:val="24"/>
        </w:rPr>
        <w:t xml:space="preserve">速率 k1–k6（其中兩個是剪應力的函數），與我們的四個並非一對一對應；而數值落在館際掃描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不包含</w:t>
      </w:r>
      <w:r>
        <w:rPr>
          <w:rFonts w:ascii="PingFang TC" w:cs="PingFang TC" w:eastAsia="PingFang TC" w:hAnsi="PingFang TC"/>
          <w:sz w:val="24"/>
          <w:szCs w:val="24"/>
        </w:rPr>
        <w:t xml:space="preserve">的 Appendix 裡。仍需要的是 Fu 的補充材料，或其動力學的來源：Mao F, Yang Y, Jiang H, Biophys J 2022;121:4740-4747 —— 那是一個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手指觸覺的機電模型</w:t>
      </w:r>
      <w:r>
        <w:rPr>
          <w:rFonts w:ascii="PingFang TC" w:cs="PingFang TC" w:eastAsia="PingFang TC" w:hAnsi="PingFang TC"/>
          <w:sz w:val="24"/>
          <w:szCs w:val="24"/>
        </w:rPr>
        <w:t xml:space="preserve">，不是骨骼研究，Fu 的通道動力學借自該文。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k_oc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k_oc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5</w:t>
      </w:r>
      <w:r>
        <w:rPr>
          <w:rFonts w:ascii="PingFang TC" w:cs="PingFang TC" w:eastAsia="PingFang TC" w:hAnsi="PingFang TC"/>
          <w:sz w:val="24"/>
          <w:szCs w:val="24"/>
        </w:rPr>
        <w:t xml:space="preserve"> | 1/s | 0.5 | 50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開啟→關閉的速率。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待取得速率常數本身。v2.18 狀態</w:t>
      </w:r>
      <w:r>
        <w:rPr>
          <w:rFonts w:ascii="PingFang TC" w:cs="PingFang TC" w:eastAsia="PingFang TC" w:hAnsi="PingFang TC"/>
          <w:sz w:val="24"/>
          <w:szCs w:val="24"/>
        </w:rPr>
        <w:t xml:space="preserve">：Fu 2025 已到手（Reference/a01.pdf）而它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解不開這一項</w:t>
      </w:r>
      <w:r>
        <w:rPr>
          <w:rFonts w:ascii="PingFang TC" w:cs="PingFang TC" w:eastAsia="PingFang TC" w:hAnsi="PingFang TC"/>
          <w:sz w:val="24"/>
          <w:szCs w:val="24"/>
        </w:rPr>
        <w:t xml:space="preserve">。Fu 的正文給出三態 ODE，但用的是六個速率 k1–k6（其中兩個是剪應力的函數），與我們的四個並非一對一對應；數值落在館際掃描不含的 Appendix 裡。仍需要 Fu 的補充材料，或其動力學來源 Mao F, Yang Y, Jiang H, Biophys J 2022;121:4740-4747（手指觸覺機電模型，非骨骼研究）。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k_oi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k_oi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0.5</w:t>
      </w:r>
      <w:r>
        <w:rPr>
          <w:rFonts w:ascii="PingFang TC" w:cs="PingFang TC" w:eastAsia="PingFang TC" w:hAnsi="PingFang TC"/>
          <w:sz w:val="24"/>
          <w:szCs w:val="24"/>
        </w:rPr>
        <w:t xml:space="preserve"> | 1/s | 0.05 | 5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開啟→失活的速率。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決定循環數的飽和（V4）。待取得速率常數本身。v2.18 狀態</w:t>
      </w:r>
      <w:r>
        <w:rPr>
          <w:rFonts w:ascii="PingFang TC" w:cs="PingFang TC" w:eastAsia="PingFang TC" w:hAnsi="PingFang TC"/>
          <w:sz w:val="24"/>
          <w:szCs w:val="24"/>
        </w:rPr>
        <w:t xml:space="preserve">：Fu 2025 已到手（Reference/a01.pdf）而它解不開這一項。Fu 的正文給出三態 ODE，但用的是六個速率 k1–k6（其中兩個是剪應力的函數），與我們的四個並非一對一對應；數值落在館際掃描不含的 Appendix 裡。仍需要 Fu 的補充材料，或其動力學來源 Mao F, Yang Y, Jiang H, Biophys J 2022;121:4740-4747。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k_ic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k_ic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0.1</w:t>
      </w:r>
      <w:r>
        <w:rPr>
          <w:rFonts w:ascii="PingFang TC" w:cs="PingFang TC" w:eastAsia="PingFang TC" w:hAnsi="PingFang TC"/>
          <w:sz w:val="24"/>
          <w:szCs w:val="24"/>
        </w:rPr>
        <w:t xml:space="preserve"> | 1/s | 0.01 | 1.0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失活→關閉的恢復速率。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決定休息插入的增益（V5）</w:t>
      </w:r>
      <w:r>
        <w:rPr>
          <w:rFonts w:ascii="PingFang TC" w:cs="PingFang TC" w:eastAsia="PingFang TC" w:hAnsi="PingFang TC"/>
          <w:sz w:val="24"/>
          <w:szCs w:val="24"/>
        </w:rPr>
        <w:t xml:space="preserve">；恢復時間約 10 秒。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待取得速率常數本身。v2.18 狀態</w:t>
      </w:r>
      <w:r>
        <w:rPr>
          <w:rFonts w:ascii="PingFang TC" w:cs="PingFang TC" w:eastAsia="PingFang TC" w:hAnsi="PingFang TC"/>
          <w:sz w:val="24"/>
          <w:szCs w:val="24"/>
        </w:rPr>
        <w:t xml:space="preserve">：Fu 2025 已到手（Reference/a01.pdf）而它解不開這一項。Fu 的正文給出三態 ODE，但用的是六個速率 k1–k6（其中兩個是剪應力的函數），與我們的四個並非一對一對應；數值落在館際掃描不含的 Appendix 裡。仍需要 Fu 的補充材料，或其動力學來源 Mao F, Yang Y, Jiang H, Biophys J 2022;121:4740-4747。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T_day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T_day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86400</w:t>
      </w:r>
      <w:r>
        <w:rPr>
          <w:rFonts w:ascii="PingFang TC" w:cs="PingFang TC" w:eastAsia="PingFang TC" w:hAnsi="PingFang TC"/>
          <w:sz w:val="24"/>
          <w:szCs w:val="24"/>
        </w:rPr>
        <w:t xml:space="preserve"> | s | 86400 | 86400 | 定義用常數（fixed）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每日秒數。用於把 D_mech 無因次化為每日平均開啟機率。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M4 — 骨細胞訊號傳導（38 項）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J_max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J_max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0.5 | 2.0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最大 Ca²⁺ 內流速率（經無因次化，使基線穩態為 1）。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J_alt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J_alt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0.05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0.0 | 0.30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平行路徑的集總項（整合素、初級纖毛、connexin 43）。其不確定性由 E6 靈敏度分析涵蓋。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k_C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k_C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24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12 | 100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細胞內 Ca²⁺ 清除速率（分鐘尺度）。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k_Y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k_Y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0.2 | 5.0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YAP/TAZ 核轉位速率。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K_Y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K_Y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0.5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0.1 | 2.0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YAP/TAZ 活化的半飽和 Ca²⁺ 濃度（無因次）。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n_Y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n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2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1 | 4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YAP/TAZ 活化的 Hill 係數。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delta_Y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delta_Y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0.2 | 5.0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YAP/TAZ 去活化速率。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beta_S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beta_S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0.2 | 5.0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硬化蛋白基礎分泌速率。分岔分析（E6）中的分歧參數之一。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K_S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K_S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1.201052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0.1 | 5.0 | 校正（calibrated）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YAP/TAZ 抑制 SOST 的半飽和常數。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v2.14（P5k）由 1.27 重擬</w:t>
      </w:r>
      <w:r>
        <w:rPr>
          <w:rFonts w:ascii="PingFang TC" w:cs="PingFang TC" w:eastAsia="PingFang TC" w:hAnsi="PingFang TC"/>
          <w:sz w:val="24"/>
          <w:szCs w:val="24"/>
        </w:rPr>
        <w:t xml:space="preserve">：骨鈣通量變成真的之後，卸載會抑制 PTH，進而壓制吸收、減緩廢用流失，因此需要更敏感的力學 SOST 反應才能守住 V2。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v2.24（P5o）在 k_ot 改為導出量後再次重擬為 1.2011。</w:t>
      </w:r>
      <w:r>
        <w:rPr>
          <w:rFonts w:ascii="PingFang TC" w:cs="PingFang TC" w:eastAsia="PingFang TC" w:hAnsi="PingFang TC"/>
          <w:sz w:val="24"/>
          <w:szCs w:val="24"/>
        </w:rPr>
        <w:t xml:space="preserve"> 使 V2 = 1.220 %/月。V2 對此參數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極為敏感</w:t>
      </w:r>
      <w:r>
        <w:rPr>
          <w:rFonts w:ascii="PingFang TC" w:cs="PingFang TC" w:eastAsia="PingFang TC" w:hAnsi="PingFang TC"/>
          <w:sz w:val="24"/>
          <w:szCs w:val="24"/>
        </w:rPr>
        <w:t xml:space="preserve"> —— 在 v2.14 的設定下，1.10 給 1.91 %/月、1.24 給 0.91 —— 設定點附近是一個陡峭的過渡，這是 E6 的關鍵發現之一。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h_S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h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3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1 | 6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力學抑制 SOST 的 Hill 係數。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delta_S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delta_S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0.2 | 5.0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硬化蛋白清除速率。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delta_ab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delta_ab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1.764614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0.02 | 2.0 | 校正（calibrated）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抗硬化蛋白抗體（romosozumab）所誘發的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額外</w:t>
      </w:r>
      <w:r>
        <w:rPr>
          <w:rFonts w:ascii="PingFang TC" w:cs="PingFang TC" w:eastAsia="PingFang TC" w:hAnsi="PingFang TC"/>
          <w:sz w:val="24"/>
          <w:szCs w:val="24"/>
        </w:rPr>
        <w:t xml:space="preserve">硬化蛋白清除。v2.14（P5k）校正，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v2.24（P5o）重擬為 1.7646</w:t>
      </w:r>
      <w:r>
        <w:rPr>
          <w:rFonts w:ascii="PingFang TC" w:cs="PingFang TC" w:eastAsia="PingFang TC" w:hAnsi="PingFang TC"/>
          <w:sz w:val="24"/>
          <w:szCs w:val="24"/>
        </w:rPr>
        <w:t xml:space="preserve">；使小樑腔室的 V8 = +12.46 %。P5l 期間曾短暫調為 1.65，kappa_E 的改動撤回後也隨之復原。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僅在用藥期間作用</w:t>
      </w:r>
      <w:r>
        <w:rPr>
          <w:rFonts w:ascii="PingFang TC" w:cs="PingFang TC" w:eastAsia="PingFang TC" w:hAnsi="PingFang TC"/>
          <w:sz w:val="24"/>
          <w:szCs w:val="24"/>
        </w:rPr>
        <w:t xml:space="preserve">，因此 V1、V2、V7 與 V6/V14 盲測都不受它影響。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sost_reb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A_max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1.81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0.0 | 3.0 | 校正（calibrated）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持續抗體暴露下，SOST 轉錄代償性上調的平台值。在基線與每一個未治療情境中 A = 0，因此 V1、V2、V7、V6、V14 在結構上不受影響。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v2.14（P5k）重擬，當時它也失去了對 V16 的大部分槓桿</w:t>
      </w:r>
      <w:r>
        <w:rPr>
          <w:rFonts w:ascii="PingFang TC" w:cs="PingFang TC" w:eastAsia="PingFang TC" w:hAnsi="PingFang TC"/>
          <w:sz w:val="24"/>
          <w:szCs w:val="24"/>
        </w:rPr>
        <w:t xml:space="preserve">：上調 33 % 只讓 V16 移動 0.019，因為重建後的鈣耦合壓制吸收過衝的速度快過反彈能推動的速度。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v2.24（P5p）移出自由參數清單</w:t>
      </w:r>
      <w:r>
        <w:rPr>
          <w:rFonts w:ascii="PingFang TC" w:cs="PingFang TC" w:eastAsia="PingFang TC" w:hAnsi="PingFang TC"/>
          <w:sz w:val="24"/>
          <w:szCs w:val="24"/>
        </w:rPr>
        <w:t xml:space="preserve">（附錄 C35.2）：實測它在整個 0–3 範圍內只讓 V16 移動 0.04，卻讓 V8 由 63.6 % 變到 0.47 % —— 它其實是第二個 V8 旋鈕、與 delta_ab 簡併，而標的集裡沒有任何東西能把兩者分開。固定在 P5h 的值，由 delta_ab 單獨承載 V8。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tau_reb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tau_reb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120.0</w:t>
      </w:r>
      <w:r>
        <w:rPr>
          <w:rFonts w:ascii="PingFang TC" w:cs="PingFang TC" w:eastAsia="PingFang TC" w:hAnsi="PingFang TC"/>
          <w:sz w:val="24"/>
          <w:szCs w:val="24"/>
        </w:rPr>
        <w:t xml:space="preserve"> | day | 30.0 | 365.0 | 文獻（literature）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SOST 代償性上調的鬆弛時間常數（v2.10 加入）。依 romosozumab 停藥後反彈的臨床時程設定：CTX 在最後一劑後約 3 個月達峰、約 12 個月回到基線，對應約 120 天的時間常數。界限跨 1–12 個月。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K_P_sost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K_P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91.39865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0.2 | 100 | 校正（calibrated）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PTH 抑制 SOST 的半飽和常數。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v2.14（P5k）重擬時位於其上界</w:t>
      </w:r>
      <w:r>
        <w:rPr>
          <w:rFonts w:ascii="PingFang TC" w:cs="PingFang TC" w:eastAsia="PingFang TC" w:hAnsi="PingFang TC"/>
          <w:sz w:val="24"/>
          <w:szCs w:val="24"/>
        </w:rPr>
        <w:t xml:space="preserve">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v2.24（P5o）再次重擬為 91.40，首次落在界內</w:t>
      </w:r>
      <w:r>
        <w:rPr>
          <w:rFonts w:ascii="PingFang TC" w:cs="PingFang TC" w:eastAsia="PingFang TC" w:hAnsi="PingFang TC"/>
          <w:sz w:val="24"/>
          <w:szCs w:val="24"/>
        </w:rPr>
        <w:t xml:space="preserve">。解讀不變，而且它從來不是任意的釘死：大值代表 PTH 對 SOST 的抑制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弱</w:t>
      </w:r>
      <w:r>
        <w:rPr>
          <w:rFonts w:ascii="PingFang TC" w:cs="PingFang TC" w:eastAsia="PingFang TC" w:hAnsi="PingFang TC"/>
          <w:sz w:val="24"/>
          <w:szCs w:val="24"/>
        </w:rPr>
        <w:t xml:space="preserve">，因此擬合等於在要求這條路徑實質上不存在 —— 這正是 Lemaire 與 Pivonka 以省略之的方式所做的選擇。該臂與 V7 相反（鈣高 → PTH 低 → 硬化蛋白會上升），所以把它關掉才讓 V7 在血鈣被正確調控後仍能達標。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lambda_T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lambda_T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2.0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0.0 | 10.0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TNF-α 上調 SOST 的最大倍率。有與 lambda_E 互相補償的風險，因此需要 profile likelihood。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K_T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K_T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0.5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0.1 | 2.0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TNF-α 作用的半飽和常數。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k_T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k_T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0.2 | 5.0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雌激素缺乏下的 TNF-α 生成速率。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K_E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K_E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0.5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0.1 | 2.0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雌激素抑制 TNF-α 的半飽和常數（E2 已無因次化，停經前 = 1）。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n_E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n_E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2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1 | 4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雌激素抑制 TNF-α 的 Hill 係數。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delta_T_tnf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delta_T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0.2 | 5.0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TNF-α 清除速率。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n_ot_0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n_ot0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1.0 | 1.0 | 定義用常數（fixed）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基線骨細胞密度（經無因次化定義為 1）。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n_ot_max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n_ot_max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1.2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1.05 | 2.0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骨細胞密度的上界。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k_ot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k_ot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1.111198e-03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1.0e-5 | 1.0e-2 | 導出（derived）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骨形成期間的骨細胞掩埋速率。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v2.24 起為導出量而非自由參數</w:t>
      </w:r>
      <w:r>
        <w:rPr>
          <w:rFonts w:ascii="PingFang TC" w:cs="PingFang TC" w:eastAsia="PingFang TC" w:hAnsi="PingFang TC"/>
          <w:sz w:val="24"/>
          <w:szCs w:val="24"/>
        </w:rPr>
        <w:t xml:space="preserve">（P5o，附錄 C34）—— 見 </w:t>
      </w:r>
      <w:r>
        <w:rPr>
          <w:rFonts w:ascii="Courier New" w:cs="Courier New" w:eastAsia="Courier New" w:hAnsi="Courier New"/>
          <w:sz w:val="24"/>
          <w:szCs w:val="24"/>
        </w:rPr>
        <w:t xml:space="preserve">osteocyteBurialRate.m</w:t>
      </w:r>
      <w:r>
        <w:rPr>
          <w:rFonts w:ascii="PingFang TC" w:cs="PingFang TC" w:eastAsia="PingFang TC" w:hAnsi="PingFang TC"/>
          <w:sz w:val="24"/>
          <w:szCs w:val="24"/>
        </w:rPr>
        <w:t xml:space="preserve">。基線平衡由此常數決定 gamma_eff，所以 k_ot 實際設定的是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整個骨細胞族群的周轉率</w:t>
      </w:r>
      <w:r>
        <w:rPr>
          <w:rFonts w:ascii="PingFang TC" w:cs="PingFang TC" w:eastAsia="PingFang TC" w:hAnsi="PingFang TC"/>
          <w:sz w:val="24"/>
          <w:szCs w:val="24"/>
        </w:rPr>
        <w:t xml:space="preserve">，而那並不自由：骨細胞是在其所在的骨被吸收時離開組織的，因此它必須等於骨自身的周轉率。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放任自由時並非如此。</w:t>
      </w:r>
      <w:r>
        <w:rPr>
          <w:rFonts w:ascii="PingFang TC" w:cs="PingFang TC" w:eastAsia="PingFang TC" w:hAnsi="PingFang TC"/>
          <w:sz w:val="24"/>
          <w:szCs w:val="24"/>
        </w:rPr>
        <w:t xml:space="preserve"> 出貨值直到 v2.23 都是 0.5，當時模型以每天 1.93e-4 的速率吸收骨（V1 = 7.33 %/yr），卻以每天 9.9e-2 的速率移除骨細胞 ——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相差 514 倍</w:t>
      </w:r>
      <w:r>
        <w:rPr>
          <w:rFonts w:ascii="PingFang TC" w:cs="PingFang TC" w:eastAsia="PingFang TC" w:hAnsi="PingFang TC"/>
          <w:sz w:val="24"/>
          <w:szCs w:val="24"/>
        </w:rPr>
        <w:t xml:space="preserve">，骨細胞平均停留時間成了 10 天而非數年。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Buenzli &amp; Sims 2015</w:t>
      </w:r>
      <w:r>
        <w:rPr>
          <w:rFonts w:ascii="PingFang TC" w:cs="PingFang TC" w:eastAsia="PingFang TC" w:hAnsi="PingFang TC"/>
          <w:sz w:val="24"/>
          <w:szCs w:val="24"/>
        </w:rPr>
        <w:t xml:space="preserve">（Bone 75:144-150, doi 10.1016/j.bone.2015.02.016）獨立確認：成人骨骼 420 億個骨細胞、每天補充 910 萬個，即每天 2.167e-4、停留 12.6 年。反解平衡式 k_ot = (turnoverRate/100/365 + delta_ot_0)·n_ot_0/(n_ot_max − n_ot_0)，使該矛盾在建構上不可能發生，並自動帶出皮質／小樑的分腔室差異（trabecularParams 把 k_res 校到 20 %/yr，對照皮質的 7 %/yr）。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儲存的是皮質值，且每當 k_res 改變時必須與 k_form 一同重寫。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gamma_ot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gamma_ot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0.1 | 10.0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骨吸收移除骨細胞的比例係數。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delta_ot_0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delta_ot0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2.14e-5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0.0 | 2.0e-4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基礎骨細胞凋亡速率：骨細胞移除中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非吸收</w:t>
      </w:r>
      <w:r>
        <w:rPr>
          <w:rFonts w:ascii="PingFang TC" w:cs="PingFang TC" w:eastAsia="PingFang TC" w:hAnsi="PingFang TC"/>
          <w:sz w:val="24"/>
          <w:szCs w:val="24"/>
        </w:rPr>
        <w:t xml:space="preserve">的那一臂。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v2.24（P5o，附錄 C34）由 0.001 /day 重新標定</w:t>
      </w:r>
      <w:r>
        <w:rPr>
          <w:rFonts w:ascii="PingFang TC" w:cs="PingFang TC" w:eastAsia="PingFang TC" w:hAnsi="PingFang TC"/>
          <w:sz w:val="24"/>
          <w:szCs w:val="24"/>
        </w:rPr>
        <w:t xml:space="preserve"> —— 該舊值在 k_ot 修正後已超過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整個</w:t>
      </w:r>
      <w:r>
        <w:rPr>
          <w:rFonts w:ascii="PingFang TC" w:cs="PingFang TC" w:eastAsia="PingFang TC" w:hAnsi="PingFang TC"/>
          <w:sz w:val="24"/>
          <w:szCs w:val="24"/>
        </w:rPr>
        <w:t xml:space="preserve">骨細胞移除率，會把 gamma_eff 逼成零。設定使凋亡佔骨細胞移除的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10 %</w:t>
      </w:r>
      <w:r>
        <w:rPr>
          <w:rFonts w:ascii="PingFang TC" w:cs="PingFang TC" w:eastAsia="PingFang TC" w:hAnsi="PingFang TC"/>
          <w:sz w:val="24"/>
          <w:szCs w:val="24"/>
        </w:rPr>
        <w:t xml:space="preserve">，即 delta_ot_0 = gamma_eff/9，其中 gamma_eff = 1.927e-4 /day（v2.23 校正時的骨轉換率）。P5o 重擬把 V1 提高到 7.33 %/yr、gamma_eff 提高到 2.01e-4 /day，使凋亡佔比由 10 % 變為 9.6 %；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維持原值</w:t>
      </w:r>
      <w:r>
        <w:rPr>
          <w:rFonts w:ascii="PingFang TC" w:cs="PingFang TC" w:eastAsia="PingFang TC" w:hAnsi="PingFang TC"/>
          <w:sz w:val="24"/>
          <w:szCs w:val="24"/>
        </w:rPr>
        <w:t xml:space="preserve">，因為附錄 C34.4 量測到模型對此比例在 1–25 % 範圍內不敏感。這 10 % 在「佔據率 = gamma/(gamma+delta)」的定常危險率讀法下，對應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90 % 的陷窩佔據率</w:t>
      </w:r>
      <w:r>
        <w:rPr>
          <w:rFonts w:ascii="PingFang TC" w:cs="PingFang TC" w:eastAsia="PingFang TC" w:hAnsi="PingFang TC"/>
          <w:sz w:val="24"/>
          <w:szCs w:val="24"/>
        </w:rPr>
        <w:t xml:space="preserve">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未找到基礎骨細胞凋亡速率的直接出處。</w:t>
      </w:r>
      <w:r>
        <w:rPr>
          <w:rFonts w:ascii="PingFang TC" w:cs="PingFang TC" w:eastAsia="PingFang TC" w:hAnsi="PingFang TC"/>
          <w:sz w:val="24"/>
          <w:szCs w:val="24"/>
        </w:rPr>
        <w:t xml:space="preserve"> 最接近的可測代理是佔據率本身：Power et al. 2001（Calcif Tissue Int 69:13-19）在老年股骨頸皮質報告 12.4–99.2 %，且與局部骨轉換相關，因此在慢周轉的骨中原位死亡顯然不可忽略；但模型不追蹤空陷窩，故此為背景而非代入值。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lambda_ot_mech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lambda_ot_mech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0.0 | 200.0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完全</w:t>
      </w:r>
      <w:r>
        <w:rPr>
          <w:rFonts w:ascii="PingFang TC" w:cs="PingFang TC" w:eastAsia="PingFang TC" w:hAnsi="PingFang TC"/>
          <w:sz w:val="24"/>
          <w:szCs w:val="24"/>
        </w:rPr>
        <w:t xml:space="preserve">機械卸載時骨細胞凋亡的誘導倍率：apop = delta_ot_0·(E2_0/E2)·(1 + lambda_ot_mech·max(0, 1 − D_eff_hat))。v2.23（P5n″）加入。寫在劑量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缺口</w:t>
      </w:r>
      <w:r>
        <w:rPr>
          <w:rFonts w:ascii="PingFang TC" w:cs="PingFang TC" w:eastAsia="PingFang TC" w:hAnsi="PingFang TC"/>
          <w:sz w:val="24"/>
          <w:szCs w:val="24"/>
        </w:rPr>
        <w:t xml:space="preserve">上，故該因子在基線與任何非機械卸載情境下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恰為 1</w:t>
      </w:r>
      <w:r>
        <w:rPr>
          <w:rFonts w:ascii="PingFang TC" w:cs="PingFang TC" w:eastAsia="PingFang TC" w:hAnsi="PingFang TC"/>
          <w:sz w:val="24"/>
          <w:szCs w:val="24"/>
        </w:rPr>
        <w:t xml:space="preserve">。目的：讓驅動 lambda_apop 的骨細胞缺口變成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廢用專屬</w:t>
      </w:r>
      <w:r>
        <w:rPr>
          <w:rFonts w:ascii="PingFang TC" w:cs="PingFang TC" w:eastAsia="PingFang TC" w:hAnsi="PingFang TC"/>
          <w:sz w:val="24"/>
          <w:szCs w:val="24"/>
        </w:rPr>
        <w:t xml:space="preserve">的。沒有它，唯一會降低 n_ot 的就是吸收本身（附錄 C31.1：凋亡項原本只看雌激素），這會把凋亡 RANKL 臂變成在每個情境都作用的吸收放大器。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以 0 值出貨</w:t>
      </w:r>
      <w:r>
        <w:rPr>
          <w:rFonts w:ascii="PingFang TC" w:cs="PingFang TC" w:eastAsia="PingFang TC" w:hAnsi="PingFang TC"/>
          <w:sz w:val="24"/>
          <w:szCs w:val="24"/>
        </w:rPr>
        <w:t xml:space="preserve">（附錄 C33）。專一性確實如設計運作 —— 提高到 200 會使 180 天廢用的骨細胞缺口由 20.7 % 加深到 51.0 %，同時低鈣臂只到 0.6 % ——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但它救不回取捨</w:t>
      </w:r>
      <w:r>
        <w:rPr>
          <w:rFonts w:ascii="PingFang TC" w:cs="PingFang TC" w:eastAsia="PingFang TC" w:hAnsi="PingFang TC"/>
          <w:sz w:val="24"/>
          <w:szCs w:val="24"/>
        </w:rPr>
        <w:t xml:space="preserve">：針對每個設定重擬 lambda_apop 使 V2 維持 1.20，即使誘導倍率 200 也只讓所需的 lambda_apop 由 8.70 降到 5.42，而 V7 反而由 7.95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惡化</w:t>
      </w:r>
      <w:r>
        <w:rPr>
          <w:rFonts w:ascii="PingFang TC" w:cs="PingFang TC" w:eastAsia="PingFang TC" w:hAnsi="PingFang TC"/>
          <w:sz w:val="24"/>
          <w:szCs w:val="24"/>
        </w:rPr>
        <w:t xml:space="preserve">到 41.87、平台斜率由 −3.60 惡化到 −20.95 %/yr。原因在於規模：k_ot·(n_ot_max − n_ot_0)/n_ot_0 為 0.1 /day，而 delta_ot_0 為 0.001 /day，因此凋亡只佔骨細胞移除的 1 %，任何生理量級的倍率幾乎推不動 n_ot。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注意 source 欄是 assumed</w:t>
      </w:r>
      <w:r>
        <w:rPr>
          <w:rFonts w:ascii="PingFang TC" w:cs="PingFang TC" w:eastAsia="PingFang TC" w:hAnsi="PingFang TC"/>
          <w:sz w:val="24"/>
          <w:szCs w:val="24"/>
        </w:rPr>
        <w:t xml:space="preserve">：我們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沒有</w:t>
      </w:r>
      <w:r>
        <w:rPr>
          <w:rFonts w:ascii="PingFang TC" w:cs="PingFang TC" w:eastAsia="PingFang TC" w:hAnsi="PingFang TC"/>
          <w:sz w:val="24"/>
          <w:szCs w:val="24"/>
        </w:rPr>
        <w:t xml:space="preserve">查證過任何已發表的「卸載誘發骨細胞凋亡」倍率，200 是為了把這條路推到極限而取的探測值，不是生理主張。正式排除這條路徑需要先取得該倍率的出處。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zeta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zeta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1.5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1.0 | 2.0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力學感測增益 (n_ot/n_ot0)^zeta 的指數。這是 P3 正回饋的強度，在 E6 中掃描而非擬合。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L_0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L_0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0.5 | 2.0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基線 RANKL 表現量（無因次）。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lambda_S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lambda_S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3.0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0.5 | 10.0 | Wijenayaka2011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硬化蛋白上調 RANKL 的最大倍率。方向與數量級依循所報告之破骨活性約 7 倍的增加。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K_L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K_L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0.5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0.1 | 2.0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硬化蛋白上調 RANKL 的半飽和常數。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lambda_P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lambda_P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6.980592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0.5 | 10.0 | 校正（calibrated）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PTH 上調 RANKL 的最大倍率。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v2.14（P5k）重擬。</w:t>
      </w:r>
      <w:r>
        <w:rPr>
          <w:rFonts w:ascii="PingFang TC" w:cs="PingFang TC" w:eastAsia="PingFang TC" w:hAnsi="PingFang TC"/>
          <w:sz w:val="24"/>
          <w:szCs w:val="24"/>
        </w:rPr>
        <w:t xml:space="preserve"> 這個參數現在位於一個舊的解耦模組看不見的真實衝突中心：提高它有利 V7（鈣抑制 PTH，因而保護骨）、不利 V16（停藥後的鈣湧入抑制 PTH，因而壓制吸收過衝）。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沒有任何值能同時滿足兩者</w:t>
      </w:r>
      <w:r>
        <w:rPr>
          <w:rFonts w:ascii="PingFang TC" w:cs="PingFang TC" w:eastAsia="PingFang TC" w:hAnsi="PingFang TC"/>
          <w:sz w:val="24"/>
          <w:szCs w:val="24"/>
        </w:rPr>
        <w:t xml:space="preserve"> —— V7 需要約 7 以上，V16 需要約 4 以下。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v2.24（P5o）重擬為 6.98</w:t>
      </w:r>
      <w:r>
        <w:rPr>
          <w:rFonts w:ascii="PingFang TC" w:cs="PingFang TC" w:eastAsia="PingFang TC" w:hAnsi="PingFang TC"/>
          <w:sz w:val="24"/>
          <w:szCs w:val="24"/>
        </w:rPr>
        <w:t xml:space="preserve">，使 V7 與 V16 都落在帶外（見附錄 C27.5、C35）。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K_PL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K_PL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0.2 | 5.0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PTH 上調 RANKL 的半飽和常數。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lambda_E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lambda_E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0.3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0.0 | 0.8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雌激素直接抑制 RANKL 的係數。有與 lambda_T 互相補償的風險，因此兩者不得同時開放擬合。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O_0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O_0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0.5 | 2.0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基線 OPG 表現量（無因次）。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lambda_beta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lambda_beta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2.0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0.5 | 10.0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β-catenin 上調 OPG 的最大倍率。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K_beta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K_beta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0.5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0.1 | 2.0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β-catenin 上調 OPG 的半飽和常數。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lambda_apop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lambda_apop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0.0 | 10.0 | 校正（calibrated）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每單位骨細胞缺口對 RANKL 的上調倍率：gA = 1 + lambda_apop·max(0, 1 − n_ot/n_ot_0)。v2.23（P5n′，附錄 C32）加入。凋亡與瀕死的骨細胞會直接釋出 RANKL、造成標定性吸收；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這是唯一一條不經過硬化蛋白的廢用路徑</w:t>
      </w:r>
      <w:r>
        <w:rPr>
          <w:rFonts w:ascii="PingFang TC" w:cs="PingFang TC" w:eastAsia="PingFang TC" w:hAnsi="PingFang TC"/>
          <w:sz w:val="24"/>
          <w:szCs w:val="24"/>
        </w:rPr>
        <w:t xml:space="preserve">，這正是它被選中的理由。C31.4 量得 SOST 的力學臂在 180 天臥床後達到其絕對上限的 99.97 %，因此任何經由感測的機制都已飽和、供給不了額外的廢用流失。該項寫在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缺口</w:t>
      </w:r>
      <w:r>
        <w:rPr>
          <w:rFonts w:ascii="PingFang TC" w:cs="PingFang TC" w:eastAsia="PingFang TC" w:hAnsi="PingFang TC"/>
          <w:sz w:val="24"/>
          <w:szCs w:val="24"/>
        </w:rPr>
        <w:t xml:space="preserve">上，故 gA(n_ot_0) 恰為 1，基線與每一個非廢用情境都不變 —— 與 delta_ab 及 A_reb 同一種構造。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以 0 值出貨，而理由就是結果</w:t>
      </w:r>
      <w:r>
        <w:rPr>
          <w:rFonts w:ascii="PingFang TC" w:cs="PingFang TC" w:eastAsia="PingFang TC" w:hAnsi="PingFang TC"/>
          <w:sz w:val="24"/>
          <w:szCs w:val="24"/>
        </w:rPr>
        <w:t xml:space="preserve">（附錄 C33、C35.6）。該項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確實有效</w:t>
      </w:r>
      <w:r>
        <w:rPr>
          <w:rFonts w:ascii="PingFang TC" w:cs="PingFang TC" w:eastAsia="PingFang TC" w:hAnsi="PingFang TC"/>
          <w:sz w:val="24"/>
          <w:szCs w:val="24"/>
        </w:rPr>
        <w:t xml:space="preserve">：在 s2_Sv 取實測的 0.5 時，lambda_apop = 6 會讓 V2 回到 1.023 %/月，那是模型首次以實測指數達成廢用標的。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代價是 V7 的平台</w:t>
      </w:r>
      <w:r>
        <w:rPr>
          <w:rFonts w:ascii="PingFang TC" w:cs="PingFang TC" w:eastAsia="PingFang TC" w:hAnsi="PingFang TC"/>
          <w:sz w:val="24"/>
          <w:szCs w:val="24"/>
        </w:rPr>
        <w:t xml:space="preserve"> —— </w:t>
      </w:r>
      <w:r>
        <w:rPr>
          <w:rFonts w:ascii="Courier New" w:cs="Courier New" w:eastAsia="Courier New" w:hAnsi="Courier New"/>
          <w:sz w:val="24"/>
          <w:szCs w:val="24"/>
        </w:rPr>
        <w:t xml:space="preserve">validation_targets.csv</w:t>
      </w:r>
      <w:r>
        <w:rPr>
          <w:rFonts w:ascii="PingFang TC" w:cs="PingFang TC" w:eastAsia="PingFang TC" w:hAnsi="PingFang TC"/>
          <w:sz w:val="24"/>
          <w:szCs w:val="24"/>
        </w:rPr>
        <w:t xml:space="preserve"> 稱之為硬要求，也是 P1 子句 1 的內容：低鈣臂在 2.5 年時仍以 −0.54 %/yr 下滑（對照 −0.14），鈣缺乏變成累進性的，chi² 由 3.44 變成 92.96。病因是 gA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並非</w:t>
      </w:r>
      <w:r>
        <w:rPr>
          <w:rFonts w:ascii="PingFang TC" w:cs="PingFang TC" w:eastAsia="PingFang TC" w:hAnsi="PingFang TC"/>
          <w:sz w:val="24"/>
          <w:szCs w:val="24"/>
        </w:rPr>
        <w:t xml:space="preserve">像 delta_ab 那樣情境專屬：它的驅動量是骨細胞缺口，而本模型中唯一製造缺口的是吸收本身，所以它是在每個情境都作用的「吸收→RANKL→吸收」放大器。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P5o 之後重新量測，結論更強</w:t>
      </w:r>
      <w:r>
        <w:rPr>
          <w:rFonts w:ascii="PingFang TC" w:cs="PingFang TC" w:eastAsia="PingFang TC" w:hAnsi="PingFang TC"/>
          <w:sz w:val="24"/>
          <w:szCs w:val="24"/>
        </w:rPr>
        <w:t xml:space="preserve">：修正 k_ot 後，廢用 180 天的骨細胞缺口由 20.7 % 變成 2.24 %，lambda_apop 即使推到上界 10 也只讓 V2 到 0.496 ——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那 20.7 % 本身就是 514 倍假象的產物</w:t>
      </w:r>
      <w:r>
        <w:rPr>
          <w:rFonts w:ascii="PingFang TC" w:cs="PingFang TC" w:eastAsia="PingFang TC" w:hAnsi="PingFang TC"/>
          <w:sz w:val="24"/>
          <w:szCs w:val="24"/>
        </w:rPr>
        <w:t xml:space="preserve">。程式保留是因為它現在是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被測過的路</w:t>
      </w:r>
      <w:r>
        <w:rPr>
          <w:rFonts w:ascii="PingFang TC" w:cs="PingFang TC" w:eastAsia="PingFang TC" w:hAnsi="PingFang TC"/>
          <w:sz w:val="24"/>
          <w:szCs w:val="24"/>
        </w:rPr>
        <w:t xml:space="preserve">，由 </w:t>
      </w:r>
      <w:r>
        <w:rPr>
          <w:rFonts w:ascii="Courier New" w:cs="Courier New" w:eastAsia="Courier New" w:hAnsi="Courier New"/>
          <w:sz w:val="24"/>
          <w:szCs w:val="24"/>
        </w:rPr>
        <w:t xml:space="preserve">test_apoptoticArm.m</w:t>
      </w:r>
      <w:r>
        <w:rPr>
          <w:rFonts w:ascii="PingFang TC" w:cs="PingFang TC" w:eastAsia="PingFang TC" w:hAnsi="PingFang TC"/>
          <w:sz w:val="24"/>
          <w:szCs w:val="24"/>
        </w:rPr>
        <w:t xml:space="preserve"> 守住。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M5 — Wnt / β-catenin（5 項）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W_0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W_0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0.5 | 2.0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基線 Wnt 訊號強度（無因次）。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K_W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K_W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0.5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0.1 | 2.0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硬化蛋白抑制 Wnt 的半飽和常數。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m_W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m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2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1 | 4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硬化蛋白抑制 Wnt 的 Hill 係數。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k_beta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k_beta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0.2 | 5.0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β-catenin 生成速率。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delta_beta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delta_beta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0.2 | 5.0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β-catenin 降解速率。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M6 — 細胞族群（13 項）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D_R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D_R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7.0e-4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1.0e-4 | 1.0e-2 | Pivonka2008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成骨細胞前驅分化的時間尺度（= D_OBu，Pivonka Table 3）。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v2.15 驗證</w:t>
      </w:r>
      <w:r>
        <w:rPr>
          <w:rFonts w:ascii="PingFang TC" w:cs="PingFang TC" w:eastAsia="PingFang TC" w:hAnsi="PingFang TC"/>
          <w:sz w:val="24"/>
          <w:szCs w:val="24"/>
        </w:rPr>
        <w:t xml:space="preserve">：Lemaire 2004 Appendix A.3 給 D_R = 7e-4 pM/day，一致。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D_B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D_B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5.348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1.0e-1 | 1.0e1 | Pivonka2008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成骨細胞分化的時間尺度（= D_OBp，Pivonka Table 3）。v1.9 由 7e-4 更正，差約 7600 倍 —— 反應性成骨細胞分化得非常快。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不要</w:t>
      </w:r>
      <w:r>
        <w:rPr>
          <w:rFonts w:ascii="PingFang TC" w:cs="PingFang TC" w:eastAsia="PingFang TC" w:hAnsi="PingFang TC"/>
          <w:sz w:val="24"/>
          <w:szCs w:val="24"/>
        </w:rPr>
        <w:t xml:space="preserve">把它「更正」成 Lemaire 的值：Lemaire 給 D_B = f0·d_B = 0.035，但 Pivonka 2008 以不同的無因次化與一個顯式 TGF-β 項改寫了模型，因此速率常數不可互換。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D_C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D_C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0.210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1.0e-2 | 1.0e0 | Pivonka2008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破骨細胞前驅分化的時間尺度（= D_OCp，Pivonka Table 3）。v1.9 由 2.1e-3 更正，差 100 倍。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不要</w:t>
      </w:r>
      <w:r>
        <w:rPr>
          <w:rFonts w:ascii="PingFang TC" w:cs="PingFang TC" w:eastAsia="PingFang TC" w:hAnsi="PingFang TC"/>
          <w:sz w:val="24"/>
          <w:szCs w:val="24"/>
        </w:rPr>
        <w:t xml:space="preserve">把它改回 Lemaire 的 2.1e-3：那與 D_B 是同一個參數化差異。見 </w:t>
      </w:r>
      <w:r>
        <w:rPr>
          <w:rFonts w:ascii="Courier New" w:cs="Courier New" w:eastAsia="Courier New" w:hAnsi="Courier New"/>
          <w:sz w:val="24"/>
          <w:szCs w:val="24"/>
        </w:rPr>
        <w:t xml:space="preserve">data/reference_parameters.md</w:t>
      </w:r>
      <w:r>
        <w:rPr>
          <w:rFonts w:ascii="PingFang TC" w:cs="PingFang TC" w:eastAsia="PingFang TC" w:hAnsi="PingFang TC"/>
          <w:sz w:val="24"/>
          <w:szCs w:val="24"/>
        </w:rPr>
        <w:t xml:space="preserve">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D_A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D_A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0.7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0.1 | 5.0 | Pivonka2008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TGF-β 所致的破骨細胞凋亡速率（= A_OCa，Pivonka Table 3；Lemaire Appendix A.3 中的 D_A）。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v2.15 對照 Lemaire 2004 全文驗證文獻值</w:t>
      </w:r>
      <w:r>
        <w:rPr>
          <w:rFonts w:ascii="PingFang TC" w:cs="PingFang TC" w:eastAsia="PingFang TC" w:hAnsi="PingFang TC"/>
          <w:sz w:val="24"/>
          <w:szCs w:val="24"/>
        </w:rPr>
        <w:t xml:space="preserve">：兩篇都給 0.7/day。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任何程式都不讀它</w:t>
      </w:r>
      <w:r>
        <w:rPr>
          <w:rFonts w:ascii="PingFang TC" w:cs="PingFang TC" w:eastAsia="PingFang TC" w:hAnsi="PingFang TC"/>
          <w:sz w:val="24"/>
          <w:szCs w:val="24"/>
        </w:rPr>
        <w:t xml:space="preserve"> —— M6 已改寫為基線相對形式，絕對凋亡速率被吸收進 D_C 的時間尺度，此名稱僅存於註解。保留作為出處紀錄。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k_B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k_B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0.189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0.02 | 1.0 | Pivonka2008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活化成骨細胞的消除速率（= A_OBa，Pivonka Table 3；Lemaire Appendix A.3 中的 k_B）。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v2.15 對照 Lemaire 2004 全文驗證文獻值</w:t>
      </w:r>
      <w:r>
        <w:rPr>
          <w:rFonts w:ascii="PingFang TC" w:cs="PingFang TC" w:eastAsia="PingFang TC" w:hAnsi="PingFang TC"/>
          <w:sz w:val="24"/>
          <w:szCs w:val="24"/>
        </w:rPr>
        <w:t xml:space="preserve">：兩篇都給 0.189/day。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任何程式都不讀它</w:t>
      </w:r>
      <w:r>
        <w:rPr>
          <w:rFonts w:ascii="PingFang TC" w:cs="PingFang TC" w:eastAsia="PingFang TC" w:hAnsi="PingFang TC"/>
          <w:sz w:val="24"/>
          <w:szCs w:val="24"/>
        </w:rPr>
        <w:t xml:space="preserve"> —— 見 D_A；M6 的基線相對形式把它吸收進 D_B。保留作為出處紀錄。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K_L3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K_L3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0.2 | 5.0 | Pivonka2008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RANKL 對破骨細胞分化的半飽和常數，位於集總 Hill 形式 pi_L = L/(K_L3 + L + kappa_OPG·O) 中。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v2.15 依已持有的 Pivonka 2008 與 Lemaire 2004 全文收窄，但尚未完全解決。</w:t>
      </w:r>
      <w:r>
        <w:rPr>
          <w:rFonts w:ascii="PingFang TC" w:cs="PingFang TC" w:eastAsia="PingFang TC" w:hAnsi="PingFang TC"/>
          <w:sz w:val="24"/>
          <w:szCs w:val="24"/>
        </w:rPr>
        <w:t xml:space="preserve"> 兩篇都使用顯式競爭結合，其佔據率為 L/(1/K_A2 + L + (K_A1/K_A2)·O)，其中 K_A2 = 3.412e-2 /pM（RANKL–RANK）、K_A1 = 1.0e-3 /pM（OPG–RANKL）。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kappa_OPG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kappa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0.1 | 10.0 | Pivonka2008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OPG 對 RANKL 的競爭抑制係數。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v2.15 與 K_L3 一併收窄</w:t>
      </w:r>
      <w:r>
        <w:rPr>
          <w:rFonts w:ascii="PingFang TC" w:cs="PingFang TC" w:eastAsia="PingFang TC" w:hAnsi="PingFang TC"/>
          <w:sz w:val="24"/>
          <w:szCs w:val="24"/>
        </w:rPr>
        <w:t xml:space="preserve">，同一推導：kappa_OPG = K_L3·K_A1·O_0，因此文獻真正約束的是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比值</w:t>
      </w:r>
      <w:r>
        <w:rPr>
          <w:rFonts w:ascii="PingFang TC" w:cs="PingFang TC" w:eastAsia="PingFang TC" w:hAnsi="PingFang TC"/>
          <w:sz w:val="24"/>
          <w:szCs w:val="24"/>
        </w:rPr>
        <w:t xml:space="preserve"> kappa_OPG/K_L3 = K_A1·O_0，其中 K_A1 = 1.0e-3 /pM。現行的一對值（K_L3 = kappa_OPG = 1）因而隱含基線 OPG 約 1000 pM —— 這就是未來的出處應該去核對的具體主張。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gamma_beta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gamma_beta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0.0 | 10.0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β-catenin 促進成骨細胞前驅增殖的係數。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gamma_surv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gamma_surv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0.0 | 10.0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β-catenin 促進成骨細胞存活的係數。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C_s_TGF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C_s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4.545e-3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1.0e-4 | 1.0e-1 | Pivonka2008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TGF-β 活化係數（= K_D1,TGF-β，Pivonka Table 3；Lemaire 中的 C^s，其給 5e-3）。v1.9 由 5e-3 改為 4.545e-3 以follow Pivonka 的參數化，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不是</w:t>
      </w:r>
      <w:r>
        <w:rPr>
          <w:rFonts w:ascii="PingFang TC" w:cs="PingFang TC" w:eastAsia="PingFang TC" w:hAnsi="PingFang TC"/>
          <w:sz w:val="24"/>
          <w:szCs w:val="24"/>
        </w:rPr>
        <w:t xml:space="preserve">一項更正。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R_0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R_0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7.734e-4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1.0e-5 | 1.0e-2 | Lemaire2004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反應性成骨細胞的基線濃度 [pM]。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v2.15 由 7.0e-4 更正</w:t>
      </w:r>
      <w:r>
        <w:rPr>
          <w:rFonts w:ascii="PingFang TC" w:cs="PingFang TC" w:eastAsia="PingFang TC" w:hAnsi="PingFang TC"/>
          <w:sz w:val="24"/>
          <w:szCs w:val="24"/>
        </w:rPr>
        <w:t xml:space="preserve">，那是一個抄寫失誤：7e-4 是同一張表相鄰列 D_R 的值，而 Lemaire 的穩態 R 是 7.734e-4。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僅為出處紀錄，任何程式都不讀</w:t>
      </w:r>
      <w:r>
        <w:rPr>
          <w:rFonts w:ascii="PingFang TC" w:cs="PingFang TC" w:eastAsia="PingFang TC" w:hAnsi="PingFang TC"/>
          <w:sz w:val="24"/>
          <w:szCs w:val="24"/>
        </w:rPr>
        <w:t xml:space="preserve"> —— M6 以基線相對單位運作（R、B、C 在基線為 1），絕對濃度從未被需要。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B_0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B_0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7.282e-4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1.0e-5 | 1.0e-2 | Lemaire2004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活化成骨細胞的基線濃度 [pM]。Lemaire 的精確值；此表先前帶的是四捨五入後的 7.3e-4。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僅為出處紀錄，任何程式都不讀</w:t>
      </w:r>
      <w:r>
        <w:rPr>
          <w:rFonts w:ascii="PingFang TC" w:cs="PingFang TC" w:eastAsia="PingFang TC" w:hAnsi="PingFang TC"/>
          <w:sz w:val="24"/>
          <w:szCs w:val="24"/>
        </w:rPr>
        <w:t xml:space="preserve"> —— M6 以基線相對單位運作。v2.15 對照 Lemaire 2004 全文驗證（Reference/10.pdf，已轉錄於 </w:t>
      </w:r>
      <w:r>
        <w:rPr>
          <w:rFonts w:ascii="Courier New" w:cs="Courier New" w:eastAsia="Courier New" w:hAnsi="Courier New"/>
          <w:sz w:val="24"/>
          <w:szCs w:val="24"/>
        </w:rPr>
        <w:t xml:space="preserve">data/reference_parameters.md</w:t>
      </w:r>
      <w:r>
        <w:rPr>
          <w:rFonts w:ascii="PingFang TC" w:cs="PingFang TC" w:eastAsia="PingFang TC" w:hAnsi="PingFang TC"/>
          <w:sz w:val="24"/>
          <w:szCs w:val="24"/>
        </w:rPr>
        <w:t xml:space="preserve">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C_0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C_0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9.127e-4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1.0e-5 | 1.0e-2 | Lemaire2004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活化破骨細胞的基線濃度 [pM]。Lemaire 的精確值；此表先前帶的是四捨五入後的 9.1e-4。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僅為出處紀錄，任何程式都不讀</w:t>
      </w:r>
      <w:r>
        <w:rPr>
          <w:rFonts w:ascii="PingFang TC" w:cs="PingFang TC" w:eastAsia="PingFang TC" w:hAnsi="PingFang TC"/>
          <w:sz w:val="24"/>
          <w:szCs w:val="24"/>
        </w:rPr>
        <w:t xml:space="preserve"> —— M6 以基線相對單位運作。v2.15 對照 Lemaire 2004 全文驗證（Reference/10.pdf）。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M7 — 結構與礦化（18 項）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k_form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k_form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3.748887e-07</w:t>
      </w:r>
      <w:r>
        <w:rPr>
          <w:rFonts w:ascii="PingFang TC" w:cs="PingFang TC" w:eastAsia="PingFang TC" w:hAnsi="PingFang TC"/>
          <w:sz w:val="24"/>
          <w:szCs w:val="24"/>
        </w:rPr>
        <w:t xml:space="preserve"> | m/day | 1.0e-9 | 1.0e-5 | 導出（derived）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每單位成骨細胞的表面沉積速率。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由 balanceBoneFormation(p) 依成人骨量平衡 d(A_g·f_bm)/dt = 0 導出</w:t>
      </w:r>
      <w:r>
        <w:rPr>
          <w:rFonts w:ascii="PingFang TC" w:cs="PingFang TC" w:eastAsia="PingFang TC" w:hAnsi="PingFang TC"/>
          <w:sz w:val="24"/>
          <w:szCs w:val="24"/>
        </w:rPr>
        <w:t xml:space="preserve">，因此它隨 k_res 移動，不是自由參數。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警告</w:t>
      </w:r>
      <w:r>
        <w:rPr>
          <w:rFonts w:ascii="PingFang TC" w:cs="PingFang TC" w:eastAsia="PingFang TC" w:hAnsi="PingFang TC"/>
          <w:sz w:val="24"/>
          <w:szCs w:val="24"/>
        </w:rPr>
        <w:t xml:space="preserve">：getDefaultParams 是從表中讀取此值而非重新導出，所以每當 k_res 或平衡式中任何東西改變時，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必須手動改寫</w:t>
      </w:r>
      <w:r>
        <w:rPr>
          <w:rFonts w:ascii="PingFang TC" w:cs="PingFang TC" w:eastAsia="PingFang TC" w:hAnsi="PingFang TC"/>
          <w:sz w:val="24"/>
          <w:szCs w:val="24"/>
        </w:rPr>
        <w:t xml:space="preserve">。v2.14（P5k）在 k_res 重擬後重算；</w:t>
      </w:r>
      <w:r>
        <w:rPr>
          <w:rFonts w:ascii="Courier New" w:cs="Courier New" w:eastAsia="Courier New" w:hAnsi="Courier New"/>
          <w:sz w:val="24"/>
          <w:szCs w:val="24"/>
        </w:rPr>
        <w:t xml:space="preserve">test_calibration/testFormationIsBoneMassBalanced</w:t>
      </w:r>
      <w:r>
        <w:rPr>
          <w:rFonts w:ascii="PingFang TC" w:cs="PingFang TC" w:eastAsia="PingFang TC" w:hAnsi="PingFang TC"/>
          <w:sz w:val="24"/>
          <w:szCs w:val="24"/>
        </w:rPr>
        <w:t xml:space="preserve"> 是攔截過期值的網。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v2.24（P5o）再次重算為 3.748887e-07。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k_res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k_res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3.815954e-07</w:t>
      </w:r>
      <w:r>
        <w:rPr>
          <w:rFonts w:ascii="PingFang TC" w:cs="PingFang TC" w:eastAsia="PingFang TC" w:hAnsi="PingFang TC"/>
          <w:sz w:val="24"/>
          <w:szCs w:val="24"/>
        </w:rPr>
        <w:t xml:space="preserve"> | m/day | 1.0e-9 | 1.0e-5 | 校正（calibrated）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每單位破骨細胞的表面吸收速率。v2.14（P5k）在全身鈣模組重建後重擬，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v2.24（P5o）在 k_ot 改為導出量時再次重擬為 3.815954e-07</w:t>
      </w:r>
      <w:r>
        <w:rPr>
          <w:rFonts w:ascii="PingFang TC" w:cs="PingFang TC" w:eastAsia="PingFang TC" w:hAnsi="PingFang TC"/>
          <w:sz w:val="24"/>
          <w:szCs w:val="24"/>
        </w:rPr>
        <w:t xml:space="preserve">；使 V1 骨轉換率為 7.33 %/yr。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注意 k_res 現在會移動兩個導出常數 k_form 與 k_ot</w:t>
      </w:r>
      <w:r>
        <w:rPr>
          <w:rFonts w:ascii="PingFang TC" w:cs="PingFang TC" w:eastAsia="PingFang TC" w:hAnsi="PingFang TC"/>
          <w:sz w:val="24"/>
          <w:szCs w:val="24"/>
        </w:rPr>
        <w:t xml:space="preserve">，每當它改變時兩者都必須在此表中改寫。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S_v_max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S_v_max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0.5 | 2.0 | Lerebours2015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比表面積函數的峰值（已無因次化）。佔位形式：S_v = S_v_max·C·f^s1·(1−f)^s2，待以 Martin 1984 的五階多項式取代。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v2.19 已讀 Lerebours 2015</w:t>
      </w:r>
      <w:r>
        <w:rPr>
          <w:rFonts w:ascii="PingFang TC" w:cs="PingFang TC" w:eastAsia="PingFang TC" w:hAnsi="PingFang TC"/>
          <w:sz w:val="24"/>
          <w:szCs w:val="24"/>
        </w:rPr>
        <w:t xml:space="preserve">（Reference/a06a.pdf）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，而我們的指數對皮質是錯的</w:t>
      </w:r>
      <w:r>
        <w:rPr>
          <w:rFonts w:ascii="PingFang TC" w:cs="PingFang TC" w:eastAsia="PingFang TC" w:hAnsi="PingFang TC"/>
          <w:sz w:val="24"/>
          <w:szCs w:val="24"/>
        </w:rPr>
        <w:t xml:space="preserve">。他們指出在高骨體積分率下該關係表現為 BS/TV = a·(1 − BV/TV)^b，其中 Martin 五階多項式與 Fyhrie harmonic mean 擬合皆給 b = 1，而他們所提出並實測的平方根擬合給 b = 0.5（r² = 0.84，對照 0.82 與 0.77）。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我們的 s2_Sv 是 3</w:t>
      </w:r>
      <w:r>
        <w:rPr>
          <w:rFonts w:ascii="PingFang TC" w:cs="PingFang TC" w:eastAsia="PingFang TC" w:hAnsi="PingFang TC"/>
          <w:sz w:val="24"/>
          <w:szCs w:val="24"/>
        </w:rPr>
        <w:t xml:space="preserve">，即實測值的六倍、甚至是另一候選的三倍，而我們的皮質腔室正坐在 f_bm = 0.95 —— 正是他們量測的區間。後果：d ln S_v/d ln f_bm 在此處約為 −56，而 Lerebours 隱含約 −9.5，因此我們的比表面積對孔隙度變化的反應約陡了六倍。基線骨轉換不受影響（S_v 在基線被正規化），但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所有經由它的變化率都被誇大</w:t>
      </w:r>
      <w:r>
        <w:rPr>
          <w:rFonts w:ascii="PingFang TC" w:cs="PingFang TC" w:eastAsia="PingFang TC" w:hAnsi="PingFang TC"/>
          <w:sz w:val="24"/>
          <w:szCs w:val="24"/>
        </w:rPr>
        <w:t xml:space="preserve">，包括 V11 的流失–回復不對稱。這與 P5m 之前的 kappa_E 是同一個病灶：一個在小樑區選定的函數形式（圓頂峰值在 f_bm = 0.25）被套用在 f_bm = 0.95。詳見附錄 C30。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s1_Sv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s1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0.5 | 2.0 | Lerebours2015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比表面積函數的第一個指數。在 v2.19 的皮質 s2 = 0.5 之下，皮質的圓頂峰值落在 f_bm = s1/(s1+s2) = 0.67 —— 這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不是</w:t>
      </w:r>
      <w:r>
        <w:rPr>
          <w:rFonts w:ascii="PingFang TC" w:cs="PingFang TC" w:eastAsia="PingFang TC" w:hAnsi="PingFang TC"/>
          <w:sz w:val="24"/>
          <w:szCs w:val="24"/>
        </w:rPr>
        <w:t xml:space="preserve">關於小樑比表面積峰值位置的主張：小樑腔室保持 s2 = 3、峰值在 0.25。見 s2_Sv。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s2_Sv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s2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3.0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0.3 | 6.0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比表面積函數的第二個指數，S_v 正比於 f^s1·(1−f)^s2。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P5n（v2.19）試過實測的皮質值 0.5 而未採用；未採用的理由才是結果。</w:t>
      </w:r>
      <w:r>
        <w:rPr>
          <w:rFonts w:ascii="PingFang TC" w:cs="PingFang TC" w:eastAsia="PingFang TC" w:hAnsi="PingFang TC"/>
          <w:sz w:val="24"/>
          <w:szCs w:val="24"/>
        </w:rPr>
        <w:t xml:space="preserve"> Lerebours 2015 在高骨體積分率量得 b = 0.5（r² 0.84，對照 Martin 五階多項式 0.82 與 Fyhrie harmonic mean 0.77，後兩者皆隱含 b = 1），而我們的皮質坐在 f_bm = 0.95，正在該區 —— 所以 3 約為實測值的六倍。改成 0.5 在機制上是成功的：皮質基線的 d ln S_v/d ln f_bm 由 −56 變成 −8.51，接近 Lerebours 隱含的 −9.5。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但它使 V2 變得無法達成</w:t>
      </w:r>
      <w:r>
        <w:rPr>
          <w:rFonts w:ascii="PingFang TC" w:cs="PingFang TC" w:eastAsia="PingFang TC" w:hAnsi="PingFang TC"/>
          <w:sz w:val="24"/>
          <w:szCs w:val="24"/>
        </w:rPr>
        <w:t xml:space="preserve">：廢用流失降到 0.44 %/月，而把 K_S 掃到其範圍下界也只飽和在 0.99 %/月，始終進不了 1.0–1.5 帶。這是發現而非調參失敗：模型的廢用流失原本騎在一個被誇大的比表面積反應上，換上實測指數後必須另有機制供給它。出貨值維持 3 以保持版本庫在已驗證狀態。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v2.23–2.25 建了三個補救機制並全部量測</w:t>
      </w:r>
      <w:r>
        <w:rPr>
          <w:rFonts w:ascii="PingFang TC" w:cs="PingFang TC" w:eastAsia="PingFang TC" w:hAnsi="PingFang TC"/>
          <w:sz w:val="24"/>
          <w:szCs w:val="24"/>
        </w:rPr>
        <w:t xml:space="preserve">（附錄 C33、C36）：凋亡 RANKL 臂補得上但毀掉 P1 的平台；力學驅動凋亡沒有權威；力學表面偏移兩者兼具卻需要 94.5 % 的皮質內分配，不合生理。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三條路依序敗在專一性、權威、生理三個不同環節。</w:t>
      </w:r>
      <w:r>
        <w:rPr>
          <w:rFonts w:ascii="PingFang TC" w:cs="PingFang TC" w:eastAsia="PingFang TC" w:hAnsi="PingFang TC"/>
          <w:sz w:val="24"/>
          <w:szCs w:val="24"/>
        </w:rPr>
        <w:t xml:space="preserve"> 另外兩項發現：（1）s2_Sv = 0.5 使廢用流失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不可逆</w:t>
      </w:r>
      <w:r>
        <w:rPr>
          <w:rFonts w:ascii="PingFang TC" w:cs="PingFang TC" w:eastAsia="PingFang TC" w:hAnsi="PingFang TC"/>
          <w:sz w:val="24"/>
          <w:szCs w:val="24"/>
        </w:rPr>
        <w:t xml:space="preserve">（180 天臥床後十年終點低於基線 5.74 %、回復 0 %，對照出貨值 +3.40 %、回復 146.5 %）；（2）V11 在該設定下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仍然通過</w:t>
      </w:r>
      <w:r>
        <w:rPr>
          <w:rFonts w:ascii="PingFang TC" w:cs="PingFang TC" w:eastAsia="PingFang TC" w:hAnsi="PingFang TC"/>
          <w:sz w:val="24"/>
          <w:szCs w:val="24"/>
        </w:rPr>
        <w:t xml:space="preserve">，因為它唯一的判準是比值 &gt; 3，而回復為零使比值為無限大。因此 3 現在是基於量測的保留，不再是 C30.6 所稱的保守預設值。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w_wall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w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1.0e-3</w:t>
      </w:r>
      <w:r>
        <w:rPr>
          <w:rFonts w:ascii="PingFang TC" w:cs="PingFang TC" w:eastAsia="PingFang TC" w:hAnsi="PingFang TC"/>
          <w:sz w:val="24"/>
          <w:szCs w:val="24"/>
        </w:rPr>
        <w:t xml:space="preserve"> | m | 1.0e-4 | 5.0e-3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有效皮質壁厚尺度，用於把表面速率轉換為 f_bm 的變化率。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eps_model_star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eps_star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1.5e-3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1.0e-3 | 2.0e-3 | Frost1987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骨膜塑形的最小有效應變閾值（Frost 的 MES_m，約 1000–1500 微應變）。低於它 —— 而正常活動位於 787 微應變 —— 就沒有塑形，因此校正情境不受影響；高於它，劇烈負荷會驅動骨膜外擴。v2.3 加入，用以把 Frost 塑形與重塑分開。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k_model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k_model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3.5e-4</w:t>
      </w:r>
      <w:r>
        <w:rPr>
          <w:rFonts w:ascii="PingFang TC" w:cs="PingFang TC" w:eastAsia="PingFang TC" w:hAnsi="PingFang TC"/>
          <w:sz w:val="24"/>
          <w:szCs w:val="24"/>
        </w:rPr>
        <w:t xml:space="preserve"> | m/day | 1.0e-5 | 5.0e-3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每單位應變超額的骨膜塑形沉積速率。v2.3 加入：它直接由應變驅動骨膜外擴、產生 Haapasalo 的幾何增益（V6a–e），且是自我限制的（r_p 上升會提高截面二次矩，從而降低應變）。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V6 是盲測</w:t>
      </w:r>
      <w:r>
        <w:rPr>
          <w:rFonts w:ascii="PingFang TC" w:cs="PingFang TC" w:eastAsia="PingFang TC" w:hAnsi="PingFang TC"/>
          <w:sz w:val="24"/>
          <w:szCs w:val="24"/>
        </w:rPr>
        <w:t xml:space="preserve">，因此此值是依物理理由設定而非擬合。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eps_model_sat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eps_sat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5.5e-3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2.0e-3 | 1.5e-2 | 導出（derived）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骨膜塑形的半飽和應變超額（v2.6 加入）。modeling = k_model·excess/(1 + excess/eps_sat)，其中 excess = max(0, eps_p − eps_model_star)。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兩個獨立論證匯聚到同一個值</w:t>
      </w:r>
      <w:r>
        <w:rPr>
          <w:rFonts w:ascii="PingFang TC" w:cs="PingFang TC" w:eastAsia="PingFang TC" w:hAnsi="PingFang TC"/>
          <w:sz w:val="24"/>
          <w:szCs w:val="24"/>
        </w:rPr>
        <w:t xml:space="preserve">：(1) 在半飽和時總應變為 eps_model_star + eps_sat = 1500 + 5500 = 7000 微應變，即皮質骨的降伏應變，超過該值組織進入損傷而非適應；(2) 它把速率上限放在 1.93 μm/day，落在快速礦物沉積的文獻範圍（1–5 μm/day）內。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chi_drift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chi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0.0 | 1.0 | 導出（derived）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骨膜塑形沉積中伴隨骨內膜吸收的比例（v2.11 加入）。dr_e 會被加上 chi_drift·modeling。Frost 的塑形漂移是把皮質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向外平移</w:t>
      </w:r>
      <w:r>
        <w:rPr>
          <w:rFonts w:ascii="PingFang TC" w:cs="PingFang TC" w:eastAsia="PingFang TC" w:hAnsi="PingFang TC"/>
          <w:sz w:val="24"/>
          <w:szCs w:val="24"/>
        </w:rPr>
        <w:t xml:space="preserve">而非單純使其膨脹；chi_drift = 1 為純平移、保存皮質壁厚，而 0 則回到 v2.10「只增添不平移」的行為。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m_prim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m_prim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0.6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0.4 | 0.8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初級礦化即刻達成的礦化比例。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kappa_m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kappa_m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5.0e-4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1.0e-4 | 4.0e-3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次級（成熟）礦化速率。v2.3 加入，作為強度量 rho_min ODE 的成熟項；約 3.8 年的半衰期符合次級礦化的多年時間尺度。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因為慢，它才不會掩蓋停藥後的密度流失 V10。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mu_turn_0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mu_turn_0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1.0e-4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5.0e-5 | 1.0e-3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基線礦化周轉率，新形成的骨藉此稀釋 rho_min。v2.3 加入，使 rho_min 在形成上升時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下降</w:t>
      </w:r>
      <w:r>
        <w:rPr>
          <w:rFonts w:ascii="PingFang TC" w:cs="PingFang TC" w:eastAsia="PingFang TC" w:hAnsi="PingFang TC"/>
          <w:sz w:val="24"/>
          <w:szCs w:val="24"/>
        </w:rPr>
        <w:t xml:space="preserve">（新骨礦化程度較低），這正是 V6f 的來源。其量級對應 V1 約 7 %/yr 的骨轉換。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xi_p_0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xi_p0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0.05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0.0 | 0.2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吸收分配到骨膜表面的基線比例（成人骨膜吸收極少）。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xi_e_0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xi_e0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0.45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0.2 | 0.7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吸收分配到骨內膜表面的基線比例。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xi_i_0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xi_i0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0.50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0.2 | 0.7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吸收分配到皮質內表面的基線比例。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lambda_xi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lambda_xi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0.0 | 5.0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TNF-α 使吸收偏向骨內膜表面的係數。決定停經後的幾何表型 V15。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lambda_xi_mech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lambda_xi_mech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0.0 | 20.0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卸載</w:t>
      </w:r>
      <w:r>
        <w:rPr>
          <w:rFonts w:ascii="PingFang TC" w:cs="PingFang TC" w:eastAsia="PingFang TC" w:hAnsi="PingFang TC"/>
          <w:sz w:val="24"/>
          <w:szCs w:val="24"/>
        </w:rPr>
        <w:t xml:space="preserve">使吸收偏向皮質內表面的係數：xi_i ~ xi_i_0·(1 + lambda_xi_mech·max(0, 1 − D_eff_hat))。v2.25（P5p，附錄 C36）加入。與 lambda_xi 互為搭檔（後者在 TNF-α 下使吸收偏向骨內膜）——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兩者是不同表面、不同驅動量的兩項</w:t>
      </w:r>
      <w:r>
        <w:rPr>
          <w:rFonts w:ascii="PingFang TC" w:cs="PingFang TC" w:eastAsia="PingFang TC" w:hAnsi="PingFang TC"/>
          <w:sz w:val="24"/>
          <w:szCs w:val="24"/>
        </w:rPr>
        <w:t xml:space="preserve">。方向有人體佐證：Rolvien et al. 2020（J Bone Miner Res 35:1343-1351, doi 10.1002/jbmr.3970）報告長期固定不動的老年女性股骨皮質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孔隙度顯著較高</w:t>
      </w:r>
      <w:r>
        <w:rPr>
          <w:rFonts w:ascii="PingFang TC" w:cs="PingFang TC" w:eastAsia="PingFang TC" w:hAnsi="PingFang TC"/>
          <w:sz w:val="24"/>
          <w:szCs w:val="24"/>
        </w:rPr>
        <w:t xml:space="preserve">，且型態與停經後骨鬆可區分 —— 固定不動是往皮質內吸收。寫在劑量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缺口</w:t>
      </w:r>
      <w:r>
        <w:rPr>
          <w:rFonts w:ascii="PingFang TC" w:cs="PingFang TC" w:eastAsia="PingFang TC" w:hAnsi="PingFang TC"/>
          <w:sz w:val="24"/>
          <w:szCs w:val="24"/>
        </w:rPr>
        <w:t xml:space="preserve">上，故在參考狀態恰為 0，無論此係數取何值，基線的表面分配都不受影響。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專一性是在寫程式之前先量的</w:t>
      </w:r>
      <w:r>
        <w:rPr>
          <w:rFonts w:ascii="PingFang TC" w:cs="PingFang TC" w:eastAsia="PingFang TC" w:hAnsi="PingFang TC"/>
          <w:sz w:val="24"/>
          <w:szCs w:val="24"/>
        </w:rPr>
        <w:t xml:space="preserve">（附錄 C32 與 C33 都是事後才做這項檢查）：缺口在 180 天臥床是 0.886，在低鈣臂是 0.0016、在 romosozumab 下是 0.018、在負荷下是 0.000，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即對廢用的專一性約為低鈣臂的 550 倍</w:t>
      </w:r>
      <w:r>
        <w:rPr>
          <w:rFonts w:ascii="PingFang TC" w:cs="PingFang TC" w:eastAsia="PingFang TC" w:hAnsi="PingFang TC"/>
          <w:sz w:val="24"/>
          <w:szCs w:val="24"/>
        </w:rPr>
        <w:t xml:space="preserve">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以 0 值出貨，而理由就是結果</w:t>
      </w:r>
      <w:r>
        <w:rPr>
          <w:rFonts w:ascii="PingFang TC" w:cs="PingFang TC" w:eastAsia="PingFang TC" w:hAnsi="PingFang TC"/>
          <w:sz w:val="24"/>
          <w:szCs w:val="24"/>
        </w:rPr>
        <w:t xml:space="preserve">（附錄 C36）。與前兩個機制不同，這一個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既</w:t>
      </w:r>
      <w:r>
        <w:rPr>
          <w:rFonts w:ascii="PingFang TC" w:cs="PingFang TC" w:eastAsia="PingFang TC" w:hAnsi="PingFang TC"/>
          <w:sz w:val="24"/>
          <w:szCs w:val="24"/>
        </w:rPr>
        <w:t xml:space="preserve">是廢用專屬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且</w:t>
      </w:r>
      <w:r>
        <w:rPr>
          <w:rFonts w:ascii="PingFang TC" w:cs="PingFang TC" w:eastAsia="PingFang TC" w:hAnsi="PingFang TC"/>
          <w:sz w:val="24"/>
          <w:szCs w:val="24"/>
        </w:rPr>
        <w:t xml:space="preserve">有真正的權威：在 s2_Sv 取實測的 0.5 時，它把廢用流失由 0.44 拉到 1.04 %/月，而 V7、V8 與鈣平台全都留在帶內。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它敗在生理而非槓桿。</w:t>
      </w:r>
      <w:r>
        <w:rPr>
          <w:rFonts w:ascii="PingFang TC" w:cs="PingFang TC" w:eastAsia="PingFang TC" w:hAnsi="PingFang TC"/>
          <w:sz w:val="24"/>
          <w:szCs w:val="24"/>
        </w:rPr>
        <w:t xml:space="preserve"> 補上缺口需要 lambda_xi_mech 約 12–18，而在 18 時廢用的表面分配是 94.5 % 皮質內對 5.0 % 骨內膜（基線為 50/45）—— 那等於把幾乎全部的廢用吸收移到單一表面，而人體臥床除了皮質內也會有骨內膜流失。把它納入的六參數重擬雖然達到 V2 = 1.011、V7 = 1.038，卻把 V1 推到 10.22（帶 5–10 之外），且 k_res 比出貨值高 39 %。程式保留是因為它現在是被測過的路且方向有佐證；以 0 值出貨，由 </w:t>
      </w:r>
      <w:r>
        <w:rPr>
          <w:rFonts w:ascii="Courier New" w:cs="Courier New" w:eastAsia="Courier New" w:hAnsi="Courier New"/>
          <w:sz w:val="24"/>
          <w:szCs w:val="24"/>
        </w:rPr>
        <w:t xml:space="preserve">test_apoptoticArm.m</w:t>
      </w:r>
      <w:r>
        <w:rPr>
          <w:rFonts w:ascii="PingFang TC" w:cs="PingFang TC" w:eastAsia="PingFang TC" w:hAnsi="PingFang TC"/>
          <w:sz w:val="24"/>
          <w:szCs w:val="24"/>
        </w:rPr>
        <w:t xml:space="preserve"> 守住。</w:t>
      </w:r>
    </w:p>
    <w:p>
      <w:pPr>
        <w:pStyle w:val="Heading1"/>
        <w:spacing w:after="160" w:before="360" w:line="360" w:lineRule="auto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M8 — 全身鈣、PTH 與 1,25(OH)₂D（21 項）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a_p_abs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a_p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0.08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0.05 | 0.20 | 假定（assumed）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攝取量中經細胞旁路吸收的比例，不飽和且不受調控。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v2.14（P5k）由 0.15 降低</w:t>
      </w:r>
      <w:r>
        <w:rPr>
          <w:rFonts w:ascii="PingFang TC" w:cs="PingFang TC" w:eastAsia="PingFang TC" w:hAnsi="PingFang TC"/>
          <w:sz w:val="24"/>
          <w:szCs w:val="24"/>
        </w:rPr>
        <w:t xml:space="preserve">：細胞旁路不能佔主導，因為承載骨化三醇與 PTH 調控、用以緩衝飲食鈣的是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跨細胞</w:t>
      </w:r>
      <w:r>
        <w:rPr>
          <w:rFonts w:ascii="PingFang TC" w:cs="PingFang TC" w:eastAsia="PingFang TC" w:hAnsi="PingFang TC"/>
          <w:sz w:val="24"/>
          <w:szCs w:val="24"/>
        </w:rPr>
        <w:t xml:space="preserve">路徑。在先前的值下，被動項供應了超過 99.9 % 的吸收，被調控的那一臂形同無效。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a_a_abs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a_a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0.35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0.15 | 0.60 | 假定（assumed）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最大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主動</w:t>
      </w:r>
      <w:r>
        <w:rPr>
          <w:rFonts w:ascii="PingFang TC" w:cs="PingFang TC" w:eastAsia="PingFang TC" w:hAnsi="PingFang TC"/>
          <w:sz w:val="24"/>
          <w:szCs w:val="24"/>
        </w:rPr>
        <w:t xml:space="preserve">（跨細胞）鈣吸收，以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基線攝取量的比例</w:t>
      </w:r>
      <w:r>
        <w:rPr>
          <w:rFonts w:ascii="PingFang TC" w:cs="PingFang TC" w:eastAsia="PingFang TC" w:hAnsi="PingFang TC"/>
          <w:sz w:val="24"/>
          <w:szCs w:val="24"/>
        </w:rPr>
        <w:t xml:space="preserve">表示，使參數保持無因次而其產生的通量為 mg/day：A_act = a_a_abs·I_Ca_0 = 280 mg/day。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v2.14（P5k）更正單位</w:t>
      </w:r>
      <w:r>
        <w:rPr>
          <w:rFonts w:ascii="PingFang TC" w:cs="PingFang TC" w:eastAsia="PingFang TC" w:hAnsi="PingFang TC"/>
          <w:sz w:val="24"/>
          <w:szCs w:val="24"/>
        </w:rPr>
        <w:t xml:space="preserve">：v1.8 的程式把 a_a_abs·I/(K_I+I) 直接當作通量使用，使其成為 0.1 mg/day 量級的一個分率，對照細胞旁路而言微不足道。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K_I_abs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K_I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600</w:t>
      </w:r>
      <w:r>
        <w:rPr>
          <w:rFonts w:ascii="PingFang TC" w:cs="PingFang TC" w:eastAsia="PingFang TC" w:hAnsi="PingFang TC"/>
          <w:sz w:val="24"/>
          <w:szCs w:val="24"/>
        </w:rPr>
        <w:t xml:space="preserve"> | mg/day | 200 | 1500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主動吸收對攝取量的半飽和常數。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這是 V7 平台形狀背後的關鍵參數</w:t>
      </w:r>
      <w:r>
        <w:rPr>
          <w:rFonts w:ascii="PingFang TC" w:cs="PingFang TC" w:eastAsia="PingFang TC" w:hAnsi="PingFang TC"/>
          <w:sz w:val="24"/>
          <w:szCs w:val="24"/>
        </w:rPr>
        <w:t xml:space="preserve">，且自 v2.14 起也是「分率吸收隨攝取量上升而下降」（400 mg/day 時 29 %、1500 mg/day 時 22 %）的原因。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K_VD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K_VD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0.2 | 5.0 | PetersonRiggs2010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1,25D 促進主動吸收的半飽和常數。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v2.15 由已持有的 Peterson &amp; Riggs 2010 全文解決</w:t>
      </w:r>
      <w:r>
        <w:rPr>
          <w:rFonts w:ascii="PingFang TC" w:cs="PingFang TC" w:eastAsia="PingFang TC" w:hAnsi="PingFang TC"/>
          <w:sz w:val="24"/>
          <w:szCs w:val="24"/>
        </w:rPr>
        <w:t xml:space="preserve">：其 Table 1 把骨化三醇依賴的鈣吸收狀態在基線設為 0.5（無單位），而我們的吸收閘是 V_D/(K_VD + V_D)、V_D_0 = 1，在 K_VD = 1 時恰為 0.5。現行值因此獲得確認。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phi_res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phi_res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350</w:t>
      </w:r>
      <w:r>
        <w:rPr>
          <w:rFonts w:ascii="PingFang TC" w:cs="PingFang TC" w:eastAsia="PingFang TC" w:hAnsi="PingFang TC"/>
          <w:sz w:val="24"/>
          <w:szCs w:val="24"/>
        </w:rPr>
        <w:t xml:space="preserve"> | mg/day | 100 | 800 | 假定（assumed）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每單位基線相對吸收所釋放到血清池的骨骼鈣 [mg/day]。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v2.14（P5k）由 0.10 提高。</w:t>
      </w:r>
      <w:r>
        <w:rPr>
          <w:rFonts w:ascii="PingFang TC" w:cs="PingFang TC" w:eastAsia="PingFang TC" w:hAnsi="PingFang TC"/>
          <w:sz w:val="24"/>
          <w:szCs w:val="24"/>
        </w:rPr>
        <w:t xml:space="preserve"> 舊值來自把骨骼鈣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池</w:t>
      </w:r>
      <w:r>
        <w:rPr>
          <w:rFonts w:ascii="PingFang TC" w:cs="PingFang TC" w:eastAsia="PingFang TC" w:hAnsi="PingFang TC"/>
          <w:sz w:val="24"/>
          <w:szCs w:val="24"/>
        </w:rPr>
        <w:t xml:space="preserve">與每日周轉相比、因而認定係數必須遠低於 1；但屬於此處的量是骨骼鈣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通量</w:t>
      </w:r>
      <w:r>
        <w:rPr>
          <w:rFonts w:ascii="PingFang TC" w:cs="PingFang TC" w:eastAsia="PingFang TC" w:hAnsi="PingFang TC"/>
          <w:sz w:val="24"/>
          <w:szCs w:val="24"/>
        </w:rPr>
        <w:t xml:space="preserve">與每日通量之比，而兩者是同一量級。在 0.10 時，骨→血這一臂在數值上可忽略，卸載無法抑制 PTH。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phi_form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phi_form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350</w:t>
      </w:r>
      <w:r>
        <w:rPr>
          <w:rFonts w:ascii="PingFang TC" w:cs="PingFang TC" w:eastAsia="PingFang TC" w:hAnsi="PingFang TC"/>
          <w:sz w:val="24"/>
          <w:szCs w:val="24"/>
        </w:rPr>
        <w:t xml:space="preserve"> | mg/day | 100 | 800 | 假定（assumed）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每單位基線相對形成所自血清池移除的骨骼鈣 [mg/day]。與 phi_res 相等，使交換在基線消失、並在受擾動時承載真實通量。v2.14 提高兩者的理由見 phi_res。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P_max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P_max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0.2 | 5.0 | 定義用常數（fixed）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最大 PTH 分泌速率。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並非在等待文獻，也不被任何程式讀取</w:t>
      </w:r>
      <w:r>
        <w:rPr>
          <w:rFonts w:ascii="PingFang TC" w:cs="PingFang TC" w:eastAsia="PingFang TC" w:hAnsi="PingFang TC"/>
          <w:sz w:val="24"/>
          <w:szCs w:val="24"/>
        </w:rPr>
        <w:t xml:space="preserve">：PTH 設定點被正規化為基線 Pset = 1（Pset = gP(Ca_s)/gP(Ca_s_0)），這使任何整體分泌尺度成為一個沒有可觀察後果的規範自由度。v2.15 更正，當時發現舊註記「Awaits Peterson &amp; Riggs 2010」要的是一個不可能有影響的數字。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Ca_50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Ca_50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1.2</w:t>
      </w:r>
      <w:r>
        <w:rPr>
          <w:rFonts w:ascii="PingFang TC" w:cs="PingFang TC" w:eastAsia="PingFang TC" w:hAnsi="PingFang TC"/>
          <w:sz w:val="24"/>
          <w:szCs w:val="24"/>
        </w:rPr>
        <w:t xml:space="preserve"> | mmol/L | 1.0 | 1.4 | 假定（assumed）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PTH 分泌受半數抑制時的血清鈣濃度（游離鈣）。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n_P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n_P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16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4 | 24 | 假定（assumed）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PTH 分泌對血清鈣的 Hill 係數。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v2.14（P5k）由 4 提高</w:t>
      </w:r>
      <w:r>
        <w:rPr>
          <w:rFonts w:ascii="PingFang TC" w:cs="PingFang TC" w:eastAsia="PingFang TC" w:hAnsi="PingFang TC"/>
          <w:sz w:val="24"/>
          <w:szCs w:val="24"/>
        </w:rPr>
        <w:t xml:space="preserve">，而它是一項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形狀約束而非擬合</w:t>
      </w:r>
      <w:r>
        <w:rPr>
          <w:rFonts w:ascii="PingFang TC" w:cs="PingFang TC" w:eastAsia="PingFang TC" w:hAnsi="PingFang TC"/>
          <w:sz w:val="24"/>
          <w:szCs w:val="24"/>
        </w:rPr>
        <w:t xml:space="preserve">：經典的 PTH–鈣 S 形曲線在約 1.0–1.4 mmol/L 游離鈣之間由近乎最大分泌降到近乎最小，即在 ±17 % 範圍內超過十倍的變化，對應設定點附近約 −8 的對數斜率。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delta_P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delta_P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171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24 | 300 | PetersonRiggs2010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PTH 清除速率（= k_7D，7.143/h = 171/day，半衰期 5.8 分鐘，Peterson–Riggs Table 2）。v1.9 由 48 更正。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k_VD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k_VD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0.2 | 5.0 | 定義用常數（fixed）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1,25D 生成速率。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並非在等待文獻，也不被任何程式讀取</w:t>
      </w:r>
      <w:r>
        <w:rPr>
          <w:rFonts w:ascii="PingFang TC" w:cs="PingFang TC" w:eastAsia="PingFang TC" w:hAnsi="PingFang TC"/>
          <w:sz w:val="24"/>
          <w:szCs w:val="24"/>
        </w:rPr>
        <w:t xml:space="preserve">：VDset 在基線被正規化為 1，趨近速率由 delta_VD 承載，因此此尺度是一個規範自由度。v2.15 更正；見 P_max。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K_VP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K_VP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0.2 | 5.0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PTH 促進 1,25D 生成的半飽和常數。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delta_VD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delta_VD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0.1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0.02 | 1.0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1,25D 清除速率（半衰期數小時到一天）。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Ca_s_0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Ca_s0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1.2</w:t>
      </w:r>
      <w:r>
        <w:rPr>
          <w:rFonts w:ascii="PingFang TC" w:cs="PingFang TC" w:eastAsia="PingFang TC" w:hAnsi="PingFang TC"/>
          <w:sz w:val="24"/>
          <w:szCs w:val="24"/>
        </w:rPr>
        <w:t xml:space="preserve"> | mmol/L | 1.1 | 1.3 | 文獻（literature）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基線血清游離鈣。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renal_k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-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6000</w:t>
      </w:r>
      <w:r>
        <w:rPr>
          <w:rFonts w:ascii="PingFang TC" w:cs="PingFang TC" w:eastAsia="PingFang TC" w:hAnsi="PingFang TC"/>
          <w:sz w:val="24"/>
          <w:szCs w:val="24"/>
        </w:rPr>
        <w:t xml:space="preserve"> | mg/day/(mmol/L) | 1000 | 30000 | 導出（derived）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腎臟鈣排泄在超過小管閾值後的增益 [mg/day 每 mmol/L]。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導出而非自由</w:t>
      </w:r>
      <w:r>
        <w:rPr>
          <w:rFonts w:ascii="PingFang TC" w:cs="PingFang TC" w:eastAsia="PingFang TC" w:hAnsi="PingFang TC"/>
          <w:sz w:val="24"/>
          <w:szCs w:val="24"/>
        </w:rPr>
        <w:t xml:space="preserve">：renal_k = (Abs_0 + phi_res − phi_form)/(Ca_s_0 − renal_Ca_th) 閉合基線平衡，因此腎臟防禦的陡度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完全由閾值的位置決定</w:t>
      </w:r>
      <w:r>
        <w:rPr>
          <w:rFonts w:ascii="PingFang TC" w:cs="PingFang TC" w:eastAsia="PingFang TC" w:hAnsi="PingFang TC"/>
          <w:sz w:val="24"/>
          <w:szCs w:val="24"/>
        </w:rPr>
        <w:t xml:space="preserve">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v2.14（P5k）實作</w:t>
      </w:r>
      <w:r>
        <w:rPr>
          <w:rFonts w:ascii="PingFang TC" w:cs="PingFang TC" w:eastAsia="PingFang TC" w:hAnsi="PingFang TC"/>
          <w:sz w:val="24"/>
          <w:szCs w:val="24"/>
        </w:rPr>
        <w:t xml:space="preserve"> —— 自 v1.8 起就已宣告卻從未被任何程式讀取，這正是排泄當時只是一條裸冪次律的原因。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renal_Ca_th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-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1.176</w:t>
      </w:r>
      <w:r>
        <w:rPr>
          <w:rFonts w:ascii="PingFang TC" w:cs="PingFang TC" w:eastAsia="PingFang TC" w:hAnsi="PingFang TC"/>
          <w:sz w:val="24"/>
          <w:szCs w:val="24"/>
        </w:rPr>
        <w:t xml:space="preserve"> | mmol/L | 1.10 | 1.19 | 假定（assumed）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腎臟小管的鈣閾值 [mmol/L]：排泄是血清鈣超出此值的部分，而它是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掌控血清鈣被防禦得多緊的唯一自由生理選擇</w:t>
      </w:r>
      <w:r>
        <w:rPr>
          <w:rFonts w:ascii="PingFang TC" w:cs="PingFang TC" w:eastAsia="PingFang TC" w:hAnsi="PingFang TC"/>
          <w:sz w:val="24"/>
          <w:szCs w:val="24"/>
        </w:rPr>
        <w:t xml:space="preserve">。把它放在比 Ca_s_0 低約 2 % 之處，會使排泄成為兩個大數之差、因而極為敏感 —— 這與「約 98 % 的濾過鈣被再吸收」是同一個陳述。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renal_lambda_P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-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0.3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0.0 | 1.0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PTH 對小管閾值的位移，以 (Ca_s_0 − renal_Ca_th) 間距的比例表示：Ca_th = renal_Ca_th + renal_lambda_P·gap·(P − 1)。PTH 越高，閾值越高，排泄越少。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v2.14 起以間距而非以 Ca_th 縮放</w:t>
      </w:r>
      <w:r>
        <w:rPr>
          <w:rFonts w:ascii="PingFang TC" w:cs="PingFang TC" w:eastAsia="PingFang TC" w:hAnsi="PingFang TC"/>
          <w:sz w:val="24"/>
          <w:szCs w:val="24"/>
        </w:rPr>
        <w:t xml:space="preserve">：該間距只有 Ca_th 的約 2 %，所以若以閾值自身的百分比來位移，區區幾個百分點就會淹沒整個防禦機制。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kappa_Ca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kappa_Ca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50</w:t>
      </w:r>
      <w:r>
        <w:rPr>
          <w:rFonts w:ascii="PingFang TC" w:cs="PingFang TC" w:eastAsia="PingFang TC" w:hAnsi="PingFang TC"/>
          <w:sz w:val="24"/>
          <w:szCs w:val="24"/>
        </w:rPr>
        <w:t xml:space="preserve"> | 1/day | 10 | 500 | 假定（assumed）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血清鈣池的鬆弛速率 [1/day]。血清鈣由鈣敏感受體與 PTH 在數分鐘的時間尺度上維持恆定，遠快於骨重塑（數日到數月）。自 v2.14 起通量不平衡被除以 renal_k，因此這直接就是鬆弛速率，而不是速率乘以通量比。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n_renal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n_renal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8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4 | 12 | 已退役（superseded） | 低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［v2.14 退役］</w:t>
      </w:r>
      <w:r>
        <w:rPr>
          <w:rFonts w:ascii="PingFang TC" w:cs="PingFang TC" w:eastAsia="PingFang TC" w:hAnsi="PingFang TC"/>
          <w:sz w:val="24"/>
          <w:szCs w:val="24"/>
        </w:rPr>
        <w:t xml:space="preserve"> 舊腎臟冪次律 Renal_0·(Ca_s/Ca_s_0)^n_renal 的 Hill 陡度。已被建立在 renal_k 與 renal_Ca_th 上的閾值形式取代。僅保留供對照。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它的說明文字曾聲稱此機制把血清鈣維持在約 2 % 內；實測是 15 %</w:t>
      </w:r>
      <w:r>
        <w:rPr>
          <w:rFonts w:ascii="PingFang TC" w:cs="PingFang TC" w:eastAsia="PingFang TC" w:hAnsi="PingFang TC"/>
          <w:sz w:val="24"/>
          <w:szCs w:val="24"/>
        </w:rPr>
        <w:t xml:space="preserve">（附錄 C24.5）。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I_Ca_0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I_Ca0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800</w:t>
      </w:r>
      <w:r>
        <w:rPr>
          <w:rFonts w:ascii="PingFang TC" w:cs="PingFang TC" w:eastAsia="PingFang TC" w:hAnsi="PingFang TC"/>
          <w:sz w:val="24"/>
          <w:szCs w:val="24"/>
        </w:rPr>
        <w:t xml:space="preserve"> | mg/day | 300 | 2000 | 文獻（literature） | 高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基線飲食鈣攝取量（實驗 E2 低鈣與高鈣兩臂的中心）。</w:t>
      </w:r>
    </w:p>
    <w:p>
      <w:pPr>
        <w:pStyle w:val="Heading2"/>
        <w:spacing w:after="120" w:before="240" w:line="360" w:lineRule="auto"/>
      </w:pPr>
      <w:r>
        <w:rPr>
          <w:rFonts w:ascii="Courier New" w:cs="Courier New" w:eastAsia="Courier New" w:hAnsi="Courier New"/>
          <w:b/>
          <w:bCs/>
          <w:i/>
          <w:iCs/>
          <w:sz w:val="24"/>
          <w:szCs w:val="24"/>
        </w:rPr>
        <w:t xml:space="preserve">V_D_0</w:t>
      </w:r>
      <w:r>
        <w:rPr>
          <w:rFonts w:ascii="PingFang TC" w:cs="PingFang TC" w:eastAsia="PingFang TC" w:hAnsi="PingFang TC"/>
          <w:b/>
          <w:bCs/>
          <w:i/>
          <w:iCs/>
          <w:sz w:val="24"/>
          <w:szCs w:val="24"/>
        </w:rPr>
        <w:t xml:space="preserve">　符號 V_D0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值 | 單位 | 下界 | 上界 | 出處 | 信心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|---|---|---|---|---|---|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| </w:t>
      </w: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1.0</w:t>
      </w:r>
      <w:r>
        <w:rPr>
          <w:rFonts w:ascii="PingFang TC" w:cs="PingFang TC" w:eastAsia="PingFang TC" w:hAnsi="PingFang TC"/>
          <w:sz w:val="24"/>
          <w:szCs w:val="24"/>
        </w:rPr>
        <w:t xml:space="preserve"> | 無因次 | 0.5 | 2.0 | 假定（assumed） | 中 |</w:t>
      </w:r>
    </w:p>
    <w:p>
      <w:pPr>
        <w:spacing w:after="120" w:line="480" w:lineRule="auto"/>
      </w:pPr>
      <w:r>
        <w:rPr>
          <w:rFonts w:ascii="PingFang TC" w:cs="PingFang TC" w:eastAsia="PingFang TC" w:hAnsi="PingFang TC"/>
          <w:sz w:val="24"/>
          <w:szCs w:val="24"/>
        </w:rPr>
        <w:t xml:space="preserve">基線 1,25D（由無因次化定義）。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lnNumType w:countBy="1" w:restart="continuous" w:distance="36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ingFang TC" w:cs="PingFang TC" w:eastAsia="PingFang TC" w:hAnsi="PingFang TC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TC" w:cs="PingFang TC" w:eastAsia="PingFang TC" w:hAnsi="PingFang T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fluid shear to sclerostin</dc:title>
  <dc:creator>Ming-Yu Hsieh</dc:creator>
  <cp:lastModifiedBy>Un-named</cp:lastModifiedBy>
  <cp:revision>1</cp:revision>
  <dcterms:created xsi:type="dcterms:W3CDTF">2026-08-02T13:30:49.087Z</dcterms:created>
  <dcterms:modified xsi:type="dcterms:W3CDTF">2026-08-02T13:30:49.088Z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