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line="360" w:lineRule="auto"/>
        <w:jc w:val="left"/>
      </w:pPr>
      <w:r>
        <w:rPr>
          <w:rFonts w:ascii="Times New Roman" w:cs="Times New Roman" w:eastAsia="Times New Roman" w:hAnsi="Times New Roman"/>
          <w:b/>
          <w:bCs/>
          <w:sz w:val="32"/>
          <w:szCs w:val="32"/>
        </w:rPr>
        <w:t xml:space="preserve">S1 Text. Model equations</w:t>
      </w:r>
    </w:p>
    <w:p>
      <w:pPr>
        <w:spacing w:after="120" w:line="480" w:lineRule="auto"/>
      </w:pPr>
      <w:r>
        <w:rPr>
          <w:rFonts w:ascii="Times New Roman" w:cs="Times New Roman" w:eastAsia="Times New Roman" w:hAnsi="Times New Roman"/>
          <w:sz w:val="24"/>
          <w:szCs w:val="24"/>
        </w:rPr>
        <w:t xml:space="preserve">Specification of modules M1–M8 as implemented. Symbols and values are tabulated in </w:t>
      </w:r>
      <w:r>
        <w:rPr>
          <w:rFonts w:ascii="Times New Roman" w:cs="Times New Roman" w:eastAsia="Times New Roman" w:hAnsi="Times New Roman"/>
          <w:b/>
          <w:bCs/>
          <w:sz w:val="24"/>
          <w:szCs w:val="24"/>
        </w:rPr>
        <w:t xml:space="preserve">S1 Table</w:t>
      </w:r>
      <w:r>
        <w:rPr>
          <w:rFonts w:ascii="Times New Roman" w:cs="Times New Roman" w:eastAsia="Times New Roman" w:hAnsi="Times New Roman"/>
          <w:sz w:val="24"/>
          <w:szCs w:val="24"/>
        </w:rPr>
        <w:t xml:space="preserve">; every parameter used below is read from that table at run time, and hard-coded numerical constants in the source are treated as defects and rejected by an automated check.</w:t>
      </w:r>
    </w:p>
    <w:p>
      <w:pPr>
        <w:pStyle w:val="Heading1"/>
        <w:spacing w:after="160" w:before="360" w:line="360" w:lineRule="auto"/>
      </w:pPr>
      <w:r>
        <w:rPr>
          <w:rFonts w:ascii="Times New Roman" w:cs="Times New Roman" w:eastAsia="Times New Roman" w:hAnsi="Times New Roman"/>
          <w:b/>
          <w:bCs/>
          <w:sz w:val="28"/>
          <w:szCs w:val="28"/>
        </w:rPr>
        <w:t xml:space="preserve">State vector</w:t>
      </w:r>
    </w:p>
    <w:p>
      <w:pPr>
        <w:spacing w:after="120" w:line="480" w:lineRule="auto"/>
      </w:pPr>
      <w:r>
        <w:rPr>
          <w:rFonts w:ascii="Times New Roman" w:cs="Times New Roman" w:eastAsia="Times New Roman" w:hAnsi="Times New Roman"/>
          <w:sz w:val="24"/>
          <w:szCs w:val="24"/>
        </w:rPr>
        <w:t xml:space="preserve">Thirteen local states per skeletal site, plus four shared systemic states.</w:t>
      </w:r>
    </w:p>
    <w:p>
      <w:pPr>
        <w:spacing w:after="120" w:line="480" w:lineRule="auto"/>
      </w:pPr>
      <w:r>
        <w:rPr>
          <w:rFonts w:ascii="Times New Roman" w:cs="Times New Roman" w:eastAsia="Times New Roman" w:hAnsi="Times New Roman"/>
          <w:sz w:val="24"/>
          <w:szCs w:val="24"/>
        </w:rPr>
        <w:t xml:space="preserve">| Group | States | Module |</w:t>
      </w:r>
    </w:p>
    <w:p>
      <w:pPr>
        <w:spacing w:after="120" w:line="480" w:lineRule="auto"/>
      </w:pPr>
      <w:r>
        <w:rPr>
          <w:rFonts w:ascii="Times New Roman" w:cs="Times New Roman" w:eastAsia="Times New Roman" w:hAnsi="Times New Roman"/>
          <w:sz w:val="24"/>
          <w:szCs w:val="24"/>
        </w:rPr>
        <w:t xml:space="preserve">|---|---|---|</w:t>
      </w:r>
    </w:p>
    <w:p>
      <w:pPr>
        <w:spacing w:after="120" w:line="480" w:lineRule="auto"/>
      </w:pPr>
      <w:r>
        <w:rPr>
          <w:rFonts w:ascii="Times New Roman" w:cs="Times New Roman" w:eastAsia="Times New Roman" w:hAnsi="Times New Roman"/>
          <w:sz w:val="24"/>
          <w:szCs w:val="24"/>
        </w:rPr>
        <w:t xml:space="preserve">| Osteocyte signalling | $C_a$, $Y$, $S$, $T$, $n_{ot}$ | M4 |</w:t>
      </w:r>
    </w:p>
    <w:p>
      <w:pPr>
        <w:spacing w:after="120" w:line="480" w:lineRule="auto"/>
      </w:pPr>
      <w:r>
        <w:rPr>
          <w:rFonts w:ascii="Times New Roman" w:cs="Times New Roman" w:eastAsia="Times New Roman" w:hAnsi="Times New Roman"/>
          <w:sz w:val="24"/>
          <w:szCs w:val="24"/>
        </w:rPr>
        <w:t xml:space="preserve">| Wnt | $\beta$ | M5 |</w:t>
      </w:r>
    </w:p>
    <w:p>
      <w:pPr>
        <w:spacing w:after="120" w:line="480" w:lineRule="auto"/>
      </w:pPr>
      <w:r>
        <w:rPr>
          <w:rFonts w:ascii="Times New Roman" w:cs="Times New Roman" w:eastAsia="Times New Roman" w:hAnsi="Times New Roman"/>
          <w:sz w:val="24"/>
          <w:szCs w:val="24"/>
        </w:rPr>
        <w:t xml:space="preserve">| Cell populations | $R$, $B$, $C$ | M6 |</w:t>
      </w:r>
    </w:p>
    <w:p>
      <w:pPr>
        <w:spacing w:after="120" w:line="480" w:lineRule="auto"/>
      </w:pPr>
      <w:r>
        <w:rPr>
          <w:rFonts w:ascii="Times New Roman" w:cs="Times New Roman" w:eastAsia="Times New Roman" w:hAnsi="Times New Roman"/>
          <w:sz w:val="24"/>
          <w:szCs w:val="24"/>
        </w:rPr>
        <w:t xml:space="preserve">| Structure and mineral | $r_p$, $r_e$, $f_{bm}$, $\bar\rho_{\min}$ | M7 |</w:t>
      </w:r>
    </w:p>
    <w:p>
      <w:pPr>
        <w:spacing w:after="120" w:line="480" w:lineRule="auto"/>
      </w:pPr>
      <w:r>
        <w:rPr>
          <w:rFonts w:ascii="Times New Roman" w:cs="Times New Roman" w:eastAsia="Times New Roman" w:hAnsi="Times New Roman"/>
          <w:sz w:val="24"/>
          <w:szCs w:val="24"/>
        </w:rPr>
        <w:t xml:space="preserve">| Systemic (shared) | $\mathrm{Ca}_s$, $P$, $V_D$, $A_{reb}$ | M8, M4 |</w:t>
      </w:r>
    </w:p>
    <w:p>
      <w:pPr>
        <w:spacing w:after="120" w:line="480" w:lineRule="auto"/>
      </w:pPr>
      <w:r>
        <w:rPr>
          <w:rFonts w:ascii="Times New Roman" w:cs="Times New Roman" w:eastAsia="Times New Roman" w:hAnsi="Times New Roman"/>
          <w:sz w:val="24"/>
          <w:szCs w:val="24"/>
        </w:rPr>
        <w:t xml:space="preserve">Single compartment: 13 + 4 = 17 states. Two compartments: 13 × 2 + 4 = 30. Signalling and cell variables are non-dimensionalised to 1 at baseline; structural variables carry physical units.</w:t>
      </w:r>
    </w:p>
    <w:p>
      <w:pPr>
        <w:spacing w:after="120" w:line="480" w:lineRule="auto"/>
      </w:pPr>
      <w:r>
        <w:rPr>
          <w:rFonts w:ascii="Times New Roman" w:cs="Times New Roman" w:eastAsia="Times New Roman" w:hAnsi="Times New Roman"/>
          <w:sz w:val="24"/>
          <w:szCs w:val="24"/>
        </w:rPr>
        <w:t xml:space="preserve">The per-site right-hand side is implemented once and called by both the single- and two-compartment assemblers, so the two cannot diverge.</w:t>
      </w:r>
    </w:p>
    <w:p>
      <w:pPr>
        <w:pStyle w:val="Heading1"/>
        <w:spacing w:after="160" w:before="360" w:line="360" w:lineRule="auto"/>
      </w:pPr>
      <w:r>
        <w:rPr>
          <w:rFonts w:ascii="Times New Roman" w:cs="Times New Roman" w:eastAsia="Times New Roman" w:hAnsi="Times New Roman"/>
          <w:b/>
          <w:bCs/>
          <w:sz w:val="28"/>
          <w:szCs w:val="28"/>
        </w:rPr>
        <w:t xml:space="preserve">M1 — Organ-level mechanics</w:t>
      </w:r>
    </w:p>
    <w:p>
      <w:pPr>
        <w:spacing w:after="120" w:line="480" w:lineRule="auto"/>
      </w:pPr>
      <w:r>
        <w:rPr>
          <w:rFonts w:ascii="Times New Roman" w:cs="Times New Roman" w:eastAsia="Times New Roman" w:hAnsi="Times New Roman"/>
          <w:b/>
          <w:bCs/>
          <w:sz w:val="24"/>
          <w:szCs w:val="24"/>
        </w:rPr>
        <w:t xml:space="preserve">The input is force, never strain.</w:t>
      </w:r>
      <w:r>
        <w:rPr>
          <w:rFonts w:ascii="Times New Roman" w:cs="Times New Roman" w:eastAsia="Times New Roman" w:hAnsi="Times New Roman"/>
          <w:sz w:val="24"/>
          <w:szCs w:val="24"/>
        </w:rPr>
        <w:t xml:space="preserve"> Scenarios supply peak bending moment $M_L$ and peak axial force $F_L$ per loading bout. Strain is a regulated </w:t>
      </w:r>
      <w:r>
        <w:rPr>
          <w:rFonts w:ascii="Times New Roman" w:cs="Times New Roman" w:eastAsia="Times New Roman" w:hAnsi="Times New Roman"/>
          <w:i/>
          <w:iCs/>
          <w:sz w:val="24"/>
          <w:szCs w:val="24"/>
        </w:rPr>
        <w:t xml:space="preserve">output</w:t>
      </w:r>
      <w:r>
        <w:rPr>
          <w:rFonts w:ascii="Times New Roman" w:cs="Times New Roman" w:eastAsia="Times New Roman" w:hAnsi="Times New Roman"/>
          <w:sz w:val="24"/>
          <w:szCs w:val="24"/>
        </w:rPr>
        <w:t xml:space="preserve"> computed from current geometry and material state. Prescribing strain converts the model from force control to strain control and severs the mechanostat feedback loop; an automated check rejects any scenario carrying a strain-like field.</w:t>
      </w:r>
    </w:p>
    <w:p>
      <w:pPr>
        <w:spacing w:after="120" w:line="480" w:lineRule="auto"/>
      </w:pPr>
      <w:r>
        <w:rPr>
          <w:rFonts w:ascii="Times New Roman" w:cs="Times New Roman" w:eastAsia="Times New Roman" w:hAnsi="Times New Roman"/>
          <w:sz w:val="24"/>
          <w:szCs w:val="24"/>
        </w:rPr>
        <w:t xml:space="preserve">Idealised hollow circular cortical cross-section:</w:t>
      </w:r>
    </w:p>
    <w:p>
      <w:pPr>
        <w:spacing w:after="120" w:line="480" w:lineRule="auto"/>
      </w:pPr>
      <w:r>
        <w:rPr>
          <w:rFonts w:ascii="Times New Roman" w:cs="Times New Roman" w:eastAsia="Times New Roman" w:hAnsi="Times New Roman"/>
          <w:sz w:val="24"/>
          <w:szCs w:val="24"/>
        </w:rPr>
        <w:t xml:space="preserve">$$A_g = \pi\left(r_p^2 - r_e^2\right), \qquad I_g = \frac{\pi}{4}\left(r_p^4 - r_e^4\right)$$</w:t>
      </w:r>
    </w:p>
    <w:p>
      <w:pPr>
        <w:spacing w:after="120" w:line="480" w:lineRule="auto"/>
      </w:pPr>
      <w:r>
        <w:rPr>
          <w:rFonts w:ascii="Times New Roman" w:cs="Times New Roman" w:eastAsia="Times New Roman" w:hAnsi="Times New Roman"/>
          <w:sz w:val="24"/>
          <w:szCs w:val="24"/>
        </w:rPr>
        <w:t xml:space="preserve">Apparent modulus, separating matrix quantity from matrix mineralisation:</w:t>
      </w:r>
    </w:p>
    <w:p>
      <w:pPr>
        <w:spacing w:after="120" w:line="480" w:lineRule="auto"/>
      </w:pPr>
      <w:r>
        <w:rPr>
          <w:rFonts w:ascii="Times New Roman" w:cs="Times New Roman" w:eastAsia="Times New Roman" w:hAnsi="Times New Roman"/>
          <w:sz w:val="24"/>
          <w:szCs w:val="24"/>
        </w:rPr>
        <w:t xml:space="preserve">$$E_{\mathrm{app}} = E_{\mathrm{ref}}\, f_{bm}^{\,\kappa_E} \left(\bar\rho_{\min}/\bar\rho_{\min,0}\right)^{\nu_E}$$</w:t>
      </w:r>
    </w:p>
    <w:p>
      <w:pPr>
        <w:spacing w:after="120" w:line="480" w:lineRule="auto"/>
      </w:pPr>
      <w:r>
        <w:rPr>
          <w:rFonts w:ascii="Times New Roman" w:cs="Times New Roman" w:eastAsia="Times New Roman" w:hAnsi="Times New Roman"/>
          <w:sz w:val="24"/>
          <w:szCs w:val="24"/>
        </w:rPr>
        <w:t xml:space="preserve">Peak strain at the periosteal and endocortical surfaces, bending plus axial:</w:t>
      </w:r>
    </w:p>
    <w:p>
      <w:pPr>
        <w:spacing w:after="120" w:line="480" w:lineRule="auto"/>
      </w:pPr>
      <w:r>
        <w:rPr>
          <w:rFonts w:ascii="Times New Roman" w:cs="Times New Roman" w:eastAsia="Times New Roman" w:hAnsi="Times New Roman"/>
          <w:sz w:val="24"/>
          <w:szCs w:val="24"/>
        </w:rPr>
        <w:t xml:space="preserve">$$\varepsilon_p = \frac{M_L\, r_p}{E_{\mathrm{app}} I_g} + \frac{F_L}{E_{\mathrm{app}} A_g}, \qquad</w:t>
      </w:r>
    </w:p>
    <w:p>
      <w:pPr>
        <w:spacing w:after="120" w:line="480" w:lineRule="auto"/>
      </w:pPr>
      <w:r>
        <w:rPr>
          <w:rFonts w:ascii="Times New Roman" w:cs="Times New Roman" w:eastAsia="Times New Roman" w:hAnsi="Times New Roman"/>
          <w:sz w:val="24"/>
          <w:szCs w:val="24"/>
        </w:rPr>
        <w:t xml:space="preserve">\varepsilon_e = \frac{M_L\, r_e}{E_{\mathrm{app}} I_g} + \frac{F_L}{E_{\mathrm{app}} A_g}$$</w:t>
      </w:r>
    </w:p>
    <w:p>
      <w:pPr>
        <w:spacing w:after="120" w:line="480" w:lineRule="auto"/>
      </w:pPr>
      <w:r>
        <w:rPr>
          <w:rFonts w:ascii="Times New Roman" w:cs="Times New Roman" w:eastAsia="Times New Roman" w:hAnsi="Times New Roman"/>
          <w:sz w:val="24"/>
          <w:szCs w:val="24"/>
        </w:rPr>
        <w:t xml:space="preserve">with $\bar\varepsilon = \tfrac12(\varepsilon_p + \varepsilon_e)$.</w:t>
      </w:r>
    </w:p>
    <w:p>
      <w:pPr>
        <w:spacing w:after="120" w:line="480" w:lineRule="auto"/>
      </w:pPr>
      <w:r>
        <w:rPr>
          <w:rFonts w:ascii="Times New Roman" w:cs="Times New Roman" w:eastAsia="Times New Roman" w:hAnsi="Times New Roman"/>
          <w:i/>
          <w:iCs/>
          <w:sz w:val="24"/>
          <w:szCs w:val="24"/>
        </w:rPr>
        <w:t xml:space="preserve">Loop gain.</w:t>
      </w:r>
      <w:r>
        <w:rPr>
          <w:rFonts w:ascii="Times New Roman" w:cs="Times New Roman" w:eastAsia="Times New Roman" w:hAnsi="Times New Roman"/>
          <w:sz w:val="24"/>
          <w:szCs w:val="24"/>
        </w:rPr>
        <w:t xml:space="preserve"> Differentiating gives $\partial \ln \varepsilon_p / \partial \ln f_{bm} = -\kappa_E$, verified numerically to machine precision ($4\times10^{-16}$, evaluated as a ratio over a finite interval, which is exact for a power law). In the thin-wall limit $I_g \approx \pi r^3 t_c$, so $\varepsilon \propto M_L / (E r^2 t_c)$: periosteal expansion is mechanically far more efficient than cortical thickening ($r^2$ against $t_c$). Numerically $\partial\ln\varepsilon/\partial\ln r_p = -4.27$ against $-3.13$ for $f_{bm}$. This is why loading enlarges rather than densifies cortical bone, and it emerges from parameter values rather than being imposed.</w:t>
      </w:r>
    </w:p>
    <w:p>
      <w:pPr>
        <w:spacing w:after="120" w:line="480" w:lineRule="auto"/>
      </w:pPr>
      <w:r>
        <w:rPr>
          <w:rFonts w:ascii="Times New Roman" w:cs="Times New Roman" w:eastAsia="Times New Roman" w:hAnsi="Times New Roman"/>
          <w:i/>
          <w:iCs/>
          <w:sz w:val="24"/>
          <w:szCs w:val="24"/>
        </w:rPr>
        <w:t xml:space="preserve">Numerical guard.</w:t>
      </w:r>
      <w:r>
        <w:rPr>
          <w:rFonts w:ascii="Times New Roman" w:cs="Times New Roman" w:eastAsia="Times New Roman" w:hAnsi="Times New Roman"/>
          <w:sz w:val="24"/>
          <w:szCs w:val="24"/>
        </w:rPr>
        <w:t xml:space="preserve"> $E_{\mathrm{app}} \propto f_{bm}^{\kappa_E}$ diverges as $f_{bm}\to 0$; a floor $f_{bm,\min}$ is applied inside the constitutive law only.</w:t>
      </w:r>
    </w:p>
    <w:p>
      <w:pPr>
        <w:pStyle w:val="Heading1"/>
        <w:spacing w:after="160" w:before="360" w:line="360" w:lineRule="auto"/>
      </w:pPr>
      <w:r>
        <w:rPr>
          <w:rFonts w:ascii="Times New Roman" w:cs="Times New Roman" w:eastAsia="Times New Roman" w:hAnsi="Times New Roman"/>
          <w:b/>
          <w:bCs/>
          <w:sz w:val="28"/>
          <w:szCs w:val="28"/>
        </w:rPr>
        <w:t xml:space="preserve">M2 — Poroelastic lacunocanalicular shear</w:t>
      </w:r>
    </w:p>
    <w:p>
      <w:pPr>
        <w:spacing w:after="120" w:line="480" w:lineRule="auto"/>
      </w:pPr>
      <w:r>
        <w:rPr>
          <w:rFonts w:ascii="Times New Roman" w:cs="Times New Roman" w:eastAsia="Times New Roman" w:hAnsi="Times New Roman"/>
          <w:sz w:val="24"/>
          <w:szCs w:val="24"/>
        </w:rPr>
        <w:t xml:space="preserve">One-dimensional Biot consolidation along a canaliculus of radius $a$:</w:t>
      </w:r>
    </w:p>
    <w:p>
      <w:pPr>
        <w:spacing w:after="120" w:line="480" w:lineRule="auto"/>
      </w:pPr>
      <w:r>
        <w:rPr>
          <w:rFonts w:ascii="Times New Roman" w:cs="Times New Roman" w:eastAsia="Times New Roman" w:hAnsi="Times New Roman"/>
          <w:sz w:val="24"/>
          <w:szCs w:val="24"/>
        </w:rPr>
        <w:t xml:space="preserve">$$\frac{\partial p}{\partial t} = c_p \frac{\partial^2 p}{\partial z^2} - \frac{1}{S_{\mathrm{stor}}}\frac{\partial \varepsilon}{\partial t}, \qquad c_p = \frac{k_{\mathrm{perm}}}{\mu\, S_{\mathrm{stor}}}$$</w:t>
      </w:r>
    </w:p>
    <w:p>
      <w:pPr>
        <w:spacing w:after="120" w:line="480" w:lineRule="auto"/>
      </w:pPr>
      <w:r>
        <w:rPr>
          <w:rFonts w:ascii="Times New Roman" w:cs="Times New Roman" w:eastAsia="Times New Roman" w:hAnsi="Times New Roman"/>
          <w:sz w:val="24"/>
          <w:szCs w:val="24"/>
        </w:rPr>
        <w:t xml:space="preserve">$$\tau_{\mathrm{oc}}(t) = \frac{a}{2}\left|\frac{\partial p}{\partial z}\right| \Gamma_{\mathrm{PCM}}$$</w:t>
      </w:r>
    </w:p>
    <w:p>
      <w:pPr>
        <w:spacing w:after="120" w:line="480" w:lineRule="auto"/>
      </w:pPr>
      <w:r>
        <w:rPr>
          <w:rFonts w:ascii="Times New Roman" w:cs="Times New Roman" w:eastAsia="Times New Roman" w:hAnsi="Times New Roman"/>
          <w:sz w:val="24"/>
          <w:szCs w:val="24"/>
        </w:rPr>
        <w:t xml:space="preserve">with $\Gamma_{\mathrm{PCM}}$ the pericellular matrix amplification factor.</w:t>
      </w:r>
    </w:p>
    <w:p>
      <w:pPr>
        <w:spacing w:after="120" w:line="480" w:lineRule="auto"/>
      </w:pPr>
      <w:r>
        <w:rPr>
          <w:rFonts w:ascii="Times New Roman" w:cs="Times New Roman" w:eastAsia="Times New Roman" w:hAnsi="Times New Roman"/>
          <w:b/>
          <w:bCs/>
          <w:sz w:val="24"/>
          <w:szCs w:val="24"/>
        </w:rPr>
        <w:t xml:space="preserve">The frequency dependence is the exact closed-form solution, not a fitted surrogate.</w:t>
      </w:r>
      <w:r>
        <w:rPr>
          <w:rFonts w:ascii="Times New Roman" w:cs="Times New Roman" w:eastAsia="Times New Roman" w:hAnsi="Times New Roman"/>
          <w:sz w:val="24"/>
          <w:szCs w:val="24"/>
        </w:rPr>
        <w:t xml:space="preserve"> For harmonic loading the problem admits</w:t>
      </w:r>
    </w:p>
    <w:p>
      <w:pPr>
        <w:spacing w:after="120" w:line="480" w:lineRule="auto"/>
      </w:pPr>
      <w:r>
        <w:rPr>
          <w:rFonts w:ascii="Times New Roman" w:cs="Times New Roman" w:eastAsia="Times New Roman" w:hAnsi="Times New Roman"/>
          <w:sz w:val="24"/>
          <w:szCs w:val="24"/>
        </w:rPr>
        <w:t xml:space="preserve">$$\hat\tau_{\max}(\varepsilon_{\mathrm{peak}}, f) = K_\tau\, \varepsilon_{\mathrm{peak}}\, \Phi(f), \qquad \Phi(f) = \left|k \tanh(kL)\right|,\quad k = \sqrt{\mathrm{i}\,2\pi f / c_p}$$</w:t>
      </w:r>
    </w:p>
    <w:p>
      <w:pPr>
        <w:spacing w:after="120" w:line="480" w:lineRule="auto"/>
      </w:pPr>
      <w:r>
        <w:rPr>
          <w:rFonts w:ascii="Times New Roman" w:cs="Times New Roman" w:eastAsia="Times New Roman" w:hAnsi="Times New Roman"/>
          <w:sz w:val="24"/>
          <w:szCs w:val="24"/>
        </w:rPr>
        <w:t xml:space="preserve">giving $\tau \propto f$ at low frequency crossing to $\tau \propto \sqrt{f}$ at high frequency, and </w:t>
      </w:r>
      <w:r>
        <w:rPr>
          <w:rFonts w:ascii="Times New Roman" w:cs="Times New Roman" w:eastAsia="Times New Roman" w:hAnsi="Times New Roman"/>
          <w:b/>
          <w:bCs/>
          <w:sz w:val="24"/>
          <w:szCs w:val="24"/>
        </w:rPr>
        <w:t xml:space="preserve">never saturating</w:t>
      </w:r>
      <w:r>
        <w:rPr>
          <w:rFonts w:ascii="Times New Roman" w:cs="Times New Roman" w:eastAsia="Times New Roman" w:hAnsi="Times New Roman"/>
          <w:sz w:val="24"/>
          <w:szCs w:val="24"/>
        </w:rPr>
        <w:t xml:space="preserve">. This has two consequences. It yields log-linearity of $\tau$ against $\ln f$ over 1–10 Hz with $r = 0.99883$ and no fitted parameter. And it corrects an earlier saturating surrogate under which that log-linearity would have been unreachable, since a saturating form drives the high-frequency slope to zero.</w:t>
      </w:r>
    </w:p>
    <w:p>
      <w:pPr>
        <w:spacing w:after="120" w:line="480" w:lineRule="auto"/>
      </w:pPr>
      <w:r>
        <w:rPr>
          <w:rFonts w:ascii="Times New Roman" w:cs="Times New Roman" w:eastAsia="Times New Roman" w:hAnsi="Times New Roman"/>
          <w:i/>
          <w:iCs/>
          <w:sz w:val="24"/>
          <w:szCs w:val="24"/>
        </w:rPr>
        <w:t xml:space="preserve">Cross-validation.</w:t>
      </w:r>
      <w:r>
        <w:rPr>
          <w:rFonts w:ascii="Times New Roman" w:cs="Times New Roman" w:eastAsia="Times New Roman" w:hAnsi="Times New Roman"/>
          <w:sz w:val="24"/>
          <w:szCs w:val="24"/>
        </w:rPr>
        <w:t xml:space="preserve"> A Crank–Nicolson finite-difference solution of the full PDE agrees with the closed form to a maximum relative error of 0.0029 %.</w:t>
      </w:r>
    </w:p>
    <w:p>
      <w:pPr>
        <w:pStyle w:val="Heading1"/>
        <w:spacing w:after="160" w:before="360" w:line="360" w:lineRule="auto"/>
      </w:pPr>
      <w:r>
        <w:rPr>
          <w:rFonts w:ascii="Times New Roman" w:cs="Times New Roman" w:eastAsia="Times New Roman" w:hAnsi="Times New Roman"/>
          <w:b/>
          <w:bCs/>
          <w:sz w:val="28"/>
          <w:szCs w:val="28"/>
        </w:rPr>
        <w:t xml:space="preserve">M3 — Daily mechanical dose</w:t>
      </w:r>
    </w:p>
    <w:p>
      <w:pPr>
        <w:spacing w:after="120" w:line="480" w:lineRule="auto"/>
      </w:pPr>
      <w:r>
        <w:rPr>
          <w:rFonts w:ascii="Times New Roman" w:cs="Times New Roman" w:eastAsia="Times New Roman" w:hAnsi="Times New Roman"/>
          <w:b/>
          <w:bCs/>
          <w:sz w:val="24"/>
          <w:szCs w:val="24"/>
        </w:rPr>
        <w:t xml:space="preserve">The channel is modelled exactly once.</w:t>
      </w:r>
      <w:r>
        <w:rPr>
          <w:rFonts w:ascii="Times New Roman" w:cs="Times New Roman" w:eastAsia="Times New Roman" w:hAnsi="Times New Roman"/>
          <w:sz w:val="24"/>
          <w:szCs w:val="24"/>
        </w:rPr>
        <w:t xml:space="preserve"> Mechanosensitive ion channel gating (Piezo1, with $J_{\mathrm{alt}}$ lumping integrin, primary cilium and connexin-43 parallel routes) has closed, open and inactivated states, and all shear dependence lives in the opening rate:</w:t>
      </w:r>
    </w:p>
    <w:p>
      <w:pPr>
        <w:spacing w:after="120" w:line="480" w:lineRule="auto"/>
      </w:pPr>
      <w:r>
        <w:rPr>
          <w:rFonts w:ascii="Times New Roman" w:cs="Times New Roman" w:eastAsia="Times New Roman" w:hAnsi="Times New Roman"/>
          <w:sz w:val="24"/>
          <w:szCs w:val="24"/>
        </w:rPr>
        <w:t xml:space="preserve">$$k_{co}(\tau) = k_{co}^{\max}\left[1 + \exp\!\left(-(\tau - \tau_{50})/k_\tau\right)\right]^{-1}$$</w:t>
      </w:r>
    </w:p>
    <w:p>
      <w:pPr>
        <w:spacing w:after="120" w:line="480" w:lineRule="auto"/>
      </w:pPr>
      <w:r>
        <w:rPr>
          <w:rFonts w:ascii="Times New Roman" w:cs="Times New Roman" w:eastAsia="Times New Roman" w:hAnsi="Times New Roman"/>
          <w:sz w:val="24"/>
          <w:szCs w:val="24"/>
        </w:rPr>
        <w:t xml:space="preserve">$$\frac{dO}{dt} = k_{co}(\tau)\,C_h - (k_{oc} + k_{oi})\,O, \qquad</w:t>
      </w:r>
    </w:p>
    <w:p>
      <w:pPr>
        <w:spacing w:after="120" w:line="480" w:lineRule="auto"/>
      </w:pPr>
      <w:r>
        <w:rPr>
          <w:rFonts w:ascii="Times New Roman" w:cs="Times New Roman" w:eastAsia="Times New Roman" w:hAnsi="Times New Roman"/>
          <w:sz w:val="24"/>
          <w:szCs w:val="24"/>
        </w:rPr>
        <w:t xml:space="preserve">\frac{dI}{dt} = k_{oi} O - k_{ic} I, \qquad C_h = 1 - O - I$$</w:t>
      </w:r>
    </w:p>
    <w:p>
      <w:pPr>
        <w:spacing w:after="120" w:line="480" w:lineRule="auto"/>
      </w:pPr>
      <w:r>
        <w:rPr>
          <w:rFonts w:ascii="Times New Roman" w:cs="Times New Roman" w:eastAsia="Times New Roman" w:hAnsi="Times New Roman"/>
          <w:sz w:val="24"/>
          <w:szCs w:val="24"/>
        </w:rPr>
        <w:t xml:space="preserve">The interface between the sub-second and daily timescales is a </w:t>
      </w:r>
      <w:r>
        <w:rPr>
          <w:rFonts w:ascii="Times New Roman" w:cs="Times New Roman" w:eastAsia="Times New Roman" w:hAnsi="Times New Roman"/>
          <w:b/>
          <w:bCs/>
          <w:sz w:val="24"/>
          <w:szCs w:val="24"/>
        </w:rPr>
        <w:t xml:space="preserve">single scalar</w:t>
      </w:r>
      <w:r>
        <w:rPr>
          <w:rFonts w:ascii="Times New Roman" w:cs="Times New Roman" w:eastAsia="Times New Roman" w:hAnsi="Times New Roman"/>
          <w:sz w:val="24"/>
          <w:szCs w:val="24"/>
        </w:rPr>
        <w:t xml:space="preserve">, the daily integral of open probability:</w:t>
      </w:r>
    </w:p>
    <w:p>
      <w:pPr>
        <w:spacing w:after="120" w:line="480" w:lineRule="auto"/>
      </w:pPr>
      <w:r>
        <w:rPr>
          <w:rFonts w:ascii="Times New Roman" w:cs="Times New Roman" w:eastAsia="Times New Roman" w:hAnsi="Times New Roman"/>
          <w:sz w:val="24"/>
          <w:szCs w:val="24"/>
        </w:rPr>
        <w:t xml:space="preserve">$$D_{\mathrm{mech}}(d) = \int_{\mathrm{day}} O\big(t;\tau(t)\big)\, dt$$</w:t>
      </w:r>
    </w:p>
    <w:p>
      <w:pPr>
        <w:spacing w:after="120" w:line="480" w:lineRule="auto"/>
      </w:pPr>
      <w:r>
        <w:rPr>
          <w:rFonts w:ascii="Times New Roman" w:cs="Times New Roman" w:eastAsia="Times New Roman" w:hAnsi="Times New Roman"/>
          <w:sz w:val="24"/>
          <w:szCs w:val="24"/>
        </w:rPr>
        <w:t xml:space="preserve">where $\tau(t)$ follows from the day's bout structure through M1 and M2.</w:t>
      </w:r>
    </w:p>
    <w:p>
      <w:pPr>
        <w:spacing w:after="120" w:line="480" w:lineRule="auto"/>
      </w:pPr>
      <w:r>
        <w:rPr>
          <w:rFonts w:ascii="Times New Roman" w:cs="Times New Roman" w:eastAsia="Times New Roman" w:hAnsi="Times New Roman"/>
          <w:i/>
          <w:iCs/>
          <w:sz w:val="24"/>
          <w:szCs w:val="24"/>
        </w:rPr>
        <w:t xml:space="preserve">Phenomenological terms removed.</w:t>
      </w:r>
      <w:r>
        <w:rPr>
          <w:rFonts w:ascii="Times New Roman" w:cs="Times New Roman" w:eastAsia="Times New Roman" w:hAnsi="Times New Roman"/>
          <w:sz w:val="24"/>
          <w:szCs w:val="24"/>
        </w:rPr>
        <w:t xml:space="preserve"> Earlier versions carried a parallel empirical dose law with parameters $a_r, \tau_r, p, \tau_{th}, q$ alongside the three-state model, encoding the same phenomena twice; worse, the scalar that was supposed to cross the timescale boundary had no downstream consumer, so mechanical signalling never actually crossed it. All five parameters were deleted and the phenomena now emerge:</w:t>
      </w:r>
    </w:p>
    <w:p>
      <w:pPr>
        <w:spacing w:after="120" w:line="480" w:lineRule="auto"/>
      </w:pPr>
      <w:r>
        <w:rPr>
          <w:rFonts w:ascii="Times New Roman" w:cs="Times New Roman" w:eastAsia="Times New Roman" w:hAnsi="Times New Roman"/>
          <w:sz w:val="24"/>
          <w:szCs w:val="24"/>
        </w:rPr>
        <w:t xml:space="preserve">| Phenomenon | Emergent mechanism |</w:t>
      </w:r>
    </w:p>
    <w:p>
      <w:pPr>
        <w:spacing w:after="120" w:line="480" w:lineRule="auto"/>
      </w:pPr>
      <w:r>
        <w:rPr>
          <w:rFonts w:ascii="Times New Roman" w:cs="Times New Roman" w:eastAsia="Times New Roman" w:hAnsi="Times New Roman"/>
          <w:sz w:val="24"/>
          <w:szCs w:val="24"/>
        </w:rPr>
        <w:t xml:space="preserve">|---|---|</w:t>
      </w:r>
    </w:p>
    <w:p>
      <w:pPr>
        <w:spacing w:after="120" w:line="480" w:lineRule="auto"/>
      </w:pPr>
      <w:r>
        <w:rPr>
          <w:rFonts w:ascii="Times New Roman" w:cs="Times New Roman" w:eastAsia="Times New Roman" w:hAnsi="Times New Roman"/>
          <w:sz w:val="24"/>
          <w:szCs w:val="24"/>
        </w:rPr>
        <w:t xml:space="preserve">| Diminishing return with cycle number | $I$ accumulates during loading, depleting $C_h$ |</w:t>
      </w:r>
    </w:p>
    <w:p>
      <w:pPr>
        <w:spacing w:after="120" w:line="480" w:lineRule="auto"/>
      </w:pPr>
      <w:r>
        <w:rPr>
          <w:rFonts w:ascii="Times New Roman" w:cs="Times New Roman" w:eastAsia="Times New Roman" w:hAnsi="Times New Roman"/>
          <w:sz w:val="24"/>
          <w:szCs w:val="24"/>
        </w:rPr>
        <w:t xml:space="preserve">| Rest-insertion gain | During rest $I \xrightarrow{k_{ic}} C_h$, restoring available channels |</w:t>
      </w:r>
    </w:p>
    <w:p>
      <w:pPr>
        <w:spacing w:after="120" w:line="480" w:lineRule="auto"/>
      </w:pPr>
      <w:r>
        <w:rPr>
          <w:rFonts w:ascii="Times New Roman" w:cs="Times New Roman" w:eastAsia="Times New Roman" w:hAnsi="Times New Roman"/>
          <w:sz w:val="24"/>
          <w:szCs w:val="24"/>
        </w:rPr>
        <w:t xml:space="preserve">| Threshold | Lower limb of the $k_{co}(\tau)$ sigmoid; no hard threshold, so dose is small but non-zero as $\tau\to0$ |</w:t>
      </w:r>
    </w:p>
    <w:p>
      <w:pPr>
        <w:spacing w:after="120" w:line="480" w:lineRule="auto"/>
      </w:pPr>
      <w:r>
        <w:rPr>
          <w:rFonts w:ascii="Times New Roman" w:cs="Times New Roman" w:eastAsia="Times New Roman" w:hAnsi="Times New Roman"/>
          <w:sz w:val="24"/>
          <w:szCs w:val="24"/>
        </w:rPr>
        <w:t xml:space="preserve">| Supralinearity | Steepness $k_\tau$ of the sigmoid |</w:t>
      </w:r>
    </w:p>
    <w:p>
      <w:pPr>
        <w:spacing w:after="120" w:line="480" w:lineRule="auto"/>
      </w:pPr>
      <w:r>
        <w:rPr>
          <w:rFonts w:ascii="Times New Roman" w:cs="Times New Roman" w:eastAsia="Times New Roman" w:hAnsi="Times New Roman"/>
          <w:i/>
          <w:iCs/>
          <w:sz w:val="24"/>
          <w:szCs w:val="24"/>
        </w:rPr>
        <w:t xml:space="preserve">Cross-validation.</w:t>
      </w:r>
      <w:r>
        <w:rPr>
          <w:rFonts w:ascii="Times New Roman" w:cs="Times New Roman" w:eastAsia="Times New Roman" w:hAnsi="Times New Roman"/>
          <w:sz w:val="24"/>
          <w:szCs w:val="24"/>
        </w:rPr>
        <w:t xml:space="preserve"> An affine per-cycle operator agrees with stepwise integration to $2.2\times10^{-15}$.</w:t>
      </w:r>
    </w:p>
    <w:p>
      <w:pPr>
        <w:spacing w:after="120" w:line="480" w:lineRule="auto"/>
      </w:pPr>
      <w:r>
        <w:rPr>
          <w:rFonts w:ascii="Times New Roman" w:cs="Times New Roman" w:eastAsia="Times New Roman" w:hAnsi="Times New Roman"/>
          <w:i/>
          <w:iCs/>
          <w:sz w:val="24"/>
          <w:szCs w:val="24"/>
        </w:rPr>
        <w:t xml:space="preserve">Implementation.</w:t>
      </w:r>
      <w:r>
        <w:rPr>
          <w:rFonts w:ascii="Times New Roman" w:cs="Times New Roman" w:eastAsia="Times New Roman" w:hAnsi="Times New Roman"/>
          <w:sz w:val="24"/>
          <w:szCs w:val="24"/>
        </w:rPr>
        <w:t xml:space="preserve"> Because geometry adapts, $\hat\tau$ drifts and $D_{\mathrm{mech}}$ must be re-evaluated; a within-day integral at second resolution cannot sit inside the ODE right-hand side. A one-dimensional interpolant of $D_{\mathrm{mech}}$ against $\hat\tau_{\max}$ is built offline per bout structure, and the slow system performs a table lookup.</w:t>
      </w:r>
    </w:p>
    <w:p>
      <w:pPr>
        <w:pStyle w:val="Heading1"/>
        <w:spacing w:after="160" w:before="360" w:line="360" w:lineRule="auto"/>
      </w:pPr>
      <w:r>
        <w:rPr>
          <w:rFonts w:ascii="Times New Roman" w:cs="Times New Roman" w:eastAsia="Times New Roman" w:hAnsi="Times New Roman"/>
          <w:b/>
          <w:bCs/>
          <w:sz w:val="28"/>
          <w:szCs w:val="28"/>
        </w:rPr>
        <w:t xml:space="preserve">M4 — Osteocyte signalling</w:t>
      </w:r>
    </w:p>
    <w:p>
      <w:pPr>
        <w:spacing w:after="120" w:line="480" w:lineRule="auto"/>
      </w:pPr>
      <w:r>
        <w:rPr>
          <w:rFonts w:ascii="Times New Roman" w:cs="Times New Roman" w:eastAsia="Times New Roman" w:hAnsi="Times New Roman"/>
          <w:sz w:val="24"/>
          <w:szCs w:val="24"/>
        </w:rPr>
        <w:t xml:space="preserve">Calcium influx is driven by the daily mean open probability, gated by osteocyte sensing capacity:</w:t>
      </w:r>
    </w:p>
    <w:p>
      <w:pPr>
        <w:spacing w:after="120" w:line="480" w:lineRule="auto"/>
      </w:pPr>
      <w:r>
        <w:rPr>
          <w:rFonts w:ascii="Times New Roman" w:cs="Times New Roman" w:eastAsia="Times New Roman" w:hAnsi="Times New Roman"/>
          <w:sz w:val="24"/>
          <w:szCs w:val="24"/>
        </w:rPr>
        <w:t xml:space="preserve">$$\frac{dC_a}{dt} = k_C\left[(1 - f_{\mathrm{alt}})\, \hat{D}_{\mathrm{eff}} + f_{\mathrm{alt}} - C_a\right], \qquad</w:t>
      </w:r>
    </w:p>
    <w:p>
      <w:pPr>
        <w:spacing w:after="120" w:line="480" w:lineRule="auto"/>
      </w:pPr>
      <w:r>
        <w:rPr>
          <w:rFonts w:ascii="Times New Roman" w:cs="Times New Roman" w:eastAsia="Times New Roman" w:hAnsi="Times New Roman"/>
          <w:sz w:val="24"/>
          <w:szCs w:val="24"/>
        </w:rPr>
        <w:t xml:space="preserve">\hat{D}_{\mathrm{eff}} = \frac{D_{\mathrm{mech}}\,(n_{ot}/n_{ot,0})^{\zeta}}{D_{\mathrm{eff},0}}$$</w:t>
      </w:r>
    </w:p>
    <w:p>
      <w:pPr>
        <w:spacing w:after="120" w:line="480" w:lineRule="auto"/>
      </w:pPr>
      <w:r>
        <w:rPr>
          <w:rFonts w:ascii="Times New Roman" w:cs="Times New Roman" w:eastAsia="Times New Roman" w:hAnsi="Times New Roman"/>
          <w:sz w:val="24"/>
          <w:szCs w:val="24"/>
        </w:rPr>
        <w:t xml:space="preserve">$D_{\mathrm{eff},0}$ is the dose under a fixed canonical reference — sedentary loading at unadapted geometry — and never the running scenario's own baseline. Normalising to the scenario's own state would set $\hat{D}_{\mathrm{eff}}=1$ for every protocol, so no intervention could differ from any other.</w:t>
      </w:r>
    </w:p>
    <w:p>
      <w:pPr>
        <w:spacing w:after="120" w:line="480" w:lineRule="auto"/>
      </w:pPr>
      <w:r>
        <w:rPr>
          <w:rFonts w:ascii="Times New Roman" w:cs="Times New Roman" w:eastAsia="Times New Roman" w:hAnsi="Times New Roman"/>
          <w:sz w:val="24"/>
          <w:szCs w:val="24"/>
        </w:rPr>
        <w:t xml:space="preserve">YAP/TAZ nuclear fraction:</w:t>
      </w:r>
    </w:p>
    <w:p>
      <w:pPr>
        <w:spacing w:after="120" w:line="480" w:lineRule="auto"/>
      </w:pPr>
      <w:r>
        <w:rPr>
          <w:rFonts w:ascii="Times New Roman" w:cs="Times New Roman" w:eastAsia="Times New Roman" w:hAnsi="Times New Roman"/>
          <w:sz w:val="24"/>
          <w:szCs w:val="24"/>
        </w:rPr>
        <w:t xml:space="preserve">$$\frac{dY}{dt} = k_Y\left[\frac{h_Y(C_a)}{h_Y(1)} - Y\right], \qquad h_Y(c) = \frac{c^{n_Y}}{K_Y^{n_Y} + c^{n_Y}}$$</w:t>
      </w:r>
    </w:p>
    <w:p>
      <w:pPr>
        <w:spacing w:after="120" w:line="480" w:lineRule="auto"/>
      </w:pPr>
      <w:r>
        <w:rPr>
          <w:rFonts w:ascii="Times New Roman" w:cs="Times New Roman" w:eastAsia="Times New Roman" w:hAnsi="Times New Roman"/>
          <w:sz w:val="24"/>
          <w:szCs w:val="24"/>
        </w:rPr>
        <w:t xml:space="preserve">Sclerostin, with mechanical, PTH and TNF-α inputs:</w:t>
      </w:r>
    </w:p>
    <w:p>
      <w:pPr>
        <w:spacing w:after="120" w:line="480" w:lineRule="auto"/>
      </w:pPr>
      <w:r>
        <w:rPr>
          <w:rFonts w:ascii="Times New Roman" w:cs="Times New Roman" w:eastAsia="Times New Roman" w:hAnsi="Times New Roman"/>
          <w:sz w:val="24"/>
          <w:szCs w:val="24"/>
        </w:rPr>
        <w:t xml:space="preserve">$$S_{\mathrm{set}} = \frac{f_{\mathrm{mech}}(Y)\, f_{\mathrm{PTH}}(P)\, f_{\mathrm{TNF}}(T)}{f_{\mathrm{mech}}(1)\, f_{\mathrm{PTH}}(1)\, f_{\mathrm{TNF}}(1)}$$</w:t>
      </w:r>
    </w:p>
    <w:p>
      <w:pPr>
        <w:spacing w:after="120" w:line="480" w:lineRule="auto"/>
      </w:pPr>
      <w:r>
        <w:rPr>
          <w:rFonts w:ascii="Times New Roman" w:cs="Times New Roman" w:eastAsia="Times New Roman" w:hAnsi="Times New Roman"/>
          <w:sz w:val="24"/>
          <w:szCs w:val="24"/>
        </w:rPr>
        <w:t xml:space="preserve">$$f_{\mathrm{mech}}(y) = \frac{1}{1 + (y/K_S)^{h_S}}, \quad</w:t>
      </w:r>
    </w:p>
    <w:p>
      <w:pPr>
        <w:spacing w:after="120" w:line="480" w:lineRule="auto"/>
      </w:pPr>
      <w:r>
        <w:rPr>
          <w:rFonts w:ascii="Times New Roman" w:cs="Times New Roman" w:eastAsia="Times New Roman" w:hAnsi="Times New Roman"/>
          <w:sz w:val="24"/>
          <w:szCs w:val="24"/>
        </w:rPr>
        <w:t xml:space="preserve">f_{\mathrm{PTH}}(x) = \frac{1}{1 + x/K_{P,\mathrm{sost}}}, \quad</w:t>
      </w:r>
    </w:p>
    <w:p>
      <w:pPr>
        <w:spacing w:after="120" w:line="480" w:lineRule="auto"/>
      </w:pPr>
      <w:r>
        <w:rPr>
          <w:rFonts w:ascii="Times New Roman" w:cs="Times New Roman" w:eastAsia="Times New Roman" w:hAnsi="Times New Roman"/>
          <w:sz w:val="24"/>
          <w:szCs w:val="24"/>
        </w:rPr>
        <w:t xml:space="preserve">f_{\mathrm{TNF}}(t) = 1 + \frac{\lambda_T t}{K_T + t}$$</w:t>
      </w:r>
    </w:p>
    <w:p>
      <w:pPr>
        <w:spacing w:after="120" w:line="480" w:lineRule="auto"/>
      </w:pPr>
      <w:r>
        <w:rPr>
          <w:rFonts w:ascii="Times New Roman" w:cs="Times New Roman" w:eastAsia="Times New Roman" w:hAnsi="Times New Roman"/>
          <w:sz w:val="24"/>
          <w:szCs w:val="24"/>
        </w:rPr>
        <w:t xml:space="preserve">$$\frac{dS}{dt} = \delta_S\, S_{\mathrm{set}}\,(1 + A_{reb}) - \left(\delta_S + \delta_{ab}\, u_{\mathrm{romo}}\right) S$$</w:t>
      </w:r>
    </w:p>
    <w:p>
      <w:pPr>
        <w:spacing w:after="120" w:line="480" w:lineRule="auto"/>
      </w:pPr>
      <w:r>
        <w:rPr>
          <w:rFonts w:ascii="Times New Roman" w:cs="Times New Roman" w:eastAsia="Times New Roman" w:hAnsi="Times New Roman"/>
          <w:sz w:val="24"/>
          <w:szCs w:val="24"/>
        </w:rPr>
        <w:t xml:space="preserve">An anti-sclerostin antibody adds </w:t>
      </w:r>
      <w:r>
        <w:rPr>
          <w:rFonts w:ascii="Times New Roman" w:cs="Times New Roman" w:eastAsia="Times New Roman" w:hAnsi="Times New Roman"/>
          <w:b/>
          <w:bCs/>
          <w:sz w:val="24"/>
          <w:szCs w:val="24"/>
        </w:rPr>
        <w:t xml:space="preserve">clearance</w:t>
      </w:r>
      <w:r>
        <w:rPr>
          <w:rFonts w:ascii="Times New Roman" w:cs="Times New Roman" w:eastAsia="Times New Roman" w:hAnsi="Times New Roman"/>
          <w:sz w:val="24"/>
          <w:szCs w:val="24"/>
        </w:rPr>
        <w:t xml:space="preserve"> ($\delta_{ab} u_{\mathrm{romo}}$), lowering the set point and shortening the time constant.</w:t>
      </w:r>
    </w:p>
    <w:p>
      <w:pPr>
        <w:spacing w:after="120" w:line="480" w:lineRule="auto"/>
      </w:pPr>
      <w:r>
        <w:rPr>
          <w:rFonts w:ascii="Times New Roman" w:cs="Times New Roman" w:eastAsia="Times New Roman" w:hAnsi="Times New Roman"/>
          <w:b/>
          <w:bCs/>
          <w:sz w:val="24"/>
          <w:szCs w:val="24"/>
        </w:rPr>
        <w:t xml:space="preserve">Withdrawal rebound.</w:t>
      </w:r>
      <w:r>
        <w:rPr>
          <w:rFonts w:ascii="Times New Roman" w:cs="Times New Roman" w:eastAsia="Times New Roman" w:hAnsi="Times New Roman"/>
          <w:sz w:val="24"/>
          <w:szCs w:val="24"/>
        </w:rPr>
        <w:t xml:space="preserve"> Sustained antibody exposure also up-regulates </w:t>
      </w:r>
      <w:r>
        <w:rPr>
          <w:rFonts w:ascii="Times New Roman" w:cs="Times New Roman" w:eastAsia="Times New Roman" w:hAnsi="Times New Roman"/>
          <w:i/>
          <w:iCs/>
          <w:sz w:val="24"/>
          <w:szCs w:val="24"/>
        </w:rPr>
        <w:t xml:space="preserve">SOST</w:t>
      </w:r>
      <w:r>
        <w:rPr>
          <w:rFonts w:ascii="Times New Roman" w:cs="Times New Roman" w:eastAsia="Times New Roman" w:hAnsi="Times New Roman"/>
          <w:sz w:val="24"/>
          <w:szCs w:val="24"/>
        </w:rPr>
        <w:t xml:space="preserve"> transcription; $A_{reb}$ carries that compensation and relaxes on its own clock rather than the antibody's:</w:t>
      </w:r>
    </w:p>
    <w:p>
      <w:pPr>
        <w:spacing w:after="120" w:line="480" w:lineRule="auto"/>
      </w:pPr>
      <w:r>
        <w:rPr>
          <w:rFonts w:ascii="Times New Roman" w:cs="Times New Roman" w:eastAsia="Times New Roman" w:hAnsi="Times New Roman"/>
          <w:sz w:val="24"/>
          <w:szCs w:val="24"/>
        </w:rPr>
        <w:t xml:space="preserve">$$\frac{dA_{reb}}{dt} = \frac{\sigma_{reb}\, u_{\mathrm{romo}} - A_{reb}}{\tau_{reb}}$$</w:t>
      </w:r>
    </w:p>
    <w:p>
      <w:pPr>
        <w:spacing w:after="120" w:line="480" w:lineRule="auto"/>
      </w:pPr>
      <w:r>
        <w:rPr>
          <w:rFonts w:ascii="Times New Roman" w:cs="Times New Roman" w:eastAsia="Times New Roman" w:hAnsi="Times New Roman"/>
          <w:sz w:val="24"/>
          <w:szCs w:val="24"/>
        </w:rPr>
        <w:t xml:space="preserve">$A_{reb} = 0$ in any run that never sees the drug, so this term cannot perturb any drug-free result. Two consequences follow without further assumptions: during treatment the compensation progressively offsets the antibody, so free sclerostin climbs back toward baseline and the anabolic effect self-limits; and on withdrawal the clearance term vanishes while the raised production does not, so sclerostin overshoots and resorption surges.</w:t>
      </w:r>
    </w:p>
    <w:p>
      <w:pPr>
        <w:spacing w:after="120" w:line="480" w:lineRule="auto"/>
      </w:pPr>
      <w:r>
        <w:rPr>
          <w:rFonts w:ascii="Times New Roman" w:cs="Times New Roman" w:eastAsia="Times New Roman" w:hAnsi="Times New Roman"/>
          <w:b/>
          <w:bCs/>
          <w:sz w:val="24"/>
          <w:szCs w:val="24"/>
        </w:rPr>
        <w:t xml:space="preserve">Osteocyte density</w:t>
      </w:r>
      <w:r>
        <w:rPr>
          <w:rFonts w:ascii="Times New Roman" w:cs="Times New Roman" w:eastAsia="Times New Roman" w:hAnsi="Times New Roman"/>
          <w:sz w:val="24"/>
          <w:szCs w:val="24"/>
        </w:rPr>
        <w:t xml:space="preserve"> (positive feedback: bone loss → fewer sensors → weaker signal → more loss):</w:t>
      </w:r>
    </w:p>
    <w:p>
      <w:pPr>
        <w:spacing w:after="120" w:line="480" w:lineRule="auto"/>
      </w:pPr>
      <w:r>
        <w:rPr>
          <w:rFonts w:ascii="Times New Roman" w:cs="Times New Roman" w:eastAsia="Times New Roman" w:hAnsi="Times New Roman"/>
          <w:sz w:val="24"/>
          <w:szCs w:val="24"/>
        </w:rPr>
        <w:t xml:space="preserve">$$\frac{dn_{ot}}{dt} = k_{ot}\, \hat{v}_{\mathrm{form}}\left(n_{ot,\max} - n_{ot}\right) - \left[\gamma_{\mathrm{eff}}\, \hat{v}_{\mathrm{res}} + \delta_{ot}(E_2, \hat D)\right] n_{ot}$$</w:t>
      </w:r>
    </w:p>
    <w:p>
      <w:pPr>
        <w:spacing w:after="120" w:line="480" w:lineRule="auto"/>
      </w:pPr>
      <w:r>
        <w:rPr>
          <w:rFonts w:ascii="Times New Roman" w:cs="Times New Roman" w:eastAsia="Times New Roman" w:hAnsi="Times New Roman"/>
          <w:sz w:val="24"/>
          <w:szCs w:val="24"/>
        </w:rPr>
        <w:t xml:space="preserve">with $\hat v$ normalised to baseline and</w:t>
      </w:r>
    </w:p>
    <w:p>
      <w:pPr>
        <w:spacing w:after="120" w:line="480" w:lineRule="auto"/>
      </w:pPr>
      <w:r>
        <w:rPr>
          <w:rFonts w:ascii="Times New Roman" w:cs="Times New Roman" w:eastAsia="Times New Roman" w:hAnsi="Times New Roman"/>
          <w:sz w:val="24"/>
          <w:szCs w:val="24"/>
        </w:rPr>
        <w:t xml:space="preserve">$$\delta_{ot}(E_2, \hat D) = \delta_{ot,0}\, \frac{E_{2,0}}{E_2}\left[1 + \lambda_{ot,\mathrm{mech}} \max\!\left(0,\, 1 - \hat D\right)\right]$$</w:t>
      </w:r>
    </w:p>
    <w:p>
      <w:pPr>
        <w:spacing w:after="120" w:line="480" w:lineRule="auto"/>
      </w:pP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$k_{ot}$ is </w:t>
      </w:r>
      <w:r>
        <w:rPr>
          <w:rFonts w:ascii="Times New Roman" w:cs="Times New Roman" w:eastAsia="Times New Roman" w:hAnsi="Times New Roman"/>
          <w:sz w:val="24"/>
          <w:szCs w:val="24"/>
        </w:rPr>
        <w:t xml:space="preserve">derived</w:t>
      </w:r>
      <w:r>
        <w:rPr>
          <w:rFonts w:ascii="Times New Roman" w:cs="Times New Roman" w:eastAsia="Times New Roman" w:hAnsi="Times New Roman"/>
          <w:i/>
          <w:iCs/>
          <w:sz w:val="24"/>
          <w:szCs w:val="24"/>
        </w:rPr>
        <w:t xml:space="preserve">, not fitted.</w:t>
      </w:r>
      <w:r>
        <w:rPr>
          <w:rFonts w:ascii="Times New Roman" w:cs="Times New Roman" w:eastAsia="Times New Roman" w:hAnsi="Times New Roman"/>
          <w:sz w:val="24"/>
          <w:szCs w:val="24"/>
        </w:rPr>
        <w:t xml:space="preserve">* The baseline balance fixes $\gamma_{\mathrm{eff}}$ from it, so what $k_{ot}$ actually sets is the turnover of the whole osteocyte population — and that is not free, because osteocytes leave the tissue when the bone they occupy is resorbed. Inverting the balance,</w:t>
      </w:r>
    </w:p>
    <w:p>
      <w:pPr>
        <w:spacing w:after="120" w:line="480" w:lineRule="auto"/>
      </w:pPr>
      <w:r>
        <w:rPr>
          <w:rFonts w:ascii="Times New Roman" w:cs="Times New Roman" w:eastAsia="Times New Roman" w:hAnsi="Times New Roman"/>
          <w:sz w:val="24"/>
          <w:szCs w:val="24"/>
        </w:rPr>
        <w:t xml:space="preserve">$$\gamma_{\mathrm{eff}} \equiv \frac{\text{turnover}}{100 \times 365}, \qquad</w:t>
      </w:r>
    </w:p>
    <w:p>
      <w:pPr>
        <w:spacing w:after="120" w:line="480" w:lineRule="auto"/>
      </w:pPr>
      <w:r>
        <w:rPr>
          <w:rFonts w:ascii="Times New Roman" w:cs="Times New Roman" w:eastAsia="Times New Roman" w:hAnsi="Times New Roman"/>
          <w:sz w:val="24"/>
          <w:szCs w:val="24"/>
        </w:rPr>
        <w:t xml:space="preserve">k_{ot} = \frac{\left(\gamma_{\mathrm{eff}} + \delta_{ot,0}\right) n_{ot,0}}{n_{ot,\max} - n_{ot,0}}$$</w:t>
      </w:r>
    </w:p>
    <w:p>
      <w:pPr>
        <w:spacing w:after="120" w:line="480" w:lineRule="auto"/>
      </w:pPr>
      <w:r>
        <w:rPr>
          <w:rFonts w:ascii="Times New Roman" w:cs="Times New Roman" w:eastAsia="Times New Roman" w:hAnsi="Times New Roman"/>
          <w:sz w:val="24"/>
          <w:szCs w:val="24"/>
        </w:rPr>
        <w:t xml:space="preserve">makes $n_{ot} = n_{ot,0}$ a fixed point by construction </w:t>
      </w:r>
      <w:r>
        <w:rPr>
          <w:rFonts w:ascii="Times New Roman" w:cs="Times New Roman" w:eastAsia="Times New Roman" w:hAnsi="Times New Roman"/>
          <w:i/>
          <w:iCs/>
          <w:sz w:val="24"/>
          <w:szCs w:val="24"/>
        </w:rPr>
        <w:t xml:space="preserve">and</w:t>
      </w:r>
      <w:r>
        <w:rPr>
          <w:rFonts w:ascii="Times New Roman" w:cs="Times New Roman" w:eastAsia="Times New Roman" w:hAnsi="Times New Roman"/>
          <w:sz w:val="24"/>
          <w:szCs w:val="24"/>
        </w:rPr>
        <w:t xml:space="preserve"> forces osteocyte turnover to equal bone turnover. Left free it did not: the model resorbed bone at $1.93\times10^{-4}$/day while removing osteocytes at $9.9\times10^{-2}$/day, a factor of 514, which is discussed in the main text.</w:t>
      </w:r>
    </w:p>
    <w:p>
      <w:pPr>
        <w:spacing w:after="120" w:line="480" w:lineRule="auto"/>
      </w:pPr>
      <w:r>
        <w:rPr>
          <w:rFonts w:ascii="Times New Roman" w:cs="Times New Roman" w:eastAsia="Times New Roman" w:hAnsi="Times New Roman"/>
          <w:sz w:val="24"/>
          <w:szCs w:val="24"/>
        </w:rPr>
        <w:t xml:space="preserve">The mechanical apoptosis coefficient $\lambda_{ot,\mathrm{mech}}$ is one of three disuse mechanisms built, measured and shipped </w:t>
      </w:r>
      <w:r>
        <w:rPr>
          <w:rFonts w:ascii="Times New Roman" w:cs="Times New Roman" w:eastAsia="Times New Roman" w:hAnsi="Times New Roman"/>
          <w:b/>
          <w:bCs/>
          <w:sz w:val="24"/>
          <w:szCs w:val="24"/>
        </w:rPr>
        <w:t xml:space="preserve">inert</w:t>
      </w:r>
      <w:r>
        <w:rPr>
          <w:rFonts w:ascii="Times New Roman" w:cs="Times New Roman" w:eastAsia="Times New Roman" w:hAnsi="Times New Roman"/>
          <w:sz w:val="24"/>
          <w:szCs w:val="24"/>
        </w:rPr>
        <w:t xml:space="preserve"> (all three set to zero); see the Limitations.</w:t>
      </w:r>
    </w:p>
    <w:p>
      <w:pPr>
        <w:spacing w:after="120" w:line="480" w:lineRule="auto"/>
      </w:pPr>
      <w:r>
        <w:rPr>
          <w:rFonts w:ascii="Times New Roman" w:cs="Times New Roman" w:eastAsia="Times New Roman" w:hAnsi="Times New Roman"/>
          <w:b/>
          <w:bCs/>
          <w:sz w:val="24"/>
          <w:szCs w:val="24"/>
        </w:rPr>
        <w:t xml:space="preserve">Oestrogen and TNF-α:</w:t>
      </w:r>
      <w:r>
        <w:rPr>
          <w:rFonts w:ascii="Times New Roman" w:cs="Times New Roman" w:eastAsia="Times New Roman" w:hAnsi="Times New Roman"/>
          <w:sz w:val="24"/>
          <w:szCs w:val="24"/>
        </w:rPr>
        <w:t xml:space="preserve"> $E_2$ withdrawal raises $T$, which biases resorption endocortically (M7) and raises sclerostin.</w:t>
      </w:r>
    </w:p>
    <w:p>
      <w:pPr>
        <w:pStyle w:val="Heading1"/>
        <w:spacing w:after="160" w:before="360" w:line="360" w:lineRule="auto"/>
      </w:pPr>
      <w:r>
        <w:rPr>
          <w:rFonts w:ascii="Times New Roman" w:cs="Times New Roman" w:eastAsia="Times New Roman" w:hAnsi="Times New Roman"/>
          <w:b/>
          <w:bCs/>
          <w:sz w:val="28"/>
          <w:szCs w:val="28"/>
        </w:rPr>
        <w:t xml:space="preserve">M5 — Wnt / β-catenin</w:t>
      </w:r>
    </w:p>
    <w:p>
      <w:pPr>
        <w:spacing w:after="120" w:line="480" w:lineRule="auto"/>
      </w:pPr>
      <w:r>
        <w:rPr>
          <w:rFonts w:ascii="Times New Roman" w:cs="Times New Roman" w:eastAsia="Times New Roman" w:hAnsi="Times New Roman"/>
          <w:sz w:val="24"/>
          <w:szCs w:val="24"/>
        </w:rPr>
        <w:t xml:space="preserve">$$W_{\mathrm{eff}} = \frac{W(S)}{W(1)}, \qquad W(x) = \frac{K_W^{m_W}}{K_W^{m_W} + x^{m_W}}, \qquad</w:t>
      </w:r>
    </w:p>
    <w:p>
      <w:pPr>
        <w:spacing w:after="120" w:line="480" w:lineRule="auto"/>
      </w:pPr>
      <w:r>
        <w:rPr>
          <w:rFonts w:ascii="Times New Roman" w:cs="Times New Roman" w:eastAsia="Times New Roman" w:hAnsi="Times New Roman"/>
          <w:sz w:val="24"/>
          <w:szCs w:val="24"/>
        </w:rPr>
        <w:t xml:space="preserve">\frac{d\beta}{dt} = k_\beta\left(W_{\mathrm{eff}} - \beta\right)$$</w:t>
      </w:r>
    </w:p>
    <w:p>
      <w:pPr>
        <w:pStyle w:val="Heading1"/>
        <w:spacing w:after="160" w:before="360" w:line="360" w:lineRule="auto"/>
      </w:pPr>
      <w:r>
        <w:rPr>
          <w:rFonts w:ascii="Times New Roman" w:cs="Times New Roman" w:eastAsia="Times New Roman" w:hAnsi="Times New Roman"/>
          <w:b/>
          <w:bCs/>
          <w:sz w:val="28"/>
          <w:szCs w:val="28"/>
        </w:rPr>
        <w:t xml:space="preserve">M6 — Cell populations</w:t>
      </w:r>
    </w:p>
    <w:p>
      <w:pPr>
        <w:spacing w:after="120" w:line="480" w:lineRule="auto"/>
      </w:pPr>
      <w:r>
        <w:rPr>
          <w:rFonts w:ascii="Times New Roman" w:cs="Times New Roman" w:eastAsia="Times New Roman" w:hAnsi="Times New Roman"/>
          <w:sz w:val="24"/>
          <w:szCs w:val="24"/>
        </w:rPr>
        <w:t xml:space="preserve">Standard RANK/RANKL/OPG structure over responding osteoblast precursors $R$, active osteoblasts $B$ and active osteoclasts $C$, with rate constants taken from the literature. Sclerostin acts </w:t>
      </w:r>
      <w:r>
        <w:rPr>
          <w:rFonts w:ascii="Times New Roman" w:cs="Times New Roman" w:eastAsia="Times New Roman" w:hAnsi="Times New Roman"/>
          <w:b/>
          <w:bCs/>
          <w:sz w:val="24"/>
          <w:szCs w:val="24"/>
        </w:rPr>
        <w:t xml:space="preserve">twice</w:t>
      </w:r>
      <w:r>
        <w:rPr>
          <w:rFonts w:ascii="Times New Roman" w:cs="Times New Roman" w:eastAsia="Times New Roman" w:hAnsi="Times New Roman"/>
          <w:sz w:val="24"/>
          <w:szCs w:val="24"/>
        </w:rPr>
        <w:t xml:space="preserve"> — inhibiting Wnt and up-regulating RANKL — which is what reproduces both the anabolic and the antiresorptive components of anti-sclerostin therapy:</w:t>
      </w:r>
    </w:p>
    <w:p>
      <w:pPr>
        <w:spacing w:after="120" w:line="480" w:lineRule="auto"/>
      </w:pPr>
      <w:r>
        <w:rPr>
          <w:rFonts w:ascii="Times New Roman" w:cs="Times New Roman" w:eastAsia="Times New Roman" w:hAnsi="Times New Roman"/>
          <w:sz w:val="24"/>
          <w:szCs w:val="24"/>
        </w:rPr>
        <w:t xml:space="preserve">$$g_S(S) = 1 + \frac{\lambda_S S}{K_L + S}, \quad</w:t>
      </w:r>
    </w:p>
    <w:p>
      <w:pPr>
        <w:spacing w:after="120" w:line="480" w:lineRule="auto"/>
      </w:pPr>
      <w:r>
        <w:rPr>
          <w:rFonts w:ascii="Times New Roman" w:cs="Times New Roman" w:eastAsia="Times New Roman" w:hAnsi="Times New Roman"/>
          <w:sz w:val="24"/>
          <w:szCs w:val="24"/>
        </w:rPr>
        <w:t xml:space="preserve">g_P(P) = 1 + \frac{\lambda_P P}{K_{PL} + P}, \quad</w:t>
      </w:r>
    </w:p>
    <w:p>
      <w:pPr>
        <w:spacing w:after="120" w:line="480" w:lineRule="auto"/>
      </w:pPr>
      <w:r>
        <w:rPr>
          <w:rFonts w:ascii="Times New Roman" w:cs="Times New Roman" w:eastAsia="Times New Roman" w:hAnsi="Times New Roman"/>
          <w:sz w:val="24"/>
          <w:szCs w:val="24"/>
        </w:rPr>
        <w:t xml:space="preserve">g_E(E_2) = 1 - \lambda_E E_2, \quad</w:t>
      </w:r>
    </w:p>
    <w:p>
      <w:pPr>
        <w:spacing w:after="120" w:line="480" w:lineRule="auto"/>
      </w:pPr>
      <w:r>
        <w:rPr>
          <w:rFonts w:ascii="Times New Roman" w:cs="Times New Roman" w:eastAsia="Times New Roman" w:hAnsi="Times New Roman"/>
          <w:sz w:val="24"/>
          <w:szCs w:val="24"/>
        </w:rPr>
        <w:t xml:space="preserve">g_B(\beta) = 1 + \frac{\lambda_\beta \beta}{K_\beta + \beta}$$</w:t>
      </w:r>
    </w:p>
    <w:p>
      <w:pPr>
        <w:spacing w:after="120" w:line="480" w:lineRule="auto"/>
      </w:pPr>
      <w:r>
        <w:rPr>
          <w:rFonts w:ascii="Times New Roman" w:cs="Times New Roman" w:eastAsia="Times New Roman" w:hAnsi="Times New Roman"/>
          <w:sz w:val="24"/>
          <w:szCs w:val="24"/>
        </w:rPr>
        <w:t xml:space="preserve">$$L_{\mathrm{RANKL}} = \frac{g_S(S) g_P(P) g_E(E_2) g_A(n_{ot})}{g_S(1) g_P(1) g_E(E_{2,0}) g_A(n_{ot,0})}, \qquad</w:t>
      </w:r>
    </w:p>
    <w:p>
      <w:pPr>
        <w:spacing w:after="120" w:line="480" w:lineRule="auto"/>
      </w:pPr>
      <w:r>
        <w:rPr>
          <w:rFonts w:ascii="Times New Roman" w:cs="Times New Roman" w:eastAsia="Times New Roman" w:hAnsi="Times New Roman"/>
          <w:sz w:val="24"/>
          <w:szCs w:val="24"/>
        </w:rPr>
        <w:t xml:space="preserve">O_{\mathrm{OPG}} = \frac{g_B(\beta)}{g_B(1)}$$</w:t>
      </w:r>
    </w:p>
    <w:p>
      <w:pPr>
        <w:spacing w:after="120" w:line="480" w:lineRule="auto"/>
      </w:pPr>
      <w:r>
        <w:rPr>
          <w:rFonts w:ascii="Times New Roman" w:cs="Times New Roman" w:eastAsia="Times New Roman" w:hAnsi="Times New Roman"/>
          <w:sz w:val="24"/>
          <w:szCs w:val="24"/>
        </w:rPr>
        <w:t xml:space="preserve">$$g_A(n) = 1 + \lambda_{\mathrm{apop}} \max\!\left(0,\, 1 - \frac{n}{n_{ot,0}}\right)$$</w:t>
      </w:r>
    </w:p>
    <w:p>
      <w:pPr>
        <w:spacing w:after="120" w:line="480" w:lineRule="auto"/>
      </w:pPr>
      <w:r>
        <w:rPr>
          <w:rFonts w:ascii="Times New Roman" w:cs="Times New Roman" w:eastAsia="Times New Roman" w:hAnsi="Times New Roman"/>
          <w:sz w:val="24"/>
          <w:szCs w:val="24"/>
        </w:rPr>
        <w:t xml:space="preserve">$g_A$ is the direct RANKL release from dying osteocytes. It is written on the </w:t>
      </w:r>
      <w:r>
        <w:rPr>
          <w:rFonts w:ascii="Times New Roman" w:cs="Times New Roman" w:eastAsia="Times New Roman" w:hAnsi="Times New Roman"/>
          <w:i/>
          <w:iCs/>
          <w:sz w:val="24"/>
          <w:szCs w:val="24"/>
        </w:rPr>
        <w:t xml:space="preserve">deficit</w:t>
      </w:r>
      <w:r>
        <w:rPr>
          <w:rFonts w:ascii="Times New Roman" w:cs="Times New Roman" w:eastAsia="Times New Roman" w:hAnsi="Times New Roman"/>
          <w:sz w:val="24"/>
          <w:szCs w:val="24"/>
        </w:rPr>
        <w:t xml:space="preserve">, so $g_A(n_{ot,0}) = 1$ exactly and no baseline or non-disuse result can be perturbed whatever $\lambda_{\mathrm{apop}}$ is. Shipped at zero; see the Limitations.</w:t>
      </w:r>
    </w:p>
    <w:p>
      <w:pPr>
        <w:spacing w:after="120" w:line="480" w:lineRule="auto"/>
      </w:pPr>
      <w:r>
        <w:rPr>
          <w:rFonts w:ascii="Times New Roman" w:cs="Times New Roman" w:eastAsia="Times New Roman" w:hAnsi="Times New Roman"/>
          <w:sz w:val="24"/>
          <w:szCs w:val="24"/>
        </w:rPr>
        <w:t xml:space="preserve">$$\pi_L = \frac{L_{\mathrm{RANKL}}}{K_{L3} + L_{\mathrm{RANKL}} + \kappa_{\mathrm{OPG}} O_{\mathrm{OPG}}} \Big/ \left.\phantom{x}\right|_{\text{baseline}}$$</w:t>
      </w:r>
    </w:p>
    <w:p>
      <w:pPr>
        <w:pStyle w:val="Heading1"/>
        <w:spacing w:after="160" w:before="360" w:line="360" w:lineRule="auto"/>
      </w:pPr>
      <w:r>
        <w:rPr>
          <w:rFonts w:ascii="Times New Roman" w:cs="Times New Roman" w:eastAsia="Times New Roman" w:hAnsi="Times New Roman"/>
          <w:b/>
          <w:bCs/>
          <w:sz w:val="28"/>
          <w:szCs w:val="28"/>
        </w:rPr>
        <w:t xml:space="preserve">M7 — Structure and mineralisation</w:t>
      </w:r>
    </w:p>
    <w:p>
      <w:pPr>
        <w:spacing w:after="120" w:line="480" w:lineRule="auto"/>
      </w:pPr>
      <w:r>
        <w:rPr>
          <w:rFonts w:ascii="Times New Roman" w:cs="Times New Roman" w:eastAsia="Times New Roman" w:hAnsi="Times New Roman"/>
          <w:b/>
          <w:bCs/>
          <w:sz w:val="24"/>
          <w:szCs w:val="24"/>
        </w:rPr>
        <w:t xml:space="preserve">Surface allocation.</w:t>
      </w:r>
      <w:r>
        <w:rPr>
          <w:rFonts w:ascii="Times New Roman" w:cs="Times New Roman" w:eastAsia="Times New Roman" w:hAnsi="Times New Roman"/>
          <w:sz w:val="24"/>
          <w:szCs w:val="24"/>
        </w:rPr>
        <w:t xml:space="preserve"> Formation follows the strain gradient across the wall, weighted by available surface area:</w:t>
      </w:r>
    </w:p>
    <w:p>
      <w:pPr>
        <w:spacing w:after="120" w:line="480" w:lineRule="auto"/>
      </w:pPr>
      <w:r>
        <w:rPr>
          <w:rFonts w:ascii="Times New Roman" w:cs="Times New Roman" w:eastAsia="Times New Roman" w:hAnsi="Times New Roman"/>
          <w:sz w:val="24"/>
          <w:szCs w:val="24"/>
        </w:rPr>
        <w:t xml:space="preserve">$$\eta \propto A \odot \left[D(\varepsilon_p),\, D(\varepsilon_e),\, D(\bar\varepsilon)\right], \qquad</w:t>
      </w:r>
    </w:p>
    <w:p>
      <w:pPr>
        <w:spacing w:after="120" w:line="480" w:lineRule="auto"/>
      </w:pPr>
      <w:r>
        <w:rPr>
          <w:rFonts w:ascii="Times New Roman" w:cs="Times New Roman" w:eastAsia="Times New Roman" w:hAnsi="Times New Roman"/>
          <w:sz w:val="24"/>
          <w:szCs w:val="24"/>
        </w:rPr>
        <w:t xml:space="preserve">A = \left[\xi_{p,0},\, \xi_{e,0},\, \xi_{i,0}\right]$$</w:t>
      </w:r>
    </w:p>
    <w:p>
      <w:pPr>
        <w:spacing w:after="120" w:line="480" w:lineRule="auto"/>
      </w:pPr>
      <w:r>
        <w:rPr>
          <w:rFonts w:ascii="Times New Roman" w:cs="Times New Roman" w:eastAsia="Times New Roman" w:hAnsi="Times New Roman"/>
          <w:sz w:val="24"/>
          <w:szCs w:val="24"/>
        </w:rPr>
        <w:t xml:space="preserve">normalised to sum to 1. Area weighting is essential: dose alone hands the periosteum ~35 % of all formation despite ~5 % of the surface. Resorption follows area with two biases on two different surfaces, driven by two different signals — TNF-α endocortically, and the mechanical dose deficit intracortically:</w:t>
      </w:r>
    </w:p>
    <w:p>
      <w:pPr>
        <w:spacing w:after="120" w:line="480" w:lineRule="auto"/>
      </w:pPr>
      <w:r>
        <w:rPr>
          <w:rFonts w:ascii="Times New Roman" w:cs="Times New Roman" w:eastAsia="Times New Roman" w:hAnsi="Times New Roman"/>
          <w:sz w:val="24"/>
          <w:szCs w:val="24"/>
        </w:rPr>
        <w:t xml:space="preserve">$$\xi \propto A \odot \left[1,\; 1 + \frac{\lambda_\xi (T-1)}{K_T + T},\; 1 + \lambda_{\xi,\mathrm{mech}} \max\!\left(0,\, 1 - \hat D\right)\right]$$</w:t>
      </w:r>
    </w:p>
    <w:p>
      <w:pPr>
        <w:spacing w:after="120" w:line="480" w:lineRule="auto"/>
      </w:pPr>
      <w:r>
        <w:rPr>
          <w:rFonts w:ascii="Times New Roman" w:cs="Times New Roman" w:eastAsia="Times New Roman" w:hAnsi="Times New Roman"/>
          <w:sz w:val="24"/>
          <w:szCs w:val="24"/>
        </w:rPr>
        <w:t xml:space="preserve">Oestrogen withdrawal shifts resorption endocortically, the wider-but-thinner postmenopausal cortex; unloading shifts it intracortically, which is the raised cortical porosity measured in long-term immobilisation. Both factors are exactly 1 at the reference state ($T = 1$, $\hat D = 1$), so the baseline split is untouched whatever the coefficients are. $\lambda_{\xi,\mathrm{mech}}$ is shipped at zero; see the Limitations.</w:t>
      </w:r>
    </w:p>
    <w:p>
      <w:pPr>
        <w:spacing w:after="120" w:line="480" w:lineRule="auto"/>
      </w:pPr>
      <w:r>
        <w:rPr>
          <w:rFonts w:ascii="Times New Roman" w:cs="Times New Roman" w:eastAsia="Times New Roman" w:hAnsi="Times New Roman"/>
          <w:b/>
          <w:bCs/>
          <w:sz w:val="24"/>
          <w:szCs w:val="24"/>
        </w:rPr>
        <w:t xml:space="preserve">Surface evolution.</w:t>
      </w:r>
      <w:r>
        <w:rPr>
          <w:rFonts w:ascii="Times New Roman" w:cs="Times New Roman" w:eastAsia="Times New Roman" w:hAnsi="Times New Roman"/>
          <w:sz w:val="24"/>
          <w:szCs w:val="24"/>
        </w:rPr>
        <w:t xml:space="preserve"> $r_e$ increasing means endocortical resorption, i.e. a thinning cortex; tracking $r_p$ and $r_e$ separately is what allows the marrow cavity to enlarge while the bone grows.</w:t>
      </w:r>
    </w:p>
    <w:p>
      <w:pPr>
        <w:spacing w:after="120" w:line="480" w:lineRule="auto"/>
      </w:pPr>
      <w:r>
        <w:rPr>
          <w:rFonts w:ascii="Times New Roman" w:cs="Times New Roman" w:eastAsia="Times New Roman" w:hAnsi="Times New Roman"/>
          <w:sz w:val="24"/>
          <w:szCs w:val="24"/>
        </w:rPr>
        <w:t xml:space="preserve">$$\frac{dr_p}{dt} = v_{\mathrm{form}} \eta_p - v_{\mathrm{res}} \xi_p + \mathcal{M}, \qquad</w:t>
      </w:r>
    </w:p>
    <w:p>
      <w:pPr>
        <w:spacing w:after="120" w:line="480" w:lineRule="auto"/>
      </w:pPr>
      <w:r>
        <w:rPr>
          <w:rFonts w:ascii="Times New Roman" w:cs="Times New Roman" w:eastAsia="Times New Roman" w:hAnsi="Times New Roman"/>
          <w:sz w:val="24"/>
          <w:szCs w:val="24"/>
        </w:rPr>
        <w:t xml:space="preserve">\frac{dr_e}{dt} = v_{\mathrm{res}} \xi_e - v_{\mathrm{form}} \eta_e + \chi_{\mathrm{drift}} \mathcal{M}$$</w:t>
      </w:r>
    </w:p>
    <w:p>
      <w:pPr>
        <w:spacing w:after="120" w:line="480" w:lineRule="auto"/>
      </w:pPr>
      <w:r>
        <w:rPr>
          <w:rFonts w:ascii="Times New Roman" w:cs="Times New Roman" w:eastAsia="Times New Roman" w:hAnsi="Times New Roman"/>
          <w:sz w:val="24"/>
          <w:szCs w:val="24"/>
        </w:rPr>
        <w:t xml:space="preserve">$$\frac{df_{bm}}{dt} = \frac{\hat{S}_v(f_{bm})}{w_{\mathrm{wall}}}\left(v_{\mathrm{form}} \eta_i - v_{\mathrm{res}} \xi_i\right)$$</w:t>
      </w:r>
    </w:p>
    <w:p>
      <w:pPr>
        <w:spacing w:after="120" w:line="480" w:lineRule="auto"/>
      </w:pPr>
      <w:r>
        <w:rPr>
          <w:rFonts w:ascii="Times New Roman" w:cs="Times New Roman" w:eastAsia="Times New Roman" w:hAnsi="Times New Roman"/>
          <w:sz w:val="24"/>
          <w:szCs w:val="24"/>
        </w:rPr>
        <w:t xml:space="preserve">with $v_{\mathrm{form}} = k_{\mathrm{form}} B$ and $v_{\mathrm{res}} = k_{\mathrm{res}} C$. The specific surface $\hat S_v(f_{bm})$ carries the second positive feedback: as $f_{bm}$ falls there is progressively less surface to rebuild on.</w:t>
      </w:r>
    </w:p>
    <w:p>
      <w:pPr>
        <w:spacing w:after="120" w:line="480" w:lineRule="auto"/>
      </w:pPr>
      <w:r>
        <w:rPr>
          <w:rFonts w:ascii="Times New Roman" w:cs="Times New Roman" w:eastAsia="Times New Roman" w:hAnsi="Times New Roman"/>
          <w:b/>
          <w:bCs/>
          <w:sz w:val="24"/>
          <w:szCs w:val="24"/>
        </w:rPr>
        <w:t xml:space="preserve">Frost modelling drift.</w:t>
      </w:r>
      <w:r>
        <w:rPr>
          <w:rFonts w:ascii="Times New Roman" w:cs="Times New Roman" w:eastAsia="Times New Roman" w:hAnsi="Times New Roman"/>
          <w:sz w:val="24"/>
          <w:szCs w:val="24"/>
        </w:rPr>
        <w:t xml:space="preserve"> Vigorous loading drives direct periosteal apposition, distinct from the dose/remodelling pathway, with a strain threshold (minimum effective strain for modelling) so that it is silent during normal daily activity and during every calibration scenario:</w:t>
      </w:r>
    </w:p>
    <w:p>
      <w:pPr>
        <w:spacing w:after="120" w:line="480" w:lineRule="auto"/>
      </w:pPr>
      <w:r>
        <w:rPr>
          <w:rFonts w:ascii="Times New Roman" w:cs="Times New Roman" w:eastAsia="Times New Roman" w:hAnsi="Times New Roman"/>
          <w:sz w:val="24"/>
          <w:szCs w:val="24"/>
        </w:rPr>
        <w:t xml:space="preserve">$$\mathcal{M} = k_{\mathrm{model}}\, \frac{\Delta\varepsilon}{1 + \Delta\varepsilon/\varepsilon_{\mathrm{sat}}} \left(\frac{n_{ot}}{n_{ot,0}}\right)^{\zeta}, \qquad</w:t>
      </w:r>
    </w:p>
    <w:p>
      <w:pPr>
        <w:spacing w:after="120" w:line="480" w:lineRule="auto"/>
      </w:pPr>
      <w:r>
        <w:rPr>
          <w:rFonts w:ascii="Times New Roman" w:cs="Times New Roman" w:eastAsia="Times New Roman" w:hAnsi="Times New Roman"/>
          <w:sz w:val="24"/>
          <w:szCs w:val="24"/>
        </w:rPr>
        <w:t xml:space="preserve">\Delta\varepsilon = \max\!\left(0,\, \varepsilon_p - \varepsilon^*_{\mathrm{model}}\right)$$</w:t>
      </w:r>
    </w:p>
    <w:p>
      <w:pPr>
        <w:spacing w:after="120" w:line="480" w:lineRule="auto"/>
      </w:pPr>
      <w:r>
        <w:rPr>
          <w:rFonts w:ascii="Times New Roman" w:cs="Times New Roman" w:eastAsia="Times New Roman" w:hAnsi="Times New Roman"/>
          <w:sz w:val="24"/>
          <w:szCs w:val="24"/>
        </w:rPr>
        <w:t xml:space="preserve">Two features are load-bearing. The </w:t>
      </w:r>
      <w:r>
        <w:rPr>
          <w:rFonts w:ascii="Times New Roman" w:cs="Times New Roman" w:eastAsia="Times New Roman" w:hAnsi="Times New Roman"/>
          <w:b/>
          <w:bCs/>
          <w:sz w:val="24"/>
          <w:szCs w:val="24"/>
        </w:rPr>
        <w:t xml:space="preserve">saturation</w:t>
      </w:r>
      <w:r>
        <w:rPr>
          <w:rFonts w:ascii="Times New Roman" w:cs="Times New Roman" w:eastAsia="Times New Roman" w:hAnsi="Times New Roman"/>
          <w:sz w:val="24"/>
          <w:szCs w:val="24"/>
        </w:rPr>
        <w:t xml:space="preserve"> bounds the rate at $k_{\mathrm{model}}\varepsilon_{\mathrm{sat}} = 1.93\ \mu\mathrm{m/day}$; without it the term is linear in strain excess and unbounded, and at pathological bone volume fraction it demands 1513 mm/yr of apposition, producing a spurious 99 mm cortex. The chosen $\varepsilon_{\mathrm{sat}}$ places half-maximal response at the yield strain of cortical bone (7000 με), beyond which tissue damages rather than adapts, and independently places the rate ceiling inside the documented range for rapid mineral apposition (1–5 μm/day). The </w:t>
      </w:r>
      <w:r>
        <w:rPr>
          <w:rFonts w:ascii="Times New Roman" w:cs="Times New Roman" w:eastAsia="Times New Roman" w:hAnsi="Times New Roman"/>
          <w:b/>
          <w:bCs/>
          <w:sz w:val="24"/>
          <w:szCs w:val="24"/>
        </w:rPr>
        <w:t xml:space="preserve">drift coupling</w:t>
      </w:r>
      <w:r>
        <w:rPr>
          <w:rFonts w:ascii="Times New Roman" w:cs="Times New Roman" w:eastAsia="Times New Roman" w:hAnsi="Times New Roman"/>
          <w:sz w:val="24"/>
          <w:szCs w:val="24"/>
        </w:rPr>
        <w:t xml:space="preserve"> $\chi_{\mathrm{drift}} = 1$ makes the term a pure translation of the cortex, conserving wall thickness, as a modelling drift should; $\chi_{\mathrm{drift}} = 0$ would inflate the cortex instead and contracts the marrow cavity under loading, contrary to observation.</w:t>
      </w:r>
    </w:p>
    <w:p>
      <w:pPr>
        <w:spacing w:after="120" w:line="480" w:lineRule="auto"/>
      </w:pPr>
      <w:r>
        <w:rPr>
          <w:rFonts w:ascii="Times New Roman" w:cs="Times New Roman" w:eastAsia="Times New Roman" w:hAnsi="Times New Roman"/>
          <w:b/>
          <w:bCs/>
          <w:sz w:val="24"/>
          <w:szCs w:val="24"/>
        </w:rPr>
        <w:t xml:space="preserve">Mineralisation.</w:t>
      </w:r>
      <w:r>
        <w:rPr>
          <w:rFonts w:ascii="Times New Roman" w:cs="Times New Roman" w:eastAsia="Times New Roman" w:hAnsi="Times New Roman"/>
          <w:sz w:val="24"/>
          <w:szCs w:val="24"/>
        </w:rPr>
        <w:t xml:space="preserve"> Mean tissue mineral density is a single </w:t>
      </w:r>
      <w:r>
        <w:rPr>
          <w:rFonts w:ascii="Times New Roman" w:cs="Times New Roman" w:eastAsia="Times New Roman" w:hAnsi="Times New Roman"/>
          <w:i/>
          <w:iCs/>
          <w:sz w:val="24"/>
          <w:szCs w:val="24"/>
        </w:rPr>
        <w:t xml:space="preserve">intensive</w:t>
      </w:r>
      <w:r>
        <w:rPr>
          <w:rFonts w:ascii="Times New Roman" w:cs="Times New Roman" w:eastAsia="Times New Roman" w:hAnsi="Times New Roman"/>
          <w:sz w:val="24"/>
          <w:szCs w:val="24"/>
        </w:rPr>
        <w:t xml:space="preserve"> state that falls as new low-density matrix is deposited and rises as existing matrix matures:</w:t>
      </w:r>
    </w:p>
    <w:p>
      <w:pPr>
        <w:spacing w:after="120" w:line="480" w:lineRule="auto"/>
      </w:pPr>
      <w:r>
        <w:rPr>
          <w:rFonts w:ascii="Times New Roman" w:cs="Times New Roman" w:eastAsia="Times New Roman" w:hAnsi="Times New Roman"/>
          <w:sz w:val="24"/>
          <w:szCs w:val="24"/>
        </w:rPr>
        <w:t xml:space="preserve">$$\frac{d\bar\rho_{\min}}{dt} = \mu_{\mathrm{turn}}\left(\rho_{\mathrm{prim}} - \bar\rho_{\min}\right) + \text{maturation}$$</w:t>
      </w:r>
    </w:p>
    <w:p>
      <w:pPr>
        <w:spacing w:after="120" w:line="480" w:lineRule="auto"/>
      </w:pPr>
      <w:r>
        <w:rPr>
          <w:rFonts w:ascii="Times New Roman" w:cs="Times New Roman" w:eastAsia="Times New Roman" w:hAnsi="Times New Roman"/>
          <w:sz w:val="24"/>
          <w:szCs w:val="24"/>
        </w:rPr>
        <w:t xml:space="preserve">An earlier two-pool extensive formulation made $\bar\rho_{\min}$ rise during formation — the wrong direction — and that artefact was responsible for an apparent romosozumab result that did not survive correction.</w:t>
      </w:r>
    </w:p>
    <w:p>
      <w:pPr>
        <w:spacing w:after="120" w:line="480" w:lineRule="auto"/>
      </w:pPr>
      <w:r>
        <w:rPr>
          <w:rFonts w:ascii="Times New Roman" w:cs="Times New Roman" w:eastAsia="Times New Roman" w:hAnsi="Times New Roman"/>
          <w:b/>
          <w:bCs/>
          <w:sz w:val="24"/>
          <w:szCs w:val="24"/>
        </w:rPr>
        <w:t xml:space="preserve">Densitometry.</w:t>
      </w:r>
    </w:p>
    <w:p>
      <w:pPr>
        <w:spacing w:after="120" w:line="480" w:lineRule="auto"/>
      </w:pPr>
      <w:r>
        <w:rPr>
          <w:rFonts w:ascii="Times New Roman" w:cs="Times New Roman" w:eastAsia="Times New Roman" w:hAnsi="Times New Roman"/>
          <w:sz w:val="24"/>
          <w:szCs w:val="24"/>
        </w:rPr>
        <w:t xml:space="preserve">$$\mathrm{BMC}/L = A_g f_{bm} \bar\rho_{\min}, \qquad</w:t>
      </w:r>
    </w:p>
    <w:p>
      <w:pPr>
        <w:spacing w:after="120" w:line="480" w:lineRule="auto"/>
      </w:pPr>
      <w:r>
        <w:rPr>
          <w:rFonts w:ascii="Times New Roman" w:cs="Times New Roman" w:eastAsia="Times New Roman" w:hAnsi="Times New Roman"/>
          <w:sz w:val="24"/>
          <w:szCs w:val="24"/>
        </w:rPr>
        <w:t xml:space="preserve">\mathrm{aBMD} = \frac{A_g f_{bm} \bar\rho_{\min}}{2 r_p}, \qquad</w:t>
      </w:r>
    </w:p>
    <w:p>
      <w:pPr>
        <w:spacing w:after="120" w:line="480" w:lineRule="auto"/>
      </w:pPr>
      <w:r>
        <w:rPr>
          <w:rFonts w:ascii="Times New Roman" w:cs="Times New Roman" w:eastAsia="Times New Roman" w:hAnsi="Times New Roman"/>
          <w:sz w:val="24"/>
          <w:szCs w:val="24"/>
        </w:rPr>
        <w:t xml:space="preserve">\mathrm{vBMD} = f_{bm} \bar\rho_{\min}$$</w:t>
      </w:r>
    </w:p>
    <w:p>
      <w:pPr>
        <w:spacing w:after="120" w:line="480" w:lineRule="auto"/>
      </w:pPr>
      <w:r>
        <w:rPr>
          <w:rFonts w:ascii="Times New Roman" w:cs="Times New Roman" w:eastAsia="Times New Roman" w:hAnsi="Times New Roman"/>
          <w:b/>
          <w:bCs/>
          <w:sz w:val="24"/>
          <w:szCs w:val="24"/>
        </w:rPr>
        <w:t xml:space="preserve">Both are reported, and the areal size artefact is intentional.</w:t>
      </w:r>
      <w:r>
        <w:rPr>
          <w:rFonts w:ascii="Times New Roman" w:cs="Times New Roman" w:eastAsia="Times New Roman" w:hAnsi="Times New Roman"/>
          <w:sz w:val="24"/>
          <w:szCs w:val="24"/>
        </w:rPr>
        <w:t xml:space="preserve"> Dividing by projected width reproduces the well-known confounding of bone size with bone density in dual-energy X-ray absorptiometry: periosteal expansion raises areal density even when volumetric density is unchanged. Retaining it is what allows one model to be compared against both the densitometry literature (calcium, romosozumab) and the peripheral quantitative computed tomography literature (racquet-sport asymmetry), and it is the origin of the 61 % dilution of the loading response reported in the main text.</w:t>
      </w:r>
    </w:p>
    <w:p>
      <w:pPr>
        <w:spacing w:after="120" w:line="480" w:lineRule="auto"/>
      </w:pPr>
      <w:r>
        <w:rPr>
          <w:rFonts w:ascii="Times New Roman" w:cs="Times New Roman" w:eastAsia="Times New Roman" w:hAnsi="Times New Roman"/>
          <w:b/>
          <w:bCs/>
          <w:sz w:val="24"/>
          <w:szCs w:val="24"/>
        </w:rPr>
        <w:t xml:space="preserve">Bone-mass balance.</w:t>
      </w:r>
      <w:r>
        <w:rPr>
          <w:rFonts w:ascii="Times New Roman" w:cs="Times New Roman" w:eastAsia="Times New Roman" w:hAnsi="Times New Roman"/>
          <w:sz w:val="24"/>
          <w:szCs w:val="24"/>
        </w:rPr>
        <w:t xml:space="preserve"> Because $\eta_p &gt; \xi_p$ always, there is no stationary geometric fixed point; the only defensible baseline condition is conservation of bone </w:t>
      </w:r>
      <w:r>
        <w:rPr>
          <w:rFonts w:ascii="Times New Roman" w:cs="Times New Roman" w:eastAsia="Times New Roman" w:hAnsi="Times New Roman"/>
          <w:i/>
          <w:iCs/>
          <w:sz w:val="24"/>
          <w:szCs w:val="24"/>
        </w:rPr>
        <w:t xml:space="preserve">mass</w:t>
      </w:r>
      <w:r>
        <w:rPr>
          <w:rFonts w:ascii="Times New Roman" w:cs="Times New Roman" w:eastAsia="Times New Roman" w:hAnsi="Times New Roman"/>
          <w:sz w:val="24"/>
          <w:szCs w:val="24"/>
        </w:rPr>
        <w:t xml:space="preserve">. $k_{\mathrm{form}}$ is therefore derived at every parameter set from $d(A_g f_{bm})/dt = 0$ rather than fitted, which keeps the baseline balanced by construction when any parameter affecting $\eta$ or $\xi$ changes. Turnover magnitude is then carried by $k_{\mathrm{res}}$ alone. $k_{ot}$ (M4) is derived in the same spirit and for the same reason, from the turnover $k_{\mathrm{res}}$ sets: two constants the baseline state already determines, and therefore two that must not also be fitted.</w:t>
      </w:r>
    </w:p>
    <w:p>
      <w:pPr>
        <w:pStyle w:val="Heading1"/>
        <w:spacing w:after="160" w:before="360" w:line="360" w:lineRule="auto"/>
      </w:pPr>
      <w:r>
        <w:rPr>
          <w:rFonts w:ascii="Times New Roman" w:cs="Times New Roman" w:eastAsia="Times New Roman" w:hAnsi="Times New Roman"/>
          <w:b/>
          <w:bCs/>
          <w:sz w:val="28"/>
          <w:szCs w:val="28"/>
        </w:rPr>
        <w:t xml:space="preserve">M8 — Systemic calcium, PTH and 1,25(OH)₂D</w:t>
      </w:r>
    </w:p>
    <w:p>
      <w:pPr>
        <w:spacing w:after="120" w:line="480" w:lineRule="auto"/>
      </w:pPr>
      <w:r>
        <w:rPr>
          <w:rFonts w:ascii="Times New Roman" w:cs="Times New Roman" w:eastAsia="Times New Roman" w:hAnsi="Times New Roman"/>
          <w:sz w:val="24"/>
          <w:szCs w:val="24"/>
        </w:rPr>
        <w:t xml:space="preserve">Serum calcium, PTH and 1,25-dihydroxyvitamin D with intestinal absorption, renal handling and bone flux, coupled bidirectionally: bone-cell activity draws on and releases to the serum pool, and PTH feeds back into M4 through both sclerostin and RANKL. In the two-compartment model the systemic pool is driven by the mean of the two sites' bone-cell activity, since a single humerus is a negligible fraction of whole-body calcium turnover — the sites are probes of the shared pool, not drivers of it.</w:t>
      </w:r>
    </w:p>
    <w:p>
      <w:pPr>
        <w:spacing w:after="120" w:line="480" w:lineRule="auto"/>
      </w:pPr>
      <w:r>
        <w:rPr>
          <w:rFonts w:ascii="Times New Roman" w:cs="Times New Roman" w:eastAsia="Times New Roman" w:hAnsi="Times New Roman"/>
          <w:sz w:val="24"/>
          <w:szCs w:val="24"/>
        </w:rPr>
        <w:t xml:space="preserve">Every term below is a calcium flux in mg/day.</w:t>
      </w:r>
    </w:p>
    <w:p>
      <w:pPr>
        <w:spacing w:after="120" w:line="480" w:lineRule="auto"/>
      </w:pPr>
      <w:r>
        <w:rPr>
          <w:rFonts w:ascii="Times New Roman" w:cs="Times New Roman" w:eastAsia="Times New Roman" w:hAnsi="Times New Roman"/>
          <w:sz w:val="24"/>
          <w:szCs w:val="24"/>
        </w:rPr>
        <w:t xml:space="preserve">$$\frac{d\mathrm{Ca}_s}{dt} = \frac{\kappa_{\mathrm{Ca}}}{k_{\mathrm{ren}}}\left[\mathrm{Abs}(I_{\mathrm{Ca}}, V_D) + \phi_{\mathrm{res}} v_{\mathrm{res}} - \phi_{\mathrm{form}} v_{\mathrm{form}} - \mathrm{Renal}(\mathrm{Ca}_s, P)\right]$$</w:t>
      </w:r>
    </w:p>
    <w:p>
      <w:pPr>
        <w:spacing w:after="120" w:line="480" w:lineRule="auto"/>
      </w:pPr>
      <w:r>
        <w:rPr>
          <w:rFonts w:ascii="Times New Roman" w:cs="Times New Roman" w:eastAsia="Times New Roman" w:hAnsi="Times New Roman"/>
          <w:sz w:val="24"/>
          <w:szCs w:val="24"/>
        </w:rPr>
        <w:t xml:space="preserve">$$\frac{dP}{dt} = \delta_P\left(P_{\mathrm{set}}(\mathrm{Ca}_s) - P\right), \qquad</w:t>
      </w:r>
    </w:p>
    <w:p>
      <w:pPr>
        <w:spacing w:after="120" w:line="480" w:lineRule="auto"/>
      </w:pPr>
      <w:r>
        <w:rPr>
          <w:rFonts w:ascii="Times New Roman" w:cs="Times New Roman" w:eastAsia="Times New Roman" w:hAnsi="Times New Roman"/>
          <w:sz w:val="24"/>
          <w:szCs w:val="24"/>
        </w:rPr>
        <w:t xml:space="preserve">\frac{dV_D}{dt} = \delta_{VD}\left(V_{D,\mathrm{set}}(P) - V_D\right)$$</w:t>
      </w:r>
    </w:p>
    <w:p>
      <w:pPr>
        <w:spacing w:after="120" w:line="480" w:lineRule="auto"/>
      </w:pPr>
      <w:r>
        <w:rPr>
          <w:rFonts w:ascii="Times New Roman" w:cs="Times New Roman" w:eastAsia="Times New Roman" w:hAnsi="Times New Roman"/>
          <w:b/>
          <w:bCs/>
          <w:sz w:val="24"/>
          <w:szCs w:val="24"/>
        </w:rPr>
        <w:t xml:space="preserve">Absorption</w:t>
      </w:r>
      <w:r>
        <w:rPr>
          <w:rFonts w:ascii="Times New Roman" w:cs="Times New Roman" w:eastAsia="Times New Roman" w:hAnsi="Times New Roman"/>
          <w:sz w:val="24"/>
          <w:szCs w:val="24"/>
        </w:rPr>
        <w:t xml:space="preserve"> has an unregulated paracellular arm linear in intake and a transcellular arm that saturates in intake and is gated by calcitriol. The second arm carries most of the baseline flux, and it is what buffers a change in dietary calcium: more intake raises serum calcium, which lowers PTH, which lowers $V_D$, which closes the transcellular arm.</w:t>
      </w:r>
    </w:p>
    <w:p>
      <w:pPr>
        <w:spacing w:after="120" w:line="480" w:lineRule="auto"/>
      </w:pPr>
      <w:r>
        <w:rPr>
          <w:rFonts w:ascii="Times New Roman" w:cs="Times New Roman" w:eastAsia="Times New Roman" w:hAnsi="Times New Roman"/>
          <w:sz w:val="24"/>
          <w:szCs w:val="24"/>
        </w:rPr>
        <w:t xml:space="preserve">$$\mathrm{Abs} = a_p I_{\mathrm{Ca}} + a_a I_{\mathrm{Ca},0}\,\frac{I_{\mathrm{Ca}}}{K_I + I_{\mathrm{Ca}}}\,\frac{V_D}{K_{VD} + V_D}$$</w:t>
      </w:r>
    </w:p>
    <w:p>
      <w:pPr>
        <w:spacing w:after="120" w:line="480" w:lineRule="auto"/>
      </w:pPr>
      <w:r>
        <w:rPr>
          <w:rFonts w:ascii="Times New Roman" w:cs="Times New Roman" w:eastAsia="Times New Roman" w:hAnsi="Times New Roman"/>
          <w:b/>
          <w:bCs/>
          <w:sz w:val="24"/>
          <w:szCs w:val="24"/>
        </w:rPr>
        <w:t xml:space="preserve">Renal excretion</w:t>
      </w:r>
      <w:r>
        <w:rPr>
          <w:rFonts w:ascii="Times New Roman" w:cs="Times New Roman" w:eastAsia="Times New Roman" w:hAnsi="Times New Roman"/>
          <w:sz w:val="24"/>
          <w:szCs w:val="24"/>
        </w:rPr>
        <w:t xml:space="preserve"> is what the tubule fails to reclaim: the excess of serum calcium over a threshold that PTH raises. Its steepness is not a free parameter but a consequence of where the threshold sits — placing it about 2 % below $\mathrm{Ca}_{s,0}$ makes excretion a small difference of two large numbers, which is the same statement as "about 98 % of filtered calcium is reabsorbed". The gain then follows from closing the baseline balance, so the module has one free physiological choice rather than a fitted exponent.</w:t>
      </w:r>
    </w:p>
    <w:p>
      <w:pPr>
        <w:spacing w:after="120" w:line="480" w:lineRule="auto"/>
      </w:pPr>
      <w:r>
        <w:rPr>
          <w:rFonts w:ascii="Times New Roman" w:cs="Times New Roman" w:eastAsia="Times New Roman" w:hAnsi="Times New Roman"/>
          <w:sz w:val="24"/>
          <w:szCs w:val="24"/>
        </w:rPr>
        <w:t xml:space="preserve">$$\mathrm{Renal} = k_{\mathrm{ren}}\max\left(\mathrm{Ca}_s - \mathrm{Ca}_{\mathrm{th}}, 0\right), \qquad</w:t>
      </w:r>
    </w:p>
    <w:p>
      <w:pPr>
        <w:spacing w:after="120" w:line="480" w:lineRule="auto"/>
      </w:pPr>
      <w:r>
        <w:rPr>
          <w:rFonts w:ascii="Times New Roman" w:cs="Times New Roman" w:eastAsia="Times New Roman" w:hAnsi="Times New Roman"/>
          <w:sz w:val="24"/>
          <w:szCs w:val="24"/>
        </w:rPr>
        <w:t xml:space="preserve">\mathrm{Ca}_{\mathrm{th}} = \mathrm{Ca}_{\mathrm{th},0} + \lambda_{P}^{\mathrm{ren}}\,\Delta\,(P - 1)$$</w:t>
      </w:r>
    </w:p>
    <w:p>
      <w:pPr>
        <w:spacing w:after="120" w:line="480" w:lineRule="auto"/>
      </w:pPr>
      <w:r>
        <w:rPr>
          <w:rFonts w:ascii="Times New Roman" w:cs="Times New Roman" w:eastAsia="Times New Roman" w:hAnsi="Times New Roman"/>
          <w:sz w:val="24"/>
          <w:szCs w:val="24"/>
        </w:rPr>
        <w:t xml:space="preserve">$$\Delta = \mathrm{Ca}_{s,0} - \mathrm{Ca}_{\mathrm{th},0}, \qquad</w:t>
      </w:r>
    </w:p>
    <w:p>
      <w:pPr>
        <w:spacing w:after="120" w:line="480" w:lineRule="auto"/>
      </w:pPr>
      <w:r>
        <w:rPr>
          <w:rFonts w:ascii="Times New Roman" w:cs="Times New Roman" w:eastAsia="Times New Roman" w:hAnsi="Times New Roman"/>
          <w:sz w:val="24"/>
          <w:szCs w:val="24"/>
        </w:rPr>
        <w:t xml:space="preserve">k_{\mathrm{ren}} = \frac{\mathrm{Abs}_0 + \phi_{\mathrm{res}} - \phi_{\mathrm{form}}}{\Delta}$$</w:t>
      </w:r>
    </w:p>
    <w:p>
      <w:pPr>
        <w:spacing w:after="120" w:line="480" w:lineRule="auto"/>
      </w:pPr>
      <w:r>
        <w:rPr>
          <w:rFonts w:ascii="Times New Roman" w:cs="Times New Roman" w:eastAsia="Times New Roman" w:hAnsi="Times New Roman"/>
          <w:b/>
          <w:bCs/>
          <w:sz w:val="24"/>
          <w:szCs w:val="24"/>
        </w:rPr>
        <w:t xml:space="preserve">Skeletal exchange</w:t>
      </w:r>
      <w:r>
        <w:rPr>
          <w:rFonts w:ascii="Times New Roman" w:cs="Times New Roman" w:eastAsia="Times New Roman" w:hAnsi="Times New Roman"/>
          <w:sz w:val="24"/>
          <w:szCs w:val="24"/>
        </w:rPr>
        <w:t xml:space="preserve"> uses $\phi_{\mathrm{res}} = \phi_{\mathrm{form}}$, so it vanishes at baseline and carries the true skeletal calcium flux under perturbation. Their magnitude is the order of adult skeletal calcium turnover, which is what allows unloading to suppress PTH.</w:t>
      </w:r>
    </w:p>
    <w:p>
      <w:pPr>
        <w:spacing w:after="120" w:line="480" w:lineRule="auto"/>
      </w:pPr>
      <w:r>
        <w:rPr>
          <w:rFonts w:ascii="Times New Roman" w:cs="Times New Roman" w:eastAsia="Times New Roman" w:hAnsi="Times New Roman"/>
          <w:i/>
          <w:iCs/>
          <w:sz w:val="24"/>
          <w:szCs w:val="24"/>
        </w:rPr>
        <w:t xml:space="preserve">This module was rebuilt at v2.14.</w:t>
      </w:r>
      <w:r>
        <w:rPr>
          <w:rFonts w:ascii="Times New Roman" w:cs="Times New Roman" w:eastAsia="Times New Roman" w:hAnsi="Times New Roman"/>
          <w:sz w:val="24"/>
          <w:szCs w:val="24"/>
        </w:rPr>
        <w:t xml:space="preserve"> The earlier form failed in both directions at once: the transcellular arm had been written as a fraction rather than a flux and so contributed under 0.1 % of absorption, leaving serum calcium to swing 15 % across the dietary range, while $\phi_{\mathrm{res}}$ and $\phi_{\mathrm{form}}$ were three orders of magnitude below the flux they were normalised against, so bone could not move serum calcium at all. Both are reported in the main text.</w:t>
      </w:r>
    </w:p>
    <w:p>
      <w:pPr>
        <w:pStyle w:val="Heading1"/>
        <w:spacing w:after="160" w:before="360" w:line="360" w:lineRule="auto"/>
      </w:pPr>
      <w:r>
        <w:rPr>
          <w:rFonts w:ascii="Times New Roman" w:cs="Times New Roman" w:eastAsia="Times New Roman" w:hAnsi="Times New Roman"/>
          <w:b/>
          <w:bCs/>
          <w:sz w:val="28"/>
          <w:szCs w:val="28"/>
        </w:rPr>
        <w:t xml:space="preserve">Trabecular compartment</w:t>
      </w:r>
    </w:p>
    <w:p>
      <w:pPr>
        <w:spacing w:after="120" w:line="480" w:lineRule="auto"/>
      </w:pPr>
      <w:r>
        <w:rPr>
          <w:rFonts w:ascii="Times New Roman" w:cs="Times New Roman" w:eastAsia="Times New Roman" w:hAnsi="Times New Roman"/>
          <w:sz w:val="24"/>
          <w:szCs w:val="24"/>
        </w:rPr>
        <w:t xml:space="preserve">A vertebral trabecular compartment is derived from the cortical parameter set by overriding </w:t>
      </w:r>
      <w:r>
        <w:rPr>
          <w:rFonts w:ascii="Times New Roman" w:cs="Times New Roman" w:eastAsia="Times New Roman" w:hAnsi="Times New Roman"/>
          <w:b/>
          <w:bCs/>
          <w:sz w:val="24"/>
          <w:szCs w:val="24"/>
        </w:rPr>
        <w:t xml:space="preserve">only</w:t>
      </w:r>
      <w:r>
        <w:rPr>
          <w:rFonts w:ascii="Times New Roman" w:cs="Times New Roman" w:eastAsia="Times New Roman" w:hAnsi="Times New Roman"/>
          <w:sz w:val="24"/>
          <w:szCs w:val="24"/>
        </w:rPr>
        <w:t xml:space="preserve"> structure, geometry and load — the biology is shared, since the per-site right-hand side is common. Geometry and bone volume fraction come from the vertebral literature; trabecular thickness replaces cortical wall thickness.</w:t>
      </w:r>
    </w:p>
    <w:p>
      <w:pPr>
        <w:spacing w:after="120" w:line="480" w:lineRule="auto"/>
      </w:pPr>
      <w:r>
        <w:rPr>
          <w:rFonts w:ascii="Times New Roman" w:cs="Times New Roman" w:eastAsia="Times New Roman" w:hAnsi="Times New Roman"/>
          <w:sz w:val="24"/>
          <w:szCs w:val="24"/>
        </w:rPr>
        <w:t xml:space="preserve">Two overrides are forced rather than chosen, and both are worth stating because they generalise to any multi-compartment extension.</w:t>
      </w:r>
    </w:p>
    <w:p>
      <w:pPr>
        <w:spacing w:after="120" w:line="480" w:lineRule="auto"/>
      </w:pPr>
      <w:r>
        <w:rPr>
          <w:rFonts w:ascii="Times New Roman" w:cs="Times New Roman" w:eastAsia="Times New Roman" w:hAnsi="Times New Roman"/>
          <w:sz w:val="24"/>
          <w:szCs w:val="24"/>
        </w:rPr>
        <w:t xml:space="preserve">1. </w:t>
      </w:r>
      <w:r>
        <w:rPr>
          <w:rFonts w:ascii="Times New Roman" w:cs="Times New Roman" w:eastAsia="Times New Roman" w:hAnsi="Times New Roman"/>
          <w:b/>
          <w:bCs/>
          <w:sz w:val="24"/>
          <w:szCs w:val="24"/>
        </w:rPr>
        <w:t xml:space="preserve">The shared signalling chain forces both compartments onto the same emergent shear set point.</w:t>
      </w:r>
      <w:r>
        <w:rPr>
          <w:rFonts w:ascii="Times New Roman" w:cs="Times New Roman" w:eastAsia="Times New Roman" w:hAnsi="Times New Roman"/>
          <w:sz w:val="24"/>
          <w:szCs w:val="24"/>
        </w:rPr>
        <w:t xml:space="preserve"> A vertebra at realistic load and bone volume fraction carries ~961 με of tissue strain against the cortex's 787 με, so the poroelastic transfer coefficient $K_\tau$ must differ. This is defensible — $K_\tau$ is a microstructural property and trabecular packets are not osteonal cortex — and it is set by </w:t>
      </w:r>
      <w:r>
        <w:rPr>
          <w:rFonts w:ascii="Times New Roman" w:cs="Times New Roman" w:eastAsia="Times New Roman" w:hAnsi="Times New Roman"/>
          <w:i/>
          <w:iCs/>
          <w:sz w:val="24"/>
          <w:szCs w:val="24"/>
        </w:rPr>
        <w:t xml:space="preserve">matching baseline shear</w:t>
      </w:r>
      <w:r>
        <w:rPr>
          <w:rFonts w:ascii="Times New Roman" w:cs="Times New Roman" w:eastAsia="Times New Roman" w:hAnsi="Times New Roman"/>
          <w:sz w:val="24"/>
          <w:szCs w:val="24"/>
        </w:rPr>
        <w:t xml:space="preserve">, not by fitting any outcome.</w:t>
      </w:r>
    </w:p>
    <w:p>
      <w:pPr>
        <w:spacing w:after="120" w:line="480" w:lineRule="auto"/>
      </w:pPr>
      <w:r>
        <w:rPr>
          <w:rFonts w:ascii="Times New Roman" w:cs="Times New Roman" w:eastAsia="Times New Roman" w:hAnsi="Times New Roman"/>
          <w:sz w:val="24"/>
          <w:szCs w:val="24"/>
        </w:rPr>
        <w:t xml:space="preserve">2. </w:t>
      </w:r>
      <w:r>
        <w:rPr>
          <w:rFonts w:ascii="Times New Roman" w:cs="Times New Roman" w:eastAsia="Times New Roman" w:hAnsi="Times New Roman"/>
          <w:b/>
          <w:bCs/>
          <w:sz w:val="24"/>
          <w:szCs w:val="24"/>
        </w:rPr>
        <w:t xml:space="preserve">Frost's minimum effective strain for modelling is a strain threshold and must scale likewise</w:t>
      </w:r>
      <w:r>
        <w:rPr>
          <w:rFonts w:ascii="Times New Roman" w:cs="Times New Roman" w:eastAsia="Times New Roman" w:hAnsi="Times New Roman"/>
          <w:sz w:val="24"/>
          <w:szCs w:val="24"/>
        </w:rPr>
        <w:t xml:space="preserve">, or modelling remains permanently active in the trabecular compartment and the vertebra expands without limit.</w:t>
      </w:r>
    </w:p>
    <w:p>
      <w:pPr>
        <w:spacing w:after="120" w:line="480" w:lineRule="auto"/>
      </w:pPr>
      <w:r>
        <w:rPr>
          <w:rFonts w:ascii="Times New Roman" w:cs="Times New Roman" w:eastAsia="Times New Roman" w:hAnsi="Times New Roman"/>
          <w:sz w:val="24"/>
          <w:szCs w:val="24"/>
        </w:rPr>
        <w:t xml:space="preserve">$k_{\mathrm{res}}$ is calibrated against the </w:t>
      </w:r>
      <w:r>
        <w:rPr>
          <w:rFonts w:ascii="Times New Roman" w:cs="Times New Roman" w:eastAsia="Times New Roman" w:hAnsi="Times New Roman"/>
          <w:i/>
          <w:iCs/>
          <w:sz w:val="24"/>
          <w:szCs w:val="24"/>
        </w:rPr>
        <w:t xml:space="preserve">trabecular</w:t>
      </w:r>
      <w:r>
        <w:rPr>
          <w:rFonts w:ascii="Times New Roman" w:cs="Times New Roman" w:eastAsia="Times New Roman" w:hAnsi="Times New Roman"/>
          <w:sz w:val="24"/>
          <w:szCs w:val="24"/>
        </w:rPr>
        <w:t xml:space="preserve"> turnover target (literature 15–30 %/yr against 5–10 for cortex), exactly as it is calibrated against cortical turnover for cortex; left alone it would be 438 %/yr, because the same absolute surface velocity acting on eight-fold less bone behind a 7.7-fold thinner wall turns over ~60-fold faster. The romosozumab targets remain hold-outs.</w:t>
      </w:r>
    </w:p>
    <w:p>
      <w:pPr>
        <w:spacing w:after="120" w:line="480" w:lineRule="auto"/>
      </w:pPr>
      <w:r>
        <w:rPr>
          <w:rFonts w:ascii="Times New Roman" w:cs="Times New Roman" w:eastAsia="Times New Roman" w:hAnsi="Times New Roman"/>
          <w:i/>
          <w:iCs/>
          <w:sz w:val="24"/>
          <w:szCs w:val="24"/>
        </w:rPr>
        <w:t xml:space="preserve">The exponent is compartment-specific, and that is a third forced override.</w:t>
      </w:r>
      <w:r>
        <w:rPr>
          <w:rFonts w:ascii="Times New Roman" w:cs="Times New Roman" w:eastAsia="Times New Roman" w:hAnsi="Times New Roman"/>
          <w:sz w:val="24"/>
          <w:szCs w:val="24"/>
        </w:rPr>
        <w:t xml:space="preserve"> Until v2.16 a single $\kappa_E = 2.5$ served both compartments, and the agreement it produced across two orders of magnitude of porosity was reported here as a free consistency check. It was not free: 2.5 was an assumed value, and taking the measured one exposes why it worked. Currey's power law over compact bone from 18 species gives $\kappa_E = 3.13$; applied at a bone volume fraction of 0.12 it scales the apparent modulus by $0.12^{0.63} = 0.26$, putting the vertebra at 26 MPa — below the measured 50–300 MPa range, and out of the linear-elastic domain within months. Trabecular bone is a cellular solid rather than compact bone, and Gibson–Ashby open-cell scaling gives an exponent of 2. We therefore use $\kappa_E = 3.13$ in cortex and 2.00 in the vertebra, which puts the vertebral apparent modulus at 288.0 MPa, inside the measured range. The former single value was, on this reading, correct for neither compartment: it split the difference between a compact-bone exponent and a cellular-solid one. The revised law rests on a measurement at each end rather than on a compromise in the middle — a stronger position, but no longer a claim that one exponent spans the whole porosity range.</w:t>
      </w:r>
    </w:p>
    <w:p>
      <w:pPr>
        <w:pStyle w:val="Heading1"/>
        <w:spacing w:after="160" w:before="360" w:line="360" w:lineRule="auto"/>
      </w:pPr>
      <w:r>
        <w:rPr>
          <w:rFonts w:ascii="Times New Roman" w:cs="Times New Roman" w:eastAsia="Times New Roman" w:hAnsi="Times New Roman"/>
          <w:b/>
          <w:bCs/>
          <w:sz w:val="28"/>
          <w:szCs w:val="28"/>
        </w:rPr>
        <w:t xml:space="preserve">Validity domain</w:t>
      </w:r>
    </w:p>
    <w:p>
      <w:pPr>
        <w:spacing w:after="120" w:line="480" w:lineRule="auto"/>
      </w:pPr>
      <w:r>
        <w:rPr>
          <w:rFonts w:ascii="Times New Roman" w:cs="Times New Roman" w:eastAsia="Times New Roman" w:hAnsi="Times New Roman"/>
          <w:sz w:val="24"/>
          <w:szCs w:val="24"/>
        </w:rPr>
        <w:t xml:space="preserve">Every mechanical layer — the power-law modulus, the Euler–Bernoulli section, the Biot solution — assumes linear elasticity. Cortical bone yields near 7000 με; beyond that, tissue damages rather than adapts, and a trajectory that goes there is not a slowly remodelling bone. Each simulation therefore reports peak strain against this limit, and results from runs that exceed it are not interpreted.</w:t>
      </w:r>
    </w:p>
    <w:p>
      <w:pPr>
        <w:spacing w:after="120" w:line="480" w:lineRule="auto"/>
      </w:pPr>
      <w:r>
        <w:rPr>
          <w:rFonts w:ascii="Times New Roman" w:cs="Times New Roman" w:eastAsia="Times New Roman" w:hAnsi="Times New Roman"/>
          <w:sz w:val="24"/>
          <w:szCs w:val="24"/>
        </w:rPr>
        <w:t xml:space="preserve">This check identified two scope limits reported in the main text: unloading beyond ~7.5 months drives the model to its porosity floor and out of the elastic domain, and the deep branch of the oestrogen continuation below $f_{bm} \approx 0.47$ is extrapolation.</w:t>
      </w:r>
    </w:p>
    <w:p>
      <w:pPr>
        <w:pStyle w:val="Heading1"/>
        <w:spacing w:after="160" w:before="360" w:line="360" w:lineRule="auto"/>
      </w:pPr>
      <w:r>
        <w:rPr>
          <w:rFonts w:ascii="Times New Roman" w:cs="Times New Roman" w:eastAsia="Times New Roman" w:hAnsi="Times New Roman"/>
          <w:b/>
          <w:bCs/>
          <w:sz w:val="28"/>
          <w:szCs w:val="28"/>
        </w:rPr>
        <w:t xml:space="preserve">Numerical methods</w:t>
      </w:r>
    </w:p>
    <w:p>
      <w:pPr>
        <w:spacing w:after="120" w:line="480" w:lineRule="auto"/>
      </w:pPr>
      <w:r>
        <w:rPr>
          <w:rFonts w:ascii="Courier New" w:cs="Courier New" w:eastAsia="Courier New" w:hAnsi="Courier New"/>
          <w:sz w:val="24"/>
          <w:szCs w:val="24"/>
        </w:rPr>
        <w:t xml:space="preserve">ode15s</w:t>
      </w:r>
      <w:r>
        <w:rPr>
          <w:rFonts w:ascii="Times New Roman" w:cs="Times New Roman" w:eastAsia="Times New Roman" w:hAnsi="Times New Roman"/>
          <w:sz w:val="24"/>
          <w:szCs w:val="24"/>
        </w:rPr>
        <w:t xml:space="preserve">, relative tolerance $10^{-6}$, absolute tolerance $10^{-9}$, non-negativity enforced on all states. Bifurcation analysis freezes the envelope geometry to isolate porosity dynamics, since envelope evolution is a decades-scale process while the bistability question is months-to-years; the full-system transient with geometry free is used as an independent check only where it stays inside the elastic domain.</w:t>
      </w:r>
    </w:p>
    <w:sectPr>
      <w:footerReference w:type="default" r:id="rId7"/>
      <w:pgSz w:w="12240" w:h="15840" w:orient="portrait"/>
      <w:pgMar w:top="1440" w:right="1440" w:bottom="1440" w:left="1440" w:header="708" w:footer="708" w:gutter="0"/>
      <w:lnNumType w:countBy="1" w:restart="continuous" w:distance="36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fluid shear to sclerostin</dc:title>
  <dc:creator>Ming-Yu Hsieh</dc:creator>
  <cp:lastModifiedBy>Un-named</cp:lastModifiedBy>
  <cp:revision>1</cp:revision>
  <dcterms:created xsi:type="dcterms:W3CDTF">2026-08-02T04:35:35.557Z</dcterms:created>
  <dcterms:modified xsi:type="dcterms:W3CDTF">2026-08-02T04:35:35.558Z</dcterms:modified>
</cp:coreProperties>
</file>

<file path=docProps/custom.xml><?xml version="1.0" encoding="utf-8"?>
<Properties xmlns="http://schemas.openxmlformats.org/officeDocument/2006/custom-properties" xmlns:vt="http://schemas.openxmlformats.org/officeDocument/2006/docPropsVTypes"/>
</file>