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 w:lineRule="auto"/>
        <w:jc w:val="left"/>
      </w:pPr>
      <w:r>
        <w:rPr>
          <w:rFonts w:ascii="PingFang TC" w:cs="PingFang TC" w:eastAsia="PingFang TC" w:hAnsi="PingFang TC"/>
          <w:b/>
          <w:bCs/>
          <w:sz w:val="32"/>
          <w:szCs w:val="32"/>
        </w:rPr>
        <w:t xml:space="preserve">S2 Table. 驗證標的（Validation targets）</w:t>
      </w:r>
    </w:p>
    <w:p>
      <w:pPr>
        <w:spacing w:after="100" w:line="360" w:lineRule="auto"/>
        <w:ind w:left="400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中文校稿版。</w:t>
      </w:r>
      <w:r>
        <w:rPr>
          <w:rFonts w:ascii="PingFang TC" w:cs="PingFang TC" w:eastAsia="PingFang TC" w:hAnsi="PingFang TC"/>
          <w:sz w:val="24"/>
          <w:szCs w:val="24"/>
        </w:rPr>
        <w:t xml:space="preserve"> 與 </w:t>
      </w:r>
      <w:r>
        <w:rPr>
          <w:rFonts w:ascii="Courier New" w:cs="Courier New" w:eastAsia="Courier New" w:hAnsi="Courier New"/>
          <w:sz w:val="24"/>
          <w:szCs w:val="24"/>
        </w:rPr>
        <w:t xml:space="preserve">S2_Table_validation_targets.csv</w:t>
      </w:r>
      <w:r>
        <w:rPr>
          <w:rFonts w:ascii="PingFang TC" w:cs="PingFang TC" w:eastAsia="PingFang TC" w:hAnsi="PingFang TC"/>
          <w:sz w:val="24"/>
          <w:szCs w:val="24"/>
        </w:rPr>
        <w:t xml:space="preserve"> 逐列對應，供內容校對用，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非投稿檔案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</w:p>
    <w:p>
      <w:pPr>
        <w:spacing w:after="100" w:line="360" w:lineRule="auto"/>
        <w:ind w:left="400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數值、單位、區間、容差一律原樣保留</w:t>
      </w:r>
      <w:r>
        <w:rPr>
          <w:rFonts w:ascii="PingFang TC" w:cs="PingFang TC" w:eastAsia="PingFang TC" w:hAnsi="PingFang TC"/>
          <w:sz w:val="24"/>
          <w:szCs w:val="24"/>
        </w:rPr>
        <w:t xml:space="preserve">（語言中性），只翻譯 </w:t>
      </w:r>
      <w:r>
        <w:rPr>
          <w:rFonts w:ascii="Courier New" w:cs="Courier New" w:eastAsia="Courier New" w:hAnsi="Courier New"/>
          <w:sz w:val="24"/>
          <w:szCs w:val="24"/>
        </w:rPr>
        <w:t xml:space="preserve">notes</w:t>
      </w:r>
      <w:r>
        <w:rPr>
          <w:rFonts w:ascii="PingFang TC" w:cs="PingFang TC" w:eastAsia="PingFang TC" w:hAnsi="PingFang TC"/>
          <w:sz w:val="24"/>
          <w:szCs w:val="24"/>
        </w:rPr>
        <w:t xml:space="preserve"> 欄。</w:t>
      </w:r>
    </w:p>
    <w:p>
      <w:pPr>
        <w:spacing w:after="100" w:line="360" w:lineRule="auto"/>
        <w:ind w:left="400"/>
      </w:pPr>
      <w:r>
        <w:rPr>
          <w:rFonts w:ascii="PingFang TC" w:cs="PingFang TC" w:eastAsia="PingFang TC" w:hAnsi="PingFang TC"/>
          <w:sz w:val="24"/>
          <w:szCs w:val="24"/>
        </w:rPr>
        <w:t xml:space="preserve">⚠️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這不是程式讀的檔案。</w:t>
      </w:r>
      <w:r>
        <w:rPr>
          <w:rFonts w:ascii="PingFang TC" w:cs="PingFang TC" w:eastAsia="PingFang TC" w:hAnsi="PingFang TC"/>
          <w:sz w:val="24"/>
          <w:szCs w:val="24"/>
        </w:rPr>
        <w:t xml:space="preserve"> 模型只讀 </w:t>
      </w:r>
      <w:r>
        <w:rPr>
          <w:rFonts w:ascii="Courier New" w:cs="Courier New" w:eastAsia="Courier New" w:hAnsi="Courier New"/>
          <w:sz w:val="24"/>
          <w:szCs w:val="24"/>
        </w:rPr>
        <w:t xml:space="preserve">data/validation_targets.csv</w:t>
      </w:r>
      <w:r>
        <w:rPr>
          <w:rFonts w:ascii="PingFang TC" w:cs="PingFang TC" w:eastAsia="PingFang TC" w:hAnsi="PingFang TC"/>
          <w:sz w:val="24"/>
          <w:szCs w:val="24"/>
        </w:rPr>
        <w:t xml:space="preserve">（英文），此處為單向複本。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欄位說明</w:t>
      </w:r>
      <w:r>
        <w:rPr>
          <w:rFonts w:ascii="PingFang TC" w:cs="PingFang TC" w:eastAsia="PingFang TC" w:hAnsi="PingFang TC"/>
          <w:sz w:val="24"/>
          <w:szCs w:val="24"/>
        </w:rPr>
        <w:t xml:space="preserve">：</w:t>
      </w:r>
      <w:r>
        <w:rPr>
          <w:rFonts w:ascii="Courier New" w:cs="Courier New" w:eastAsia="Courier New" w:hAnsi="Courier New"/>
          <w:sz w:val="24"/>
          <w:szCs w:val="24"/>
        </w:rPr>
        <w:t xml:space="preserve">kind</w:t>
      </w:r>
      <w:r>
        <w:rPr>
          <w:rFonts w:ascii="PingFang TC" w:cs="PingFang TC" w:eastAsia="PingFang TC" w:hAnsi="PingFang TC"/>
          <w:sz w:val="24"/>
          <w:szCs w:val="24"/>
        </w:rPr>
        <w:t xml:space="preserve"> = 標的型態（quantitative 定量／qualitative 質性／conditional 條件性／quantitative_hard 定量硬要求）；</w:t>
      </w:r>
      <w:r>
        <w:rPr>
          <w:rFonts w:ascii="Courier New" w:cs="Courier New" w:eastAsia="Courier New" w:hAnsi="Courier New"/>
          <w:sz w:val="24"/>
          <w:szCs w:val="24"/>
        </w:rPr>
        <w:t xml:space="preserve">holdout = TRUE</w:t>
      </w:r>
      <w:r>
        <w:rPr>
          <w:rFonts w:ascii="PingFang TC" w:cs="PingFang TC" w:eastAsia="PingFang TC" w:hAnsi="PingFang TC"/>
          <w:sz w:val="24"/>
          <w:szCs w:val="24"/>
        </w:rPr>
        <w:t xml:space="preserve"> 表示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盲測</w:t>
      </w:r>
      <w:r>
        <w:rPr>
          <w:rFonts w:ascii="PingFang TC" w:cs="PingFang TC" w:eastAsia="PingFang TC" w:hAnsi="PingFang TC"/>
          <w:sz w:val="24"/>
          <w:szCs w:val="24"/>
        </w:rPr>
        <w:t xml:space="preserve"> —— 從未進入目標函數。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V1 — 成人骨轉換率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turnover_rate</w:t>
      </w:r>
      <w:r>
        <w:rPr>
          <w:rFonts w:ascii="PingFang TC" w:cs="PingFang TC" w:eastAsia="PingFang TC" w:hAnsi="PingFang TC"/>
          <w:sz w:val="24"/>
          <w:szCs w:val="24"/>
        </w:rPr>
        <w:t xml:space="preserve">｜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5–10 %/yr</w:t>
      </w:r>
      <w:r>
        <w:rPr>
          <w:rFonts w:ascii="PingFang TC" w:cs="PingFang TC" w:eastAsia="PingFang TC" w:hAnsi="PingFang TC"/>
          <w:sz w:val="24"/>
          <w:szCs w:val="24"/>
        </w:rPr>
        <w:t xml:space="preserve">｜容差 3｜定量｜E0｜盲測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基線校正標的。出處：3–10 %/yr 是皮質骨慣常被引用的範圍（Parfitt 2002, PMID 12052445）；此處採用的 5–10 %/yr 是它的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上半部</w:t>
      </w:r>
      <w:r>
        <w:rPr>
          <w:rFonts w:ascii="PingFang TC" w:cs="PingFang TC" w:eastAsia="PingFang TC" w:hAnsi="PingFang TC"/>
          <w:sz w:val="24"/>
          <w:szCs w:val="24"/>
        </w:rPr>
        <w:t xml:space="preserve">，因此模型的 7.33 %/yr 是對著一個設在被引用範圍偏快端的標的而通過。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v2.13 稽核。v2.22 複查過此帶，並刻意留得比原文更窄。</w:t>
      </w:r>
      <w:r>
        <w:rPr>
          <w:rFonts w:ascii="PingFang TC" w:cs="PingFang TC" w:eastAsia="PingFang TC" w:hAnsi="PingFang TC"/>
          <w:sz w:val="24"/>
          <w:szCs w:val="24"/>
        </w:rPr>
        <w:t xml:space="preserve"> Parfitt 引述皮質骨 3–10 %/yr，我們用 5–10，即上半部。與 V5、V16 不同，這是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比原文更窄而非更鬆</w:t>
      </w:r>
      <w:r>
        <w:rPr>
          <w:rFonts w:ascii="PingFang TC" w:cs="PingFang TC" w:eastAsia="PingFang TC" w:hAnsi="PingFang TC"/>
          <w:sz w:val="24"/>
          <w:szCs w:val="24"/>
        </w:rPr>
        <w:t xml:space="preserve">，所以它不會造成假通過 —— 但它會造成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假失敗</w:t>
      </w:r>
      <w:r>
        <w:rPr>
          <w:rFonts w:ascii="PingFang TC" w:cs="PingFang TC" w:eastAsia="PingFang TC" w:hAnsi="PingFang TC"/>
          <w:sz w:val="24"/>
          <w:szCs w:val="24"/>
        </w:rPr>
        <w:t xml:space="preserve">，而且它確實排除了同部位的實測：放射性碳定年給股骨皮質 3.3 %/yr、脛骨皮質 3.7–5.0 %/yr，全部會被我們的帶拒絕。我們的 7.33 %/yr 高於以上任何一個。維持原樣，因為更嚴格是安全方向；但若日後模型修正使骨轉換降到 4 %/yr 附近，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會被我們自己的帶判失敗，卻與量測相符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V2 — 臥床或失重下的骨流失（髖部、腰椎）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dBMD_per_month</w:t>
      </w:r>
      <w:r>
        <w:rPr>
          <w:rFonts w:ascii="PingFang TC" w:cs="PingFang TC" w:eastAsia="PingFang TC" w:hAnsi="PingFang TC"/>
          <w:sz w:val="24"/>
          <w:szCs w:val="24"/>
        </w:rPr>
        <w:t xml:space="preserve">｜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−1.5 至 −1.0 %/月</w:t>
      </w:r>
      <w:r>
        <w:rPr>
          <w:rFonts w:ascii="PingFang TC" w:cs="PingFang TC" w:eastAsia="PingFang TC" w:hAnsi="PingFang TC"/>
          <w:sz w:val="24"/>
          <w:szCs w:val="24"/>
        </w:rPr>
        <w:t xml:space="preserve">｜容差 0.5｜定量｜E3｜盲測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出處：頭低位臥床 90 天期間，承重部位骨密度以每月 1–2 % 下降（Spatz 2012, PMID 22767636）。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單位注意</w:t>
      </w:r>
      <w:r>
        <w:rPr>
          <w:rFonts w:ascii="PingFang TC" w:cs="PingFang TC" w:eastAsia="PingFang TC" w:hAnsi="PingFang TC"/>
          <w:sz w:val="24"/>
          <w:szCs w:val="24"/>
        </w:rPr>
        <w:t xml:space="preserve">：欄名寫 </w:t>
      </w:r>
      <w:r>
        <w:rPr>
          <w:rFonts w:ascii="Courier New" w:cs="Courier New" w:eastAsia="Courier New" w:hAnsi="Courier New"/>
          <w:sz w:val="24"/>
          <w:szCs w:val="24"/>
        </w:rPr>
        <w:t xml:space="preserve">dBMD_per_month</w:t>
      </w:r>
      <w:r>
        <w:rPr>
          <w:rFonts w:ascii="PingFang TC" w:cs="PingFang TC" w:eastAsia="PingFang TC" w:hAnsi="PingFang TC"/>
          <w:sz w:val="24"/>
          <w:szCs w:val="24"/>
        </w:rPr>
        <w:t xml:space="preserve">，但 </w:t>
      </w:r>
      <w:r>
        <w:rPr>
          <w:rFonts w:ascii="Courier New" w:cs="Courier New" w:eastAsia="Courier New" w:hAnsi="Courier New"/>
          <w:sz w:val="24"/>
          <w:szCs w:val="24"/>
        </w:rPr>
        <w:t xml:space="preserve">evalTargets</w:t>
      </w:r>
      <w:r>
        <w:rPr>
          <w:rFonts w:ascii="PingFang TC" w:cs="PingFang TC" w:eastAsia="PingFang TC" w:hAnsi="PingFang TC"/>
          <w:sz w:val="24"/>
          <w:szCs w:val="24"/>
        </w:rPr>
        <w:t xml:space="preserve"> 計算的是骨礦物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含量</w:t>
      </w:r>
      <w:r>
        <w:rPr>
          <w:rFonts w:ascii="PingFang TC" w:cs="PingFang TC" w:eastAsia="PingFang TC" w:hAnsi="PingFang TC"/>
          <w:sz w:val="24"/>
          <w:szCs w:val="24"/>
        </w:rPr>
        <w:t xml:space="preserve">的變化。廢用時骨膜幾乎不動（180 天 −0.002 mm），兩者相差僅每月 0.003 個百分點，所以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不精確的是標籤而非數字</w:t>
      </w:r>
      <w:r>
        <w:rPr>
          <w:rFonts w:ascii="PingFang TC" w:cs="PingFang TC" w:eastAsia="PingFang TC" w:hAnsi="PingFang TC"/>
          <w:sz w:val="24"/>
          <w:szCs w:val="24"/>
        </w:rPr>
        <w:t xml:space="preserve">；在負荷下同樣這兩個度量相差 61 %。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v2.13 稽核。v2.22 複查過此帶，並留得比原文更窄。</w:t>
      </w:r>
      <w:r>
        <w:rPr>
          <w:rFonts w:ascii="PingFang TC" w:cs="PingFang TC" w:eastAsia="PingFang TC" w:hAnsi="PingFang TC"/>
          <w:sz w:val="24"/>
          <w:szCs w:val="24"/>
        </w:rPr>
        <w:t xml:space="preserve"> Spatz 報告 1–2 %/月，我們是 1.0–1.5，上緣更緊。而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實務上真正起作用的下界，是原文自己的</w:t>
      </w:r>
      <w:r>
        <w:rPr>
          <w:rFonts w:ascii="PingFang TC" w:cs="PingFang TC" w:eastAsia="PingFang TC" w:hAnsi="PingFang TC"/>
          <w:sz w:val="24"/>
          <w:szCs w:val="24"/>
        </w:rPr>
        <w:t xml:space="preserve">。這對 P5n 很關鍵：採用 Lerebours 實測的比表面積指數會使 V2 降到 0.440 %/月，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對 1.0–2.0 與對 1.0–1.5 一樣失敗</w:t>
      </w:r>
      <w:r>
        <w:rPr>
          <w:rFonts w:ascii="PingFang TC" w:cs="PingFang TC" w:eastAsia="PingFang TC" w:hAnsi="PingFang TC"/>
          <w:sz w:val="24"/>
          <w:szCs w:val="24"/>
        </w:rPr>
        <w:t xml:space="preserve">。因此 P5n 的失敗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不是</w:t>
      </w:r>
      <w:r>
        <w:rPr>
          <w:rFonts w:ascii="PingFang TC" w:cs="PingFang TC" w:eastAsia="PingFang TC" w:hAnsi="PingFang TC"/>
          <w:sz w:val="24"/>
          <w:szCs w:val="24"/>
        </w:rPr>
        <w:t xml:space="preserve">自訂帶造成的假象 —— 它是對著原文自己的範圍失敗，所以放寬帶不是逃生出口。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V3 — 卸載下的血清硬化蛋白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S_direction</w:t>
      </w:r>
      <w:r>
        <w:rPr>
          <w:rFonts w:ascii="PingFang TC" w:cs="PingFang TC" w:eastAsia="PingFang TC" w:hAnsi="PingFang TC"/>
          <w:sz w:val="24"/>
          <w:szCs w:val="24"/>
        </w:rPr>
        <w:t xml:space="preserve">｜質性｜E3｜盲測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方向必須是上升。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v2.13 稽核 —— 方向達成，形狀部分達成。</w:t>
      </w:r>
      <w:r>
        <w:rPr>
          <w:rFonts w:ascii="PingFang TC" w:cs="PingFang TC" w:eastAsia="PingFang TC" w:hAnsi="PingFang TC"/>
          <w:sz w:val="24"/>
          <w:szCs w:val="24"/>
        </w:rPr>
        <w:t xml:space="preserve"> 出處：Spatz 2012（PMID 22767636）量測頭低位臥床 90 天的血清硬化蛋白：第 28 天 +29 %、第 60 天 +42 %（達峰）、第 90 天 +22 %。模型在第 28 天達到 +58.0 % 並持平：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上升與大致的峰值幅度被重現，衰減沒有</w:t>
      </w:r>
      <w:r>
        <w:rPr>
          <w:rFonts w:ascii="PingFang TC" w:cs="PingFang TC" w:eastAsia="PingFang TC" w:hAnsi="PingFang TC"/>
          <w:sz w:val="24"/>
          <w:szCs w:val="24"/>
        </w:rPr>
        <w:t xml:space="preserve"> —— 因為此處的硬化蛋白在數日內就與新的機械劑量達到平衡。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同一個實驗還提供了第二項檢查，模型在 v2.13 失敗、自 P5k 起通過</w:t>
      </w:r>
      <w:r>
        <w:rPr>
          <w:rFonts w:ascii="PingFang TC" w:cs="PingFang TC" w:eastAsia="PingFang TC" w:hAnsi="PingFang TC"/>
          <w:sz w:val="24"/>
          <w:szCs w:val="24"/>
        </w:rPr>
        <w:t xml:space="preserve">：Spatz 報告 PTH 在第 28 天下降 17 %、第 60 天下降 24 %，且尿鈣全程升高 —— 典型的固定不動圖像。在 v2.13 時模型給出血清鈣 +0.006 %、PTH −0.01 %，因為 </w:t>
      </w:r>
      <w:r>
        <w:rPr>
          <w:rFonts w:ascii="Courier New" w:cs="Courier New" w:eastAsia="Courier New" w:hAnsi="Courier New"/>
          <w:sz w:val="24"/>
          <w:szCs w:val="24"/>
        </w:rPr>
        <w:t xml:space="preserve">phi_res</w:t>
      </w:r>
      <w:r>
        <w:rPr>
          <w:rFonts w:ascii="PingFang TC" w:cs="PingFang TC" w:eastAsia="PingFang TC" w:hAnsi="PingFang TC"/>
          <w:sz w:val="24"/>
          <w:szCs w:val="24"/>
        </w:rPr>
        <w:t xml:space="preserve"> 與 </w:t>
      </w:r>
      <w:r>
        <w:rPr>
          <w:rFonts w:ascii="Courier New" w:cs="Courier New" w:eastAsia="Courier New" w:hAnsi="Courier New"/>
          <w:sz w:val="24"/>
          <w:szCs w:val="24"/>
        </w:rPr>
        <w:t xml:space="preserve">phi_form</w:t>
      </w:r>
      <w:r>
        <w:rPr>
          <w:rFonts w:ascii="PingFang TC" w:cs="PingFang TC" w:eastAsia="PingFang TC" w:hAnsi="PingFang TC"/>
          <w:sz w:val="24"/>
          <w:szCs w:val="24"/>
        </w:rPr>
        <w:t xml:space="preserve"> 比它們所正規化的通量低了三個數量級，使骨→血這一臂在數值上可忽略（附錄 C26）。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P5k 重建之後</w:t>
      </w:r>
      <w:r>
        <w:rPr>
          <w:rFonts w:ascii="PingFang TC" w:cs="PingFang TC" w:eastAsia="PingFang TC" w:hAnsi="PingFang TC"/>
          <w:sz w:val="24"/>
          <w:szCs w:val="24"/>
        </w:rPr>
        <w:t xml:space="preserve">，模型給出第 28 天 PTH −21.2 %、第 60 天 −21.3 %，血清鈣上升 2.8 %。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V4 — 負荷循環數的飽和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cycle_response</w:t>
      </w:r>
      <w:r>
        <w:rPr>
          <w:rFonts w:ascii="PingFang TC" w:cs="PingFang TC" w:eastAsia="PingFang TC" w:hAnsi="PingFang TC"/>
          <w:sz w:val="24"/>
          <w:szCs w:val="24"/>
        </w:rPr>
        <w:t xml:space="preserve">｜質性｜E1｜盲測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36 個循環已足以觸發成骨反應；邊際報酬在 36、216、1200 個循環之間單調下降。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自 v1.4 起，這是由失活通道態的累積湧現出來的，不是擬合出來的。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V5 — 休息插入（10 秒）的增益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rest_insertion_gain</w:t>
      </w:r>
      <w:r>
        <w:rPr>
          <w:rFonts w:ascii="PingFang TC" w:cs="PingFang TC" w:eastAsia="PingFang TC" w:hAnsi="PingFang TC"/>
          <w:sz w:val="24"/>
          <w:szCs w:val="24"/>
        </w:rPr>
        <w:t xml:space="preserve">｜條件性｜E1｜盲測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條件性：低幅值下有可觀放大，並隨幅值上升而消退。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單一組參數必須同時滿足正向與負向兩種情況。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v2.15 依全文更正了標的</w:t>
      </w:r>
      <w:r>
        <w:rPr>
          <w:rFonts w:ascii="PingFang TC" w:cs="PingFang TC" w:eastAsia="PingFang TC" w:hAnsi="PingFang TC"/>
          <w:sz w:val="24"/>
          <w:szCs w:val="24"/>
        </w:rPr>
        <w:t xml:space="preserve">（Srinivasan 2002, PMID 12211431, Reference/a07.pdf）：此前使用的 2–5 倍帶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是我們自己編的</w:t>
      </w:r>
      <w:r>
        <w:rPr>
          <w:rFonts w:ascii="PingFang TC" w:cs="PingFang TC" w:eastAsia="PingFang TC" w:hAnsi="PingFang TC"/>
          <w:sz w:val="24"/>
          <w:szCs w:val="24"/>
        </w:rPr>
        <w:t xml:space="preserve">，從來不是原文的數字。Srinivasan 在禽類尺骨、820–830 微應變下量測骨膜標記表面，報告插入休息者 21.9 % 對未插入者 3.8 %，即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5.8 倍</w:t>
      </w:r>
      <w:r>
        <w:rPr>
          <w:rFonts w:ascii="PingFang TC" w:cs="PingFang TC" w:eastAsia="PingFang TC" w:hAnsi="PingFang TC"/>
          <w:sz w:val="24"/>
          <w:szCs w:val="24"/>
        </w:rPr>
        <w:t xml:space="preserve">的增加。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v2.15 更正當時模型給出 13.99 倍，比報告值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過衝 2.4 倍</w:t>
      </w:r>
      <w:r>
        <w:rPr>
          <w:rFonts w:ascii="PingFang TC" w:cs="PingFang TC" w:eastAsia="PingFang TC" w:hAnsi="PingFang TC"/>
          <w:sz w:val="24"/>
          <w:szCs w:val="24"/>
        </w:rPr>
        <w:t xml:space="preserve">。此後它往另一個方向移動：Currey 指數把它帶到 6.02，而 </w:t>
      </w:r>
      <w:r>
        <w:rPr>
          <w:rFonts w:ascii="Courier New" w:cs="Courier New" w:eastAsia="Courier New" w:hAnsi="Courier New"/>
          <w:sz w:val="24"/>
          <w:szCs w:val="24"/>
        </w:rPr>
        <w:t xml:space="preserve">k_ot</w:t>
      </w:r>
      <w:r>
        <w:rPr>
          <w:rFonts w:ascii="PingFang TC" w:cs="PingFang TC" w:eastAsia="PingFang TC" w:hAnsi="PingFang TC"/>
          <w:sz w:val="24"/>
          <w:szCs w:val="24"/>
        </w:rPr>
        <w:t xml:space="preserve"> 修正（P5o）帶到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4.60</w:t>
      </w:r>
      <w:r>
        <w:rPr>
          <w:rFonts w:ascii="PingFang TC" w:cs="PingFang TC" w:eastAsia="PingFang TC" w:hAnsi="PingFang TC"/>
          <w:sz w:val="24"/>
          <w:szCs w:val="24"/>
        </w:rPr>
        <w:t xml:space="preserve">，因此模型現在比實測的 5.8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短少 21 %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三次修正沒有一次是衝著這個標的來的，卻把它推過實測值再推出另一邊</w:t>
      </w:r>
      <w:r>
        <w:rPr>
          <w:rFonts w:ascii="PingFang TC" w:cs="PingFang TC" w:eastAsia="PingFang TC" w:hAnsi="PingFang TC"/>
          <w:sz w:val="24"/>
          <w:szCs w:val="24"/>
        </w:rPr>
        <w:t xml:space="preserve">；而標的真正要求的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條件性形狀</w:t>
      </w:r>
      <w:r>
        <w:rPr>
          <w:rFonts w:ascii="PingFang TC" w:cs="PingFang TC" w:eastAsia="PingFang TC" w:hAnsi="PingFang TC"/>
          <w:sz w:val="24"/>
          <w:szCs w:val="24"/>
        </w:rPr>
        <w:t xml:space="preserve">在三次修正中都存續。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V5b — 頻率相依性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mechanostat_vs_lnf</w:t>
      </w:r>
      <w:r>
        <w:rPr>
          <w:rFonts w:ascii="PingFang TC" w:cs="PingFang TC" w:eastAsia="PingFang TC" w:hAnsi="PingFang TC"/>
          <w:sz w:val="24"/>
          <w:szCs w:val="24"/>
        </w:rPr>
        <w:t xml:space="preserve">｜質性｜E1｜盲測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mechanostat 反應在 1–10 Hz 間應與 ln(f) 成比例。校正期間，</w:t>
      </w:r>
      <w:r>
        <w:rPr>
          <w:rFonts w:ascii="Courier New" w:cs="Courier New" w:eastAsia="Courier New" w:hAnsi="Courier New"/>
          <w:sz w:val="24"/>
          <w:szCs w:val="24"/>
        </w:rPr>
        <w:t xml:space="preserve">alpha</w:t>
      </w:r>
      <w:r>
        <w:rPr>
          <w:rFonts w:ascii="PingFang TC" w:cs="PingFang TC" w:eastAsia="PingFang TC" w:hAnsi="PingFang TC"/>
          <w:sz w:val="24"/>
          <w:szCs w:val="24"/>
        </w:rPr>
        <w:t xml:space="preserve"> 與 </w:t>
      </w:r>
      <w:r>
        <w:rPr>
          <w:rFonts w:ascii="Courier New" w:cs="Courier New" w:eastAsia="Courier New" w:hAnsi="Courier New"/>
          <w:sz w:val="24"/>
          <w:szCs w:val="24"/>
        </w:rPr>
        <w:t xml:space="preserve">f_c</w:t>
      </w:r>
      <w:r>
        <w:rPr>
          <w:rFonts w:ascii="PingFang TC" w:cs="PingFang TC" w:eastAsia="PingFang TC" w:hAnsi="PingFang TC"/>
          <w:sz w:val="24"/>
          <w:szCs w:val="24"/>
        </w:rPr>
        <w:t xml:space="preserve"> 必須離線釘死並排除於擬合之外。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V6a–V6f — 網球選手優勢臂的六項 pQCT 指標（全部為盲測）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出處均為 Haapasalo 2000。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全部為盲測，不進入校正。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標的 | 量 | 目標區間 | 容差 | 備註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V6a</w:t>
      </w:r>
      <w:r>
        <w:rPr>
          <w:rFonts w:ascii="PingFang TC" w:cs="PingFang TC" w:eastAsia="PingFang TC" w:hAnsi="PingFang TC"/>
          <w:sz w:val="24"/>
          <w:szCs w:val="24"/>
        </w:rPr>
        <w:t xml:space="preserve"> | 骨礦物含量 </w:t>
      </w:r>
      <w:r>
        <w:rPr>
          <w:rFonts w:ascii="Courier New" w:cs="Courier New" w:eastAsia="Courier New" w:hAnsi="Courier New"/>
          <w:sz w:val="24"/>
          <w:szCs w:val="24"/>
        </w:rPr>
        <w:t xml:space="preserve">dBMC_percent</w:t>
      </w:r>
      <w:r>
        <w:rPr>
          <w:rFonts w:ascii="PingFang TC" w:cs="PingFang TC" w:eastAsia="PingFang TC" w:hAnsi="PingFang TC"/>
          <w:sz w:val="24"/>
          <w:szCs w:val="24"/>
        </w:rPr>
        <w:t xml:space="preserve"> | 14–27 % | 10 |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V6b</w:t>
      </w:r>
      <w:r>
        <w:rPr>
          <w:rFonts w:ascii="PingFang TC" w:cs="PingFang TC" w:eastAsia="PingFang TC" w:hAnsi="PingFang TC"/>
          <w:sz w:val="24"/>
          <w:szCs w:val="24"/>
        </w:rPr>
        <w:t xml:space="preserve"> | 總截面積 </w:t>
      </w:r>
      <w:r>
        <w:rPr>
          <w:rFonts w:ascii="Courier New" w:cs="Courier New" w:eastAsia="Courier New" w:hAnsi="Courier New"/>
          <w:sz w:val="24"/>
          <w:szCs w:val="24"/>
        </w:rPr>
        <w:t xml:space="preserve">dTotAr_percent</w:t>
      </w:r>
      <w:r>
        <w:rPr>
          <w:rFonts w:ascii="PingFang TC" w:cs="PingFang TC" w:eastAsia="PingFang TC" w:hAnsi="PingFang TC"/>
          <w:sz w:val="24"/>
          <w:szCs w:val="24"/>
        </w:rPr>
        <w:t xml:space="preserve"> | 16–21 % | 10 |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V6c</w:t>
      </w:r>
      <w:r>
        <w:rPr>
          <w:rFonts w:ascii="PingFang TC" w:cs="PingFang TC" w:eastAsia="PingFang TC" w:hAnsi="PingFang TC"/>
          <w:sz w:val="24"/>
          <w:szCs w:val="24"/>
        </w:rPr>
        <w:t xml:space="preserve"> | 皮質面積 </w:t>
      </w:r>
      <w:r>
        <w:rPr>
          <w:rFonts w:ascii="Courier New" w:cs="Courier New" w:eastAsia="Courier New" w:hAnsi="Courier New"/>
          <w:sz w:val="24"/>
          <w:szCs w:val="24"/>
        </w:rPr>
        <w:t xml:space="preserve">dCoAr_percent</w:t>
      </w:r>
      <w:r>
        <w:rPr>
          <w:rFonts w:ascii="PingFang TC" w:cs="PingFang TC" w:eastAsia="PingFang TC" w:hAnsi="PingFang TC"/>
          <w:sz w:val="24"/>
          <w:szCs w:val="24"/>
        </w:rPr>
        <w:t xml:space="preserve"> | 12–32 % | 10 |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V6d</w:t>
      </w:r>
      <w:r>
        <w:rPr>
          <w:rFonts w:ascii="PingFang TC" w:cs="PingFang TC" w:eastAsia="PingFang TC" w:hAnsi="PingFang TC"/>
          <w:sz w:val="24"/>
          <w:szCs w:val="24"/>
        </w:rPr>
        <w:t xml:space="preserve"> | 最大截面二次矩 </w:t>
      </w:r>
      <w:r>
        <w:rPr>
          <w:rFonts w:ascii="Courier New" w:cs="Courier New" w:eastAsia="Courier New" w:hAnsi="Courier New"/>
          <w:sz w:val="24"/>
          <w:szCs w:val="24"/>
        </w:rPr>
        <w:t xml:space="preserve">dImax_percent</w:t>
      </w:r>
      <w:r>
        <w:rPr>
          <w:rFonts w:ascii="PingFang TC" w:cs="PingFang TC" w:eastAsia="PingFang TC" w:hAnsi="PingFang TC"/>
          <w:sz w:val="24"/>
          <w:szCs w:val="24"/>
        </w:rPr>
        <w:t xml:space="preserve"> | 27–67 % | 15 |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V6e</w:t>
      </w:r>
      <w:r>
        <w:rPr>
          <w:rFonts w:ascii="PingFang TC" w:cs="PingFang TC" w:eastAsia="PingFang TC" w:hAnsi="PingFang TC"/>
          <w:sz w:val="24"/>
          <w:szCs w:val="24"/>
        </w:rPr>
        <w:t xml:space="preserve"> | 髓腔面積 </w:t>
      </w:r>
      <w:r>
        <w:rPr>
          <w:rFonts w:ascii="Courier New" w:cs="Courier New" w:eastAsia="Courier New" w:hAnsi="Courier New"/>
          <w:sz w:val="24"/>
          <w:szCs w:val="24"/>
        </w:rPr>
        <w:t xml:space="preserve">dMCavAr_percent</w:t>
      </w:r>
      <w:r>
        <w:rPr>
          <w:rFonts w:ascii="PingFang TC" w:cs="PingFang TC" w:eastAsia="PingFang TC" w:hAnsi="PingFang TC"/>
          <w:sz w:val="24"/>
          <w:szCs w:val="24"/>
        </w:rPr>
        <w:t xml:space="preserve"> | 19–19 % | 10 | 近端肱骨。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髓腔同時擴大</w:t>
      </w:r>
      <w:r>
        <w:rPr>
          <w:rFonts w:ascii="PingFang TC" w:cs="PingFang TC" w:eastAsia="PingFang TC" w:hAnsi="PingFang TC"/>
          <w:sz w:val="24"/>
          <w:szCs w:val="24"/>
        </w:rPr>
        <w:t xml:space="preserve">，是「增益由骨膜外擴驅動」的證據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V6f</w:t>
      </w:r>
      <w:r>
        <w:rPr>
          <w:rFonts w:ascii="PingFang TC" w:cs="PingFang TC" w:eastAsia="PingFang TC" w:hAnsi="PingFang TC"/>
          <w:sz w:val="24"/>
          <w:szCs w:val="24"/>
        </w:rPr>
        <w:t xml:space="preserve"> | 皮質體積骨密度 </w:t>
      </w:r>
      <w:r>
        <w:rPr>
          <w:rFonts w:ascii="Courier New" w:cs="Courier New" w:eastAsia="Courier New" w:hAnsi="Courier New"/>
          <w:sz w:val="24"/>
          <w:szCs w:val="24"/>
        </w:rPr>
        <w:t xml:space="preserve">dCoDn_percent</w:t>
      </w:r>
      <w:r>
        <w:rPr>
          <w:rFonts w:ascii="PingFang TC" w:cs="PingFang TC" w:eastAsia="PingFang TC" w:hAnsi="PingFang TC"/>
          <w:sz w:val="24"/>
          <w:szCs w:val="24"/>
        </w:rPr>
        <w:t xml:space="preserve"> | −2 至 0 % | 2 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硬要求</w:t>
      </w:r>
      <w:r>
        <w:rPr>
          <w:rFonts w:ascii="PingFang TC" w:cs="PingFang TC" w:eastAsia="PingFang TC" w:hAnsi="PingFang TC"/>
          <w:sz w:val="24"/>
          <w:szCs w:val="24"/>
        </w:rPr>
        <w:t xml:space="preserve">（</w:t>
      </w:r>
      <w:r>
        <w:rPr>
          <w:rFonts w:ascii="Courier New" w:cs="Courier New" w:eastAsia="Courier New" w:hAnsi="Courier New"/>
          <w:sz w:val="24"/>
          <w:szCs w:val="24"/>
        </w:rPr>
        <w:t xml:space="preserve">quantitative_hard</w:t>
      </w:r>
      <w:r>
        <w:rPr>
          <w:rFonts w:ascii="PingFang TC" w:cs="PingFang TC" w:eastAsia="PingFang TC" w:hAnsi="PingFang TC"/>
          <w:sz w:val="24"/>
          <w:szCs w:val="24"/>
        </w:rPr>
        <w:t xml:space="preserve">）：它迫使增益必須是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幾何性</w:t>
      </w:r>
      <w:r>
        <w:rPr>
          <w:rFonts w:ascii="PingFang TC" w:cs="PingFang TC" w:eastAsia="PingFang TC" w:hAnsi="PingFang TC"/>
          <w:sz w:val="24"/>
          <w:szCs w:val="24"/>
        </w:rPr>
        <w:t xml:space="preserve">而非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密度性</w:t>
      </w:r>
      <w:r>
        <w:rPr>
          <w:rFonts w:ascii="PingFang TC" w:cs="PingFang TC" w:eastAsia="PingFang TC" w:hAnsi="PingFang TC"/>
          <w:sz w:val="24"/>
          <w:szCs w:val="24"/>
        </w:rPr>
        <w:t xml:space="preserve">的。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與 V7 的平台同樣具鑑別力。</w:t>
      </w:r>
      <w:r>
        <w:rPr>
          <w:rFonts w:ascii="PingFang TC" w:cs="PingFang TC" w:eastAsia="PingFang TC" w:hAnsi="PingFang TC"/>
          <w:sz w:val="24"/>
          <w:szCs w:val="24"/>
        </w:rPr>
        <w:t xml:space="preserve"> |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V7 — 鈣攝取對骨密度的效應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dBMD_percent</w:t>
      </w:r>
      <w:r>
        <w:rPr>
          <w:rFonts w:ascii="PingFang TC" w:cs="PingFang TC" w:eastAsia="PingFang TC" w:hAnsi="PingFang TC"/>
          <w:sz w:val="24"/>
          <w:szCs w:val="24"/>
        </w:rPr>
        <w:t xml:space="preserve">｜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0.7–1.8 %</w:t>
      </w:r>
      <w:r>
        <w:rPr>
          <w:rFonts w:ascii="PingFang TC" w:cs="PingFang TC" w:eastAsia="PingFang TC" w:hAnsi="PingFang TC"/>
          <w:sz w:val="24"/>
          <w:szCs w:val="24"/>
        </w:rPr>
        <w:t xml:space="preserve">｜容差 0.8｜定量｜E2｜盲測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Tai 2015。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「平台形狀」是硬要求</w:t>
      </w:r>
      <w:r>
        <w:rPr>
          <w:rFonts w:ascii="PingFang TC" w:cs="PingFang TC" w:eastAsia="PingFang TC" w:hAnsi="PingFang TC"/>
          <w:sz w:val="24"/>
          <w:szCs w:val="24"/>
        </w:rPr>
        <w:t xml:space="preserve">：增量在第一年內達成，且在其後十八個月不再累積。自 v1.3 起、迴路閉合之後，這應該是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湧現的而非擬合的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V7b — 血清鈣的孟德爾隨機化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Ca_s_to_BMD</w:t>
      </w:r>
      <w:r>
        <w:rPr>
          <w:rFonts w:ascii="PingFang TC" w:cs="PingFang TC" w:eastAsia="PingFang TC" w:hAnsi="PingFang TC"/>
          <w:sz w:val="24"/>
          <w:szCs w:val="24"/>
        </w:rPr>
        <w:t xml:space="preserve">｜質性｜E2｜盲測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提高血清鈣設定點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不得</w:t>
      </w:r>
      <w:r>
        <w:rPr>
          <w:rFonts w:ascii="PingFang TC" w:cs="PingFang TC" w:eastAsia="PingFang TC" w:hAnsi="PingFang TC"/>
          <w:sz w:val="24"/>
          <w:szCs w:val="24"/>
        </w:rPr>
        <w:t xml:space="preserve">提高骨密度。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v2.13（E7）評估 —— 未達成</w:t>
      </w:r>
      <w:r>
        <w:rPr>
          <w:rFonts w:ascii="PingFang TC" w:cs="PingFang TC" w:eastAsia="PingFang TC" w:hAnsi="PingFang TC"/>
          <w:sz w:val="24"/>
          <w:szCs w:val="24"/>
        </w:rPr>
        <w:t xml:space="preserve">：在固定攝取下將血清鈣箝制在基線之上 2 %，會使 24 個月面積骨密度上升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+0.668 %</w:t>
      </w:r>
      <w:r>
        <w:rPr>
          <w:rFonts w:ascii="PingFang TC" w:cs="PingFang TC" w:eastAsia="PingFang TC" w:hAnsi="PingFang TC"/>
          <w:sz w:val="24"/>
          <w:szCs w:val="24"/>
        </w:rPr>
        <w:t xml:space="preserve">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符號是錯的</w:t>
      </w:r>
      <w:r>
        <w:rPr>
          <w:rFonts w:ascii="PingFang TC" w:cs="PingFang TC" w:eastAsia="PingFang TC" w:hAnsi="PingFang TC"/>
          <w:sz w:val="24"/>
          <w:szCs w:val="24"/>
        </w:rPr>
        <w:t xml:space="preserve">。其幅度比負荷反應低一個數量級，所以 P1 的「許可性 vs 指令性」對比仍然成立，但符號與孟德爾隨機化的證據不符。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同一次執行發現、並已在 P5k 修復的相關缺陷</w:t>
      </w:r>
      <w:r>
        <w:rPr>
          <w:rFonts w:ascii="PingFang TC" w:cs="PingFang TC" w:eastAsia="PingFang TC" w:hAnsi="PingFang TC"/>
          <w:sz w:val="24"/>
          <w:szCs w:val="24"/>
        </w:rPr>
        <w:t xml:space="preserve">：在 v2.13 時，攝取 400 對 1500 mg/day 會使血清游離鈣由 1.107 移動到 1.291 mmol/L，擺動達 15 %，而生理上血清鈣被防禦在約 2 % 之內。被動腸道吸收當時對攝取量呈線性且不飽和，因而蓋過了會飽和的主動項；而 </w:t>
      </w:r>
      <w:r>
        <w:rPr>
          <w:rFonts w:ascii="Courier New" w:cs="Courier New" w:eastAsia="Courier New" w:hAnsi="Courier New"/>
          <w:sz w:val="24"/>
          <w:szCs w:val="24"/>
        </w:rPr>
        <w:t xml:space="preserve">renal_k</w:t>
      </w:r>
      <w:r>
        <w:rPr>
          <w:rFonts w:ascii="PingFang TC" w:cs="PingFang TC" w:eastAsia="PingFang TC" w:hAnsi="PingFang TC"/>
          <w:sz w:val="24"/>
          <w:szCs w:val="24"/>
        </w:rPr>
        <w:t xml:space="preserve"> 與 </w:t>
      </w:r>
      <w:r>
        <w:rPr>
          <w:rFonts w:ascii="Courier New" w:cs="Courier New" w:eastAsia="Courier New" w:hAnsi="Courier New"/>
          <w:sz w:val="24"/>
          <w:szCs w:val="24"/>
        </w:rPr>
        <w:t xml:space="preserve">renal_Ca_th</w:t>
      </w:r>
      <w:r>
        <w:rPr>
          <w:rFonts w:ascii="PingFang TC" w:cs="PingFang TC" w:eastAsia="PingFang TC" w:hAnsi="PingFang TC"/>
          <w:sz w:val="24"/>
          <w:szCs w:val="24"/>
        </w:rPr>
        <w:t xml:space="preserve"> 所宣告的可飽和小管再吸收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從未在程式中實作</w:t>
      </w:r>
      <w:r>
        <w:rPr>
          <w:rFonts w:ascii="PingFang TC" w:cs="PingFang TC" w:eastAsia="PingFang TC" w:hAnsi="PingFang TC"/>
          <w:sz w:val="24"/>
          <w:szCs w:val="24"/>
        </w:rPr>
        <w:t xml:space="preserve">。兩條臂都已重建；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擺動現在是 1.6 %</w:t>
      </w:r>
      <w:r>
        <w:rPr>
          <w:rFonts w:ascii="PingFang TC" w:cs="PingFang TC" w:eastAsia="PingFang TC" w:hAnsi="PingFang TC"/>
          <w:sz w:val="24"/>
          <w:szCs w:val="24"/>
        </w:rPr>
        <w:t xml:space="preserve">，而上述 V7b 的符號失敗是在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已修復的模組</w:t>
      </w:r>
      <w:r>
        <w:rPr>
          <w:rFonts w:ascii="PingFang TC" w:cs="PingFang TC" w:eastAsia="PingFang TC" w:hAnsi="PingFang TC"/>
          <w:sz w:val="24"/>
          <w:szCs w:val="24"/>
        </w:rPr>
        <w:t xml:space="preserve">上量測的。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V8 — Romosozumab 的 12 個月腰椎骨密度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dBMD_percent</w:t>
      </w:r>
      <w:r>
        <w:rPr>
          <w:rFonts w:ascii="PingFang TC" w:cs="PingFang TC" w:eastAsia="PingFang TC" w:hAnsi="PingFang TC"/>
          <w:sz w:val="24"/>
          <w:szCs w:val="24"/>
        </w:rPr>
        <w:t xml:space="preserve">｜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11.9–14.7 %</w:t>
      </w:r>
      <w:r>
        <w:rPr>
          <w:rFonts w:ascii="PingFang TC" w:cs="PingFang TC" w:eastAsia="PingFang TC" w:hAnsi="PingFang TC"/>
          <w:sz w:val="24"/>
          <w:szCs w:val="24"/>
        </w:rPr>
        <w:t xml:space="preserve">｜容差 3｜定量｜E4｜盲測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v2.22 依已發表的信賴區間更正了帶</w:t>
      </w:r>
      <w:r>
        <w:rPr>
          <w:rFonts w:ascii="PingFang TC" w:cs="PingFang TC" w:eastAsia="PingFang TC" w:hAnsi="PingFang TC"/>
          <w:sz w:val="24"/>
          <w:szCs w:val="24"/>
        </w:rPr>
        <w:t xml:space="preserve">（Cosman 2016, FRAME, Reference/a09.pdf）：「at 12 months the percentage change from baseline was greater with romosozumab than with placebo at the lumbar spine, by 13.3 percentage points (95% CI, 11.9 to 14.7)」。我們原本的帶是 11–14，比真實區間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下移約 0.8 個百分點</w:t>
      </w:r>
      <w:r>
        <w:rPr>
          <w:rFonts w:ascii="PingFang TC" w:cs="PingFang TC" w:eastAsia="PingFang TC" w:hAnsi="PingFang TC"/>
          <w:sz w:val="24"/>
          <w:szCs w:val="24"/>
        </w:rPr>
        <w:t xml:space="preserve"> —— 可追溯到真數字，但不等於它。與 V5、</w:t>
      </w:r>
      <w:r>
        <w:rPr>
          <w:rFonts w:ascii="Courier New" w:cs="Courier New" w:eastAsia="Courier New" w:hAnsi="Courier New"/>
          <w:sz w:val="24"/>
          <w:szCs w:val="24"/>
        </w:rPr>
        <w:t xml:space="preserve">tau_target</w:t>
      </w:r>
      <w:r>
        <w:rPr>
          <w:rFonts w:ascii="PingFang TC" w:cs="PingFang TC" w:eastAsia="PingFang TC" w:hAnsi="PingFang TC"/>
          <w:sz w:val="24"/>
          <w:szCs w:val="24"/>
        </w:rPr>
        <w:t xml:space="preserve">、V16 不同，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這個自訂帶幾乎是對的</w:t>
      </w:r>
      <w:r>
        <w:rPr>
          <w:rFonts w:ascii="PingFang TC" w:cs="PingFang TC" w:eastAsia="PingFang TC" w:hAnsi="PingFang TC"/>
          <w:sz w:val="24"/>
          <w:szCs w:val="24"/>
        </w:rPr>
        <w:t xml:space="preserve">，而模型在兩種帶下都通過（V8 = 12.46）。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仍有一項量的不匹配，此處未修</w:t>
      </w:r>
      <w:r>
        <w:rPr>
          <w:rFonts w:ascii="PingFang TC" w:cs="PingFang TC" w:eastAsia="PingFang TC" w:hAnsi="PingFang TC"/>
          <w:sz w:val="24"/>
          <w:szCs w:val="24"/>
        </w:rPr>
        <w:t xml:space="preserve">：Cosman 的 13.3 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扣除安慰劑後</w:t>
      </w:r>
      <w:r>
        <w:rPr>
          <w:rFonts w:ascii="PingFang TC" w:cs="PingFang TC" w:eastAsia="PingFang TC" w:hAnsi="PingFang TC"/>
          <w:sz w:val="24"/>
          <w:szCs w:val="24"/>
        </w:rPr>
        <w:t xml:space="preserve">的差值，而 </w:t>
      </w:r>
      <w:r>
        <w:rPr>
          <w:rFonts w:ascii="Courier New" w:cs="Courier New" w:eastAsia="Courier New" w:hAnsi="Courier New"/>
          <w:sz w:val="24"/>
          <w:szCs w:val="24"/>
        </w:rPr>
        <w:t xml:space="preserve">evalTargets</w:t>
      </w:r>
      <w:r>
        <w:rPr>
          <w:rFonts w:ascii="PingFang TC" w:cs="PingFang TC" w:eastAsia="PingFang TC" w:hAnsi="PingFang TC"/>
          <w:sz w:val="24"/>
          <w:szCs w:val="24"/>
        </w:rPr>
        <w:t xml:space="preserve"> 計算的是治療組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對基線的原始變化</w:t>
      </w:r>
      <w:r>
        <w:rPr>
          <w:rFonts w:ascii="PingFang TC" w:cs="PingFang TC" w:eastAsia="PingFang TC" w:hAnsi="PingFang TC"/>
          <w:sz w:val="24"/>
          <w:szCs w:val="24"/>
        </w:rPr>
        <w:t xml:space="preserve">。兩邊的對照組都近乎持平（我們 24 個月漂移 −0.015 %），所以實務上接近，但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它們不是同一個量</w:t>
      </w:r>
      <w:r>
        <w:rPr>
          <w:rFonts w:ascii="PingFang TC" w:cs="PingFang TC" w:eastAsia="PingFang TC" w:hAnsi="PingFang TC"/>
          <w:sz w:val="24"/>
          <w:szCs w:val="24"/>
        </w:rPr>
        <w:t xml:space="preserve">，這個比較最終應改為對等比較。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V9 — Romosozumab 效應的自我限制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formation_marker_decline</w:t>
      </w:r>
      <w:r>
        <w:rPr>
          <w:rFonts w:ascii="PingFang TC" w:cs="PingFang TC" w:eastAsia="PingFang TC" w:hAnsi="PingFang TC"/>
          <w:sz w:val="24"/>
          <w:szCs w:val="24"/>
        </w:rPr>
        <w:t xml:space="preserve">｜質性｜E4｜盲測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形成標記在 6–12 個月後回落。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V10 — 停藥後的骨密度流失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dBMD_after_stop</w:t>
      </w:r>
      <w:r>
        <w:rPr>
          <w:rFonts w:ascii="PingFang TC" w:cs="PingFang TC" w:eastAsia="PingFang TC" w:hAnsi="PingFang TC"/>
          <w:sz w:val="24"/>
          <w:szCs w:val="24"/>
        </w:rPr>
        <w:t xml:space="preserve">｜質性｜E4｜盲測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是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12 個月內有可觀流失。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盲測，不進入校正。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V11 — 流失與回復之間的不對稱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recovery_to_loss_ratio</w:t>
      </w:r>
      <w:r>
        <w:rPr>
          <w:rFonts w:ascii="PingFang TC" w:cs="PingFang TC" w:eastAsia="PingFang TC" w:hAnsi="PingFang TC"/>
          <w:sz w:val="24"/>
          <w:szCs w:val="24"/>
        </w:rPr>
        <w:t xml:space="preserve">｜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&gt; 3</w:t>
      </w:r>
      <w:r>
        <w:rPr>
          <w:rFonts w:ascii="PingFang TC" w:cs="PingFang TC" w:eastAsia="PingFang TC" w:hAnsi="PingFang TC"/>
          <w:sz w:val="24"/>
          <w:szCs w:val="24"/>
        </w:rPr>
        <w:t xml:space="preserve">｜定量｜E3;E6｜盲測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比值大於 3。自 v1.3 起，這源自比表面積函數 $S_v(f_{bm})$ 的吸收態機制。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v2.13（E7）評估 —— 達成</w:t>
      </w:r>
      <w:r>
        <w:rPr>
          <w:rFonts w:ascii="PingFang TC" w:cs="PingFang TC" w:eastAsia="PingFang TC" w:hAnsi="PingFang TC"/>
          <w:sz w:val="24"/>
          <w:szCs w:val="24"/>
        </w:rPr>
        <w:t xml:space="preserve">：卸載 180 天後，前一半的流失在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140 天</w:t>
      </w:r>
      <w:r>
        <w:rPr>
          <w:rFonts w:ascii="PingFang TC" w:cs="PingFang TC" w:eastAsia="PingFang TC" w:hAnsi="PingFang TC"/>
          <w:sz w:val="24"/>
          <w:szCs w:val="24"/>
        </w:rPr>
        <w:t xml:space="preserve">內累積，但恢復負重後要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2014 天</w:t>
      </w:r>
      <w:r>
        <w:rPr>
          <w:rFonts w:ascii="PingFang TC" w:cs="PingFang TC" w:eastAsia="PingFang TC" w:hAnsi="PingFang TC"/>
          <w:sz w:val="24"/>
          <w:szCs w:val="24"/>
        </w:rPr>
        <w:t xml:space="preserve">才贏回同樣這一半，比值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14.4</w:t>
      </w:r>
      <w:r>
        <w:rPr>
          <w:rFonts w:ascii="PingFang TC" w:cs="PingFang TC" w:eastAsia="PingFang TC" w:hAnsi="PingFang TC"/>
          <w:sz w:val="24"/>
          <w:szCs w:val="24"/>
        </w:rPr>
        <w:t xml:space="preserve">；而十年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全數取回並且超過</w:t>
      </w:r>
      <w:r>
        <w:rPr>
          <w:rFonts w:ascii="PingFang TC" w:cs="PingFang TC" w:eastAsia="PingFang TC" w:hAnsi="PingFang TC"/>
          <w:sz w:val="24"/>
          <w:szCs w:val="24"/>
        </w:rPr>
        <w:t xml:space="preserve">，達到流失量的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146.5 %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注意：這是速率的不對稱，不是雙穩態的證據</w:t>
      </w:r>
      <w:r>
        <w:rPr>
          <w:rFonts w:ascii="PingFang TC" w:cs="PingFang TC" w:eastAsia="PingFang TC" w:hAnsi="PingFang TC"/>
          <w:sz w:val="24"/>
          <w:szCs w:val="24"/>
        </w:rPr>
        <w:t xml:space="preserve"> —— 回復是單調且持續進行的，與 P3 的否證一致。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V12 — 負荷與藥物的交互作用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interaction_sign</w:t>
      </w:r>
      <w:r>
        <w:rPr>
          <w:rFonts w:ascii="PingFang TC" w:cs="PingFang TC" w:eastAsia="PingFang TC" w:hAnsi="PingFang TC"/>
          <w:sz w:val="24"/>
          <w:szCs w:val="24"/>
        </w:rPr>
        <w:t xml:space="preserve">｜質性｜E4｜盲測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負荷與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合成代謝藥物</w:t>
      </w:r>
      <w:r>
        <w:rPr>
          <w:rFonts w:ascii="PingFang TC" w:cs="PingFang TC" w:eastAsia="PingFang TC" w:hAnsi="PingFang TC"/>
          <w:sz w:val="24"/>
          <w:szCs w:val="24"/>
        </w:rPr>
        <w:t xml:space="preserve">（PTH、抗硬化蛋白抗體）為相加或協同，但與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雙磷酸鹽</w:t>
      </w:r>
      <w:r>
        <w:rPr>
          <w:rFonts w:ascii="PingFang TC" w:cs="PingFang TC" w:eastAsia="PingFang TC" w:hAnsi="PingFang TC"/>
          <w:sz w:val="24"/>
          <w:szCs w:val="24"/>
        </w:rPr>
        <w:t xml:space="preserve">則否。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V13 — 硬化蛋白的雙重作用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RANKL_OPG_ratio</w:t>
      </w:r>
      <w:r>
        <w:rPr>
          <w:rFonts w:ascii="PingFang TC" w:cs="PingFang TC" w:eastAsia="PingFang TC" w:hAnsi="PingFang TC"/>
          <w:sz w:val="24"/>
          <w:szCs w:val="24"/>
        </w:rPr>
        <w:t xml:space="preserve">｜質性｜E4｜盲測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外源性硬化蛋白提高 RANKL、降低 OPG。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v2.15 依全文更正了標的</w:t>
      </w:r>
      <w:r>
        <w:rPr>
          <w:rFonts w:ascii="PingFang TC" w:cs="PingFang TC" w:eastAsia="PingFang TC" w:hAnsi="PingFang TC"/>
          <w:sz w:val="24"/>
          <w:szCs w:val="24"/>
        </w:rPr>
        <w:t xml:space="preserve">（Wijenayaka 2011, PMID 21991382, Reference/a02.pdf）。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那個「約 7 倍」的數字指的是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破骨性吸收</w:t>
      </w:r>
      <w:r>
        <w:rPr>
          <w:rFonts w:ascii="PingFang TC" w:cs="PingFang TC" w:eastAsia="PingFang TC" w:hAnsi="PingFang TC"/>
          <w:sz w:val="24"/>
          <w:szCs w:val="24"/>
        </w:rPr>
        <w:t xml:space="preserve"> —— 在 100 ng/ml 重組硬化蛋白下、14 天骨細胞／脾細胞共培養的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吸收凹陷面積</w:t>
      </w:r>
      <w:r>
        <w:rPr>
          <w:rFonts w:ascii="PingFang TC" w:cs="PingFang TC" w:eastAsia="PingFang TC" w:hAnsi="PingFang TC"/>
          <w:sz w:val="24"/>
          <w:szCs w:val="24"/>
        </w:rPr>
        <w:t xml:space="preserve"> ——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而不是</w:t>
      </w:r>
      <w:r>
        <w:rPr>
          <w:rFonts w:ascii="PingFang TC" w:cs="PingFang TC" w:eastAsia="PingFang TC" w:hAnsi="PingFang TC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evalTargets</w:t>
      </w:r>
      <w:r>
        <w:rPr>
          <w:rFonts w:ascii="PingFang TC" w:cs="PingFang TC" w:eastAsia="PingFang TC" w:hAnsi="PingFang TC"/>
          <w:sz w:val="24"/>
          <w:szCs w:val="24"/>
        </w:rPr>
        <w:t xml:space="preserve"> 與 E7 一直拿來比對的瞬時 RANKL/OPG 活化項。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那是我們這邊的「比錯對比」，正是這次稽核存在的目的所要抓的那一類錯誤。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直接可比的分子量是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RANKL:OPG 比值</w:t>
      </w:r>
      <w:r>
        <w:rPr>
          <w:rFonts w:ascii="PingFang TC" w:cs="PingFang TC" w:eastAsia="PingFang TC" w:hAnsi="PingFang TC"/>
          <w:sz w:val="24"/>
          <w:szCs w:val="24"/>
        </w:rPr>
        <w:t xml:space="preserve">，原文報告它隨劑量上升；模型使其提高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2.9 倍</w:t>
      </w:r>
      <w:r>
        <w:rPr>
          <w:rFonts w:ascii="PingFang TC" w:cs="PingFang TC" w:eastAsia="PingFang TC" w:hAnsi="PingFang TC"/>
          <w:sz w:val="24"/>
          <w:szCs w:val="24"/>
        </w:rPr>
        <w:t xml:space="preserve">（RANKL 1.00 → 1.29，OPG 1.00 → 0.44）。活化項 $\pi_L$ 的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1.42 倍天花板</w:t>
      </w:r>
      <w:r>
        <w:rPr>
          <w:rFonts w:ascii="PingFang TC" w:cs="PingFang TC" w:eastAsia="PingFang TC" w:hAnsi="PingFang TC"/>
          <w:sz w:val="24"/>
          <w:szCs w:val="24"/>
        </w:rPr>
        <w:t xml:space="preserve">是真實的算術，但它回答的是原文從未提出的問題。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以吸收輸出而非 $\pi_L$ 重新定義此標的，是尚未完成的工作。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V14 — 湧現的 mechanostat 設定點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epsilon_star</w:t>
      </w:r>
      <w:r>
        <w:rPr>
          <w:rFonts w:ascii="PingFang TC" w:cs="PingFang TC" w:eastAsia="PingFang TC" w:hAnsi="PingFang TC"/>
          <w:sz w:val="24"/>
          <w:szCs w:val="24"/>
        </w:rPr>
        <w:t xml:space="preserve">｜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300–1500 微應變</w:t>
      </w:r>
      <w:r>
        <w:rPr>
          <w:rFonts w:ascii="PingFang TC" w:cs="PingFang TC" w:eastAsia="PingFang TC" w:hAnsi="PingFang TC"/>
          <w:sz w:val="24"/>
          <w:szCs w:val="24"/>
        </w:rPr>
        <w:t xml:space="preserve">｜定量｜E0;E6｜盲測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是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v1.3 加入，作為一個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零成本標的</w:t>
      </w:r>
      <w:r>
        <w:rPr>
          <w:rFonts w:ascii="PingFang TC" w:cs="PingFang TC" w:eastAsia="PingFang TC" w:hAnsi="PingFang TC"/>
          <w:sz w:val="24"/>
          <w:szCs w:val="24"/>
        </w:rPr>
        <w:t xml:space="preserve">：湧現的 ε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 應落在 Frost 的 lazy zone 內。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v2.12 依原文收緊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：Frost 1987（PMID 3688455）給的是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兩個分離的閾值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 —— 塑形在 1500–3000 微應變或以上增添骨質，重塑在 100–300 微應變以下移除骨質。lazy zone 嚴格說是兩者之間的區間，因此標的由 100–1500 改為 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300–1500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；原本的下界 100 是重塑範圍的底端，會讓標的過於寬鬆。收緊之後，湧現值 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786.8 微應變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仍然通過。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盲測。</w:t>
      </w:r>
      <w:r>
        <w:rPr>
          <w:rFonts w:ascii="PingFang TC" w:cs="PingFang TC" w:eastAsia="PingFang TC" w:hAnsi="PingFang TC"/>
          <w:sz w:val="24"/>
          <w:szCs w:val="24"/>
        </w:rPr>
        <w:t xml:space="preserve">*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V15 — 停經後表型的幾何特徵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r_p_and_r_e_direction</w:t>
      </w:r>
      <w:r>
        <w:rPr>
          <w:rFonts w:ascii="PingFang TC" w:cs="PingFang TC" w:eastAsia="PingFang TC" w:hAnsi="PingFang TC"/>
          <w:sz w:val="24"/>
          <w:szCs w:val="24"/>
        </w:rPr>
        <w:t xml:space="preserve">｜質性｜E6｜盲測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雌激素下降後，骨膜半徑應緩慢外擴，而骨內膜半徑外擴更快（皮質變薄、骨變寬）。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兩個方向必須同時正確。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v2.13（E7）評估 —— 未達成</w:t>
      </w:r>
      <w:r>
        <w:rPr>
          <w:rFonts w:ascii="PingFang TC" w:cs="PingFang TC" w:eastAsia="PingFang TC" w:hAnsi="PingFang TC"/>
          <w:sz w:val="24"/>
          <w:szCs w:val="24"/>
        </w:rPr>
        <w:t xml:space="preserve">：在 E₂ = 0.1 下，模擬在第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511</w:t>
      </w:r>
      <w:r>
        <w:rPr>
          <w:rFonts w:ascii="PingFang TC" w:cs="PingFang TC" w:eastAsia="PingFang TC" w:hAnsi="PingFang TC"/>
          <w:sz w:val="24"/>
          <w:szCs w:val="24"/>
        </w:rPr>
        <w:t xml:space="preserve"> 天逸出線性彈性域，因此表型讀在第 459 天。在有效域內，骨內膜半徑外擴（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+0.0752 mm</w:t>
      </w:r>
      <w:r>
        <w:rPr>
          <w:rFonts w:ascii="PingFang TC" w:cs="PingFang TC" w:eastAsia="PingFang TC" w:hAnsi="PingFang TC"/>
          <w:sz w:val="24"/>
          <w:szCs w:val="24"/>
        </w:rPr>
        <w:t xml:space="preserve">）、皮質變薄（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−0.0773 mm</w:t>
      </w:r>
      <w:r>
        <w:rPr>
          <w:rFonts w:ascii="PingFang TC" w:cs="PingFang TC" w:eastAsia="PingFang TC" w:hAnsi="PingFang TC"/>
          <w:sz w:val="24"/>
          <w:szCs w:val="24"/>
        </w:rPr>
        <w:t xml:space="preserve">）皆如要求，但骨膜半徑略微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向內</w:t>
      </w:r>
      <w:r>
        <w:rPr>
          <w:rFonts w:ascii="PingFang TC" w:cs="PingFang TC" w:eastAsia="PingFang TC" w:hAnsi="PingFang TC"/>
          <w:sz w:val="24"/>
          <w:szCs w:val="24"/>
        </w:rPr>
        <w:t xml:space="preserve">漂移（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−0.0021 mm</w:t>
      </w:r>
      <w:r>
        <w:rPr>
          <w:rFonts w:ascii="PingFang TC" w:cs="PingFang TC" w:eastAsia="PingFang TC" w:hAnsi="PingFang TC"/>
          <w:sz w:val="24"/>
          <w:szCs w:val="24"/>
        </w:rPr>
        <w:t xml:space="preserve">）而非向外，因此骨並未變寬，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標的在其後半部失敗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十年的模擬看起來會壯觀地通過（骨膜外擴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+4.62 mm</w:t>
      </w:r>
      <w:r>
        <w:rPr>
          <w:rFonts w:ascii="PingFang TC" w:cs="PingFang TC" w:eastAsia="PingFang TC" w:hAnsi="PingFang TC"/>
          <w:sz w:val="24"/>
          <w:szCs w:val="24"/>
        </w:rPr>
        <w:t xml:space="preserve">），但它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完全落在彈性域之外</w:t>
      </w:r>
      <w:r>
        <w:rPr>
          <w:rFonts w:ascii="PingFang TC" w:cs="PingFang TC" w:eastAsia="PingFang TC" w:hAnsi="PingFang TC"/>
          <w:sz w:val="24"/>
          <w:szCs w:val="24"/>
        </w:rPr>
        <w:t xml:space="preserve">，屬於當初引入塑形飽和界所要移除的同一類假影；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不得報告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V16 — 停藥後吸收標記的過衝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CTX_overshoot</w:t>
      </w:r>
      <w:r>
        <w:rPr>
          <w:rFonts w:ascii="PingFang TC" w:cs="PingFang TC" w:eastAsia="PingFang TC" w:hAnsi="PingFang TC"/>
          <w:sz w:val="24"/>
          <w:szCs w:val="24"/>
        </w:rPr>
        <w:t xml:space="preserve">｜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1.2–1.4</w:t>
      </w:r>
      <w:r>
        <w:rPr>
          <w:rFonts w:ascii="PingFang TC" w:cs="PingFang TC" w:eastAsia="PingFang TC" w:hAnsi="PingFang TC"/>
          <w:sz w:val="24"/>
          <w:szCs w:val="24"/>
        </w:rPr>
        <w:t xml:space="preserve">｜容差 0.15｜定量｜E4｜盲測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否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Romosozumab 停藥後，CTX 升至基線之上。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這個 1.2–1.4 的帶是我們的，不是文獻的</w:t>
      </w:r>
      <w:r>
        <w:rPr>
          <w:rFonts w:ascii="PingFang TC" w:cs="PingFang TC" w:eastAsia="PingFang TC" w:hAnsi="PingFang TC"/>
          <w:sz w:val="24"/>
          <w:szCs w:val="24"/>
        </w:rPr>
        <w:t xml:space="preserve"> —— 於 v2.22 確立，而它在此處比在別處更要緊。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我們為它引用的唯一出處 McClung 2018（PMID 29694685）陳述：轉換為安慰劑後「β-CTX increased above baseline」—— 那是一個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方向</w:t>
      </w:r>
      <w:r>
        <w:rPr>
          <w:rFonts w:ascii="PingFang TC" w:cs="PingFang TC" w:eastAsia="PingFang TC" w:hAnsi="PingFang TC"/>
          <w:sz w:val="24"/>
          <w:szCs w:val="24"/>
        </w:rPr>
        <w:t xml:space="preserve">，沒有幅度。我們沒有它的全文。Cosman 2016（FRAME, Reference/a09.pdf）也提供不了這個數字：該研究的病人是轉換為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denosumab</w:t>
      </w:r>
      <w:r>
        <w:rPr>
          <w:rFonts w:ascii="PingFang TC" w:cs="PingFang TC" w:eastAsia="PingFang TC" w:hAnsi="PingFang TC"/>
          <w:sz w:val="24"/>
          <w:szCs w:val="24"/>
        </w:rPr>
        <w:t xml:space="preserve"> 而非安慰劑，因此 CTX 被進一步壓抑而非反彈，而「above baseline」這個說法在該文中根本不存在。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所以這個標的有出處的內容只有「比值 &gt; 1.0」，而模型以 1.124 滿足它。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兩個後果。</w:t>
      </w:r>
      <w:r>
        <w:rPr>
          <w:rFonts w:ascii="PingFang TC" w:cs="PingFang TC" w:eastAsia="PingFang TC" w:hAnsi="PingFang TC"/>
          <w:sz w:val="24"/>
          <w:szCs w:val="24"/>
        </w:rPr>
        <w:t xml:space="preserve">（1）V16 是一個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校正</w:t>
      </w:r>
      <w:r>
        <w:rPr>
          <w:rFonts w:ascii="PingFang TC" w:cs="PingFang TC" w:eastAsia="PingFang TC" w:hAnsi="PingFang TC"/>
          <w:sz w:val="24"/>
          <w:szCs w:val="24"/>
        </w:rPr>
        <w:t xml:space="preserve">標的 —— </w:t>
      </w:r>
      <w:r>
        <w:rPr>
          <w:rFonts w:ascii="Courier New" w:cs="Courier New" w:eastAsia="Courier New" w:hAnsi="Courier New"/>
          <w:sz w:val="24"/>
          <w:szCs w:val="24"/>
        </w:rPr>
        <w:t xml:space="preserve">sost_reb</w:t>
      </w:r>
      <w:r>
        <w:rPr>
          <w:rFonts w:ascii="PingFang TC" w:cs="PingFang TC" w:eastAsia="PingFang TC" w:hAnsi="PingFang TC"/>
          <w:sz w:val="24"/>
          <w:szCs w:val="24"/>
        </w:rPr>
        <w:t xml:space="preserve"> 曾對它擬合 —— 所以一個自訂的帶當時正在操縱一個被擬合的參數。（2）稿件報告 V16 以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1.124</w:t>
      </w:r>
      <w:r>
        <w:rPr>
          <w:rFonts w:ascii="PingFang TC" w:cs="PingFang TC" w:eastAsia="PingFang TC" w:hAnsi="PingFang TC"/>
          <w:sz w:val="24"/>
          <w:szCs w:val="24"/>
        </w:rPr>
        <w:t xml:space="preserve"> 對 1.2–1.4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未達</w:t>
      </w:r>
      <w:r>
        <w:rPr>
          <w:rFonts w:ascii="PingFang TC" w:cs="PingFang TC" w:eastAsia="PingFang TC" w:hAnsi="PingFang TC"/>
          <w:sz w:val="24"/>
          <w:szCs w:val="24"/>
        </w:rPr>
        <w:t xml:space="preserve">；依此解讀，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它敗給的是一個發明出來的帶，而原文真正說的那一件事它是滿足的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V7/V16 的結構性衝突（C27.5）不受影響、仍然真實，因為那關乎 </w:t>
      </w:r>
      <w:r>
        <w:rPr>
          <w:rFonts w:ascii="Courier New" w:cs="Courier New" w:eastAsia="Courier New" w:hAnsi="Courier New"/>
          <w:sz w:val="24"/>
          <w:szCs w:val="24"/>
        </w:rPr>
        <w:t xml:space="preserve">lambda_P</w:t>
      </w:r>
      <w:r>
        <w:rPr>
          <w:rFonts w:ascii="PingFang TC" w:cs="PingFang TC" w:eastAsia="PingFang TC" w:hAnsi="PingFang TC"/>
          <w:sz w:val="24"/>
          <w:szCs w:val="24"/>
        </w:rPr>
        <w:t xml:space="preserve"> 效應的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符號</w:t>
      </w:r>
      <w:r>
        <w:rPr>
          <w:rFonts w:ascii="PingFang TC" w:cs="PingFang TC" w:eastAsia="PingFang TC" w:hAnsi="PingFang TC"/>
          <w:sz w:val="24"/>
          <w:szCs w:val="24"/>
        </w:rPr>
        <w:t xml:space="preserve">，與帶無關。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取得 McClung 的全文是解決幅度問題的辦法。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lnNumType w:countBy="1" w:restart="continuous" w:distance="36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ingFang TC" w:cs="PingFang TC" w:eastAsia="PingFang TC" w:hAnsi="PingFang TC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TC" w:cs="PingFang TC" w:eastAsia="PingFang TC" w:hAnsi="PingFang T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fluid shear to sclerostin</dc:title>
  <dc:creator>Ming-Yu Hsieh</dc:creator>
  <cp:lastModifiedBy>Un-named</cp:lastModifiedBy>
  <cp:revision>1</cp:revision>
  <dcterms:created xsi:type="dcterms:W3CDTF">2026-08-02T13:30:49.205Z</dcterms:created>
  <dcterms:modified xsi:type="dcterms:W3CDTF">2026-08-02T13:30:49.206Z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