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r>
        <w:rPr>
          <w:b w:val="0"/>
          <w:sz w:val="16"/>
        </w:rPr>
        <w:t>{{BRIEFKOPF}}</w:t>
      </w:r>
    </w:p>
    <w:p>
      <w:pPr>
        <w:spacing w:after="0" w:before="0"/>
      </w:pPr>
      <w:r>
        <w:rPr>
          <w:b w:val="0"/>
        </w:rPr>
        <w:t>{{MIETER_NAME}}</w:t>
      </w:r>
    </w:p>
    <w:p>
      <w:pPr>
        <w:spacing w:after="0" w:before="0"/>
      </w:pPr>
      <w:r>
        <w:rPr>
          <w:b w:val="0"/>
        </w:rPr>
        <w:t>{{MIETER_STRASSE}}</w:t>
      </w:r>
    </w:p>
    <w:p>
      <w:pPr>
        <w:spacing w:after="480" w:before="0"/>
      </w:pPr>
      <w:r>
        <w:rPr>
          <w:b w:val="0"/>
        </w:rPr>
        <w:t>{{MIETER_PLZORT}}</w:t>
      </w:r>
    </w:p>
    <w:p>
      <w:pPr>
        <w:spacing w:after="400" w:before="0"/>
        <w:jc w:val="right"/>
      </w:pPr>
      <w:r>
        <w:rPr>
          <w:b w:val="0"/>
        </w:rPr>
        <w:t>{{ORT}}, {{DATUM}}</w:t>
      </w:r>
    </w:p>
    <w:p>
      <w:pPr>
        <w:spacing w:after="80" w:before="0"/>
      </w:pPr>
      <w:r>
        <w:rPr>
          <w:b/>
          <w:sz w:val="24"/>
        </w:rPr>
        <w:t>Mieterhöhung bis zur ortsüblichen Vergleichsmiete (§ 558 BGB)</w:t>
      </w:r>
    </w:p>
    <w:p>
      <w:pPr>
        <w:spacing w:after="320" w:before="0"/>
      </w:pPr>
      <w:r>
        <w:rPr>
          <w:b w:val="0"/>
        </w:rPr>
        <w:t>Objekt: {{OBJEKT}}</w:t>
      </w:r>
    </w:p>
    <w:p>
      <w:pPr>
        <w:spacing w:after="200" w:before="0"/>
      </w:pPr>
      <w:r>
        <w:rPr>
          <w:b w:val="0"/>
        </w:rPr>
        <w:t>Sehr geehrte Mieterin, sehr geehrter Mieter,</w:t>
      </w:r>
    </w:p>
    <w:p>
      <w:pPr>
        <w:spacing w:after="160"/>
      </w:pPr>
      <w:r>
        <w:rPr>
          <w:b w:val="0"/>
        </w:rPr>
        <w:t xml:space="preserve">die Nettokaltmiete für die oben genannte Wohnung beträgt seit </w:t>
      </w:r>
      <w:r>
        <w:rPr>
          <w:highlight w:val="yellow"/>
        </w:rPr>
        <w:t>[Datum der letzten Anpassung]</w:t>
      </w:r>
      <w:r>
        <w:rPr>
          <w:b w:val="0"/>
        </w:rPr>
        <w:t xml:space="preserve"> unverändert </w:t>
      </w:r>
      <w:r>
        <w:rPr>
          <w:b/>
        </w:rPr>
        <w:t>{{MIETE_ALT}}</w:t>
      </w:r>
      <w:r>
        <w:rPr>
          <w:b w:val="0"/>
        </w:rPr>
        <w:t>. Sie liegt unter der ortsüblichen Vergleichsmiete.</w:t>
      </w:r>
    </w:p>
    <w:p>
      <w:pPr>
        <w:spacing w:after="200" w:before="0"/>
      </w:pPr>
      <w:r>
        <w:rPr>
          <w:b w:val="0"/>
        </w:rPr>
        <w:t>Wir bitten Sie daher gemäß § 558 BGB um Zustimmung zu folgender Erhöhung:</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2422"/>
          </w:tcPr>
          <w:p>
            <w:pPr>
              <w:spacing w:after="40"/>
            </w:pPr>
            <w:r>
              <w:rPr>
                <w:b/>
                <w:sz w:val="20"/>
              </w:rPr>
              <w:t>Position</w:t>
            </w:r>
          </w:p>
        </w:tc>
        <w:tc>
          <w:tcPr>
            <w:tcW w:type="dxa" w:w="2422"/>
          </w:tcPr>
          <w:p>
            <w:pPr>
              <w:spacing w:after="40"/>
              <w:jc w:val="right"/>
            </w:pPr>
            <w:r>
              <w:rPr>
                <w:b/>
                <w:sz w:val="20"/>
              </w:rPr>
              <w:t>Bisher</w:t>
            </w:r>
          </w:p>
        </w:tc>
        <w:tc>
          <w:tcPr>
            <w:tcW w:type="dxa" w:w="2422"/>
          </w:tcPr>
          <w:p>
            <w:pPr>
              <w:spacing w:after="40"/>
              <w:jc w:val="right"/>
            </w:pPr>
            <w:r>
              <w:rPr>
                <w:b/>
                <w:sz w:val="20"/>
              </w:rPr>
              <w:t>Neu</w:t>
            </w:r>
          </w:p>
        </w:tc>
        <w:tc>
          <w:tcPr>
            <w:tcW w:type="dxa" w:w="2422"/>
          </w:tcPr>
          <w:p>
            <w:pPr>
              <w:spacing w:after="40"/>
              <w:jc w:val="right"/>
            </w:pPr>
            <w:r>
              <w:rPr>
                <w:b/>
                <w:sz w:val="20"/>
              </w:rPr>
              <w:t>Differenz</w:t>
            </w:r>
          </w:p>
        </w:tc>
      </w:tr>
      <w:tr>
        <w:tc>
          <w:tcPr>
            <w:tcW w:type="dxa" w:w="2422"/>
          </w:tcPr>
          <w:p>
            <w:pPr>
              <w:spacing w:after="40"/>
            </w:pPr>
            <w:r>
              <w:rPr>
                <w:b w:val="0"/>
                <w:sz w:val="20"/>
              </w:rPr>
              <w:t>Nettokaltmiete</w:t>
            </w:r>
          </w:p>
        </w:tc>
        <w:tc>
          <w:tcPr>
            <w:tcW w:type="dxa" w:w="2422"/>
          </w:tcPr>
          <w:p>
            <w:pPr>
              <w:spacing w:after="40"/>
              <w:jc w:val="right"/>
            </w:pPr>
            <w:r>
              <w:rPr>
                <w:b w:val="0"/>
                <w:sz w:val="20"/>
              </w:rPr>
              <w:t>{{MIETE_ALT}}</w:t>
            </w:r>
          </w:p>
        </w:tc>
        <w:tc>
          <w:tcPr>
            <w:tcW w:type="dxa" w:w="2422"/>
          </w:tcPr>
          <w:p>
            <w:pPr>
              <w:spacing w:after="40"/>
              <w:jc w:val="right"/>
            </w:pPr>
            <w:r>
              <w:rPr>
                <w:b w:val="0"/>
                <w:sz w:val="20"/>
              </w:rPr>
              <w:t>{{MIETE_NEU}}</w:t>
            </w:r>
          </w:p>
        </w:tc>
        <w:tc>
          <w:tcPr>
            <w:tcW w:type="dxa" w:w="2422"/>
          </w:tcPr>
          <w:p>
            <w:pPr>
              <w:spacing w:after="40"/>
              <w:jc w:val="right"/>
            </w:pPr>
            <w:r>
              <w:rPr>
                <w:b w:val="0"/>
                <w:sz w:val="20"/>
              </w:rPr>
              <w:t>{{MIETE_DIFF}}</w:t>
            </w:r>
          </w:p>
        </w:tc>
      </w:tr>
      <w:tr>
        <w:tc>
          <w:tcPr>
            <w:tcW w:type="dxa" w:w="2422"/>
          </w:tcPr>
          <w:p>
            <w:pPr>
              <w:spacing w:after="40"/>
            </w:pPr>
            <w:r>
              <w:rPr>
                <w:b w:val="0"/>
                <w:sz w:val="20"/>
              </w:rPr>
              <w:t>Betriebskosten-Vorauszahlung</w:t>
            </w:r>
          </w:p>
        </w:tc>
        <w:tc>
          <w:tcPr>
            <w:tcW w:type="dxa" w:w="2422"/>
          </w:tcPr>
          <w:p>
            <w:pPr>
              <w:spacing w:after="40"/>
              <w:jc w:val="right"/>
            </w:pPr>
            <w:r>
              <w:rPr>
                <w:b w:val="0"/>
                <w:sz w:val="20"/>
              </w:rPr>
              <w:t>{{NK_ALT}}</w:t>
            </w:r>
          </w:p>
        </w:tc>
        <w:tc>
          <w:tcPr>
            <w:tcW w:type="dxa" w:w="2422"/>
          </w:tcPr>
          <w:p>
            <w:pPr>
              <w:spacing w:after="40"/>
              <w:jc w:val="right"/>
            </w:pPr>
            <w:r>
              <w:rPr>
                <w:b w:val="0"/>
                <w:sz w:val="20"/>
              </w:rPr>
              <w:t>{{NK_NEU}}</w:t>
            </w:r>
          </w:p>
        </w:tc>
        <w:tc>
          <w:tcPr>
            <w:tcW w:type="dxa" w:w="2422"/>
          </w:tcPr>
          <w:p>
            <w:pPr>
              <w:spacing w:after="40"/>
              <w:jc w:val="right"/>
            </w:pPr>
            <w:r>
              <w:rPr>
                <w:b w:val="0"/>
                <w:sz w:val="20"/>
              </w:rPr>
              <w:t>0,00 €</w:t>
            </w:r>
          </w:p>
        </w:tc>
      </w:tr>
      <w:tr>
        <w:tc>
          <w:tcPr>
            <w:tcW w:type="dxa" w:w="2422"/>
          </w:tcPr>
          <w:p>
            <w:pPr>
              <w:spacing w:after="40"/>
            </w:pPr>
            <w:r>
              <w:rPr>
                <w:b/>
                <w:sz w:val="20"/>
              </w:rPr>
              <w:t>Gesamtmiete</w:t>
            </w:r>
          </w:p>
        </w:tc>
        <w:tc>
          <w:tcPr>
            <w:tcW w:type="dxa" w:w="2422"/>
          </w:tcPr>
          <w:p>
            <w:pPr>
              <w:spacing w:after="40"/>
              <w:jc w:val="right"/>
            </w:pPr>
            <w:r>
              <w:rPr>
                <w:b/>
                <w:sz w:val="20"/>
              </w:rPr>
              <w:t>{{GESAMT_ALT}}</w:t>
            </w:r>
          </w:p>
        </w:tc>
        <w:tc>
          <w:tcPr>
            <w:tcW w:type="dxa" w:w="2422"/>
          </w:tcPr>
          <w:p>
            <w:pPr>
              <w:spacing w:after="40"/>
              <w:jc w:val="right"/>
            </w:pPr>
            <w:r>
              <w:rPr>
                <w:b/>
                <w:sz w:val="20"/>
              </w:rPr>
              <w:t>{{GESAMT_NEU}}</w:t>
            </w:r>
          </w:p>
        </w:tc>
        <w:tc>
          <w:tcPr>
            <w:tcW w:type="dxa" w:w="2422"/>
          </w:tcPr>
          <w:p>
            <w:pPr>
              <w:spacing w:after="40"/>
              <w:jc w:val="right"/>
            </w:pPr>
            <w:r>
              <w:rPr>
                <w:b/>
                <w:sz w:val="20"/>
              </w:rPr>
              <w:t>{{MIETE_DIFF}}</w:t>
            </w:r>
          </w:p>
        </w:tc>
      </w:tr>
      <w:tr>
        <w:tc>
          <w:tcPr>
            <w:tcW w:type="dxa" w:w="2422"/>
          </w:tcPr>
          <w:p>
            <w:pPr>
              <w:spacing w:after="40"/>
            </w:pPr>
            <w:r>
              <w:rPr>
                <w:b w:val="0"/>
                <w:sz w:val="20"/>
              </w:rPr>
              <w:t>Wirksam ab</w:t>
            </w:r>
          </w:p>
        </w:tc>
        <w:tc>
          <w:tcPr>
            <w:tcW w:type="dxa" w:w="2422"/>
          </w:tcPr>
          <w:p>
            <w:pPr>
              <w:spacing w:after="40"/>
              <w:jc w:val="right"/>
            </w:pPr>
            <w:r>
              <w:rPr>
                <w:b w:val="0"/>
                <w:sz w:val="20"/>
              </w:rPr>
            </w:r>
          </w:p>
        </w:tc>
        <w:tc>
          <w:tcPr>
            <w:tcW w:type="dxa" w:w="2422"/>
          </w:tcPr>
          <w:p>
            <w:pPr>
              <w:spacing w:after="40"/>
              <w:jc w:val="right"/>
            </w:pPr>
            <w:r>
              <w:rPr>
                <w:b w:val="0"/>
                <w:sz w:val="20"/>
              </w:rPr>
              <w:t>{{AB_DATUM}}</w:t>
            </w:r>
          </w:p>
        </w:tc>
        <w:tc>
          <w:tcPr>
            <w:tcW w:type="dxa" w:w="2422"/>
          </w:tcPr>
          <w:p>
            <w:pPr>
              <w:spacing w:after="40"/>
              <w:jc w:val="right"/>
            </w:pPr>
            <w:r>
              <w:rPr>
                <w:b w:val="0"/>
                <w:sz w:val="20"/>
              </w:rPr>
            </w:r>
          </w:p>
        </w:tc>
      </w:tr>
    </w:tbl>
    <w:p>
      <w:pPr>
        <w:spacing w:after="200" w:before="0"/>
      </w:pPr>
    </w:p>
    <w:p>
      <w:pPr>
        <w:spacing w:after="80" w:before="0"/>
      </w:pPr>
      <w:r>
        <w:rPr>
          <w:b/>
        </w:rPr>
        <w:t>Begründung</w:t>
      </w:r>
    </w:p>
    <w:p>
      <w:pPr>
        <w:spacing w:after="200"/>
      </w:pPr>
      <w:r>
        <w:rPr>
          <w:b w:val="0"/>
        </w:rPr>
        <w:t xml:space="preserve">Die ortsübliche Vergleichsmiete ergibt sich aus </w:t>
      </w:r>
      <w:r>
        <w:rPr>
          <w:highlight w:val="yellow"/>
        </w:rPr>
        <w:t>[Mietspiegel der Gemeinde / Sachverständigengutachten / drei Vergleichswohnungen]</w:t>
      </w:r>
      <w:r>
        <w:rPr>
          <w:b w:val="0"/>
        </w:rPr>
        <w:t xml:space="preserve">. Danach beträgt die ortsübliche Vergleichsmiete für eine vergleichbare Wohnung </w:t>
      </w:r>
      <w:r>
        <w:rPr>
          <w:highlight w:val="yellow"/>
        </w:rPr>
        <w:t>[0,00 €/m²]</w:t>
      </w:r>
      <w:r>
        <w:rPr>
          <w:b w:val="0"/>
        </w:rPr>
        <w:t xml:space="preserve">, bei </w:t>
      </w:r>
      <w:r>
        <w:rPr>
          <w:highlight w:val="yellow"/>
        </w:rPr>
        <w:t>[00]</w:t>
      </w:r>
      <w:r>
        <w:rPr>
          <w:b w:val="0"/>
        </w:rPr>
        <w:t xml:space="preserve"> m² Wohnfläche also </w:t>
      </w:r>
      <w:r>
        <w:rPr>
          <w:highlight w:val="yellow"/>
        </w:rPr>
        <w:t>[0,00 €]</w:t>
      </w:r>
      <w:r>
        <w:rPr>
          <w:b w:val="0"/>
        </w:rPr>
        <w:t xml:space="preserve"> monatlich.</w:t>
      </w:r>
    </w:p>
    <w:p>
      <w:pPr>
        <w:spacing w:after="80" w:before="0"/>
      </w:pPr>
      <w:r>
        <w:rPr>
          <w:b/>
        </w:rPr>
        <w:t>Gesetzliche Grenzen</w:t>
      </w:r>
    </w:p>
    <w:p>
      <w:pPr>
        <w:spacing w:after="200"/>
      </w:pPr>
      <w:r>
        <w:rPr>
          <w:b w:val="0"/>
        </w:rPr>
        <w:t xml:space="preserve">Die Miete wurde in den letzten zwölf Monaten nicht erhöht. Die Erhöhung hält die Kappungsgrenze von </w:t>
      </w:r>
      <w:r>
        <w:rPr>
          <w:highlight w:val="yellow"/>
        </w:rPr>
        <w:t>[15 % / 20 %]</w:t>
      </w:r>
      <w:r>
        <w:rPr>
          <w:b w:val="0"/>
        </w:rPr>
        <w:t xml:space="preserve"> innerhalb von drei Jahren ein und überschreitet die ortsübliche Vergleichsmiete nicht.</w:t>
      </w:r>
    </w:p>
    <w:p>
      <w:pPr>
        <w:spacing w:after="80" w:before="0"/>
      </w:pPr>
      <w:r>
        <w:rPr>
          <w:b/>
        </w:rPr>
        <w:t>Zustimmung und Frist</w:t>
      </w:r>
    </w:p>
    <w:p>
      <w:pPr>
        <w:spacing w:after="240" w:before="0"/>
      </w:pPr>
      <w:r>
        <w:rPr>
          <w:b w:val="0"/>
        </w:rPr>
        <w:t>Wir bitten Sie, der Erhöhung bis zum Ablauf des zweiten Kalendermonats nach Zugang dieses Schreibens zuzustimmen. Die erhöhte Miete ist dann ab dem oben genannten Zeitpunkt zu zahlen. Eine Zustimmungserklärung können Sie formlos erteilen.</w:t>
      </w:r>
    </w:p>
    <w:p>
      <w:pPr>
        <w:spacing w:after="280" w:before="0"/>
      </w:pPr>
      <w:r>
        <w:rPr>
          <w:b w:val="0"/>
        </w:rPr>
        <w:t>Bitte überweisen Sie ab dem genannten Zeitpunkt die neue Gesamtmiete auf das Ihnen bekannte Konto. Für Rückfragen stehen wir Ihnen gerne zur Verfügung.</w:t>
      </w:r>
    </w:p>
    <w:p>
      <w:pPr>
        <w:spacing w:after="560" w:before="0"/>
      </w:pPr>
      <w:r>
        <w:rPr>
          <w:b w:val="0"/>
        </w:rPr>
        <w:t>Mit freundlichen Grüßen</w:t>
      </w:r>
    </w:p>
    <w:p>
      <w:pPr>
        <w:spacing w:after="0" w:before="0"/>
      </w:pPr>
      <w:r>
        <w:rPr>
          <w:b w:val="0"/>
        </w:rPr>
        <w:t>{{ABSENDER_NAME}}</w:t>
      </w:r>
    </w:p>
    <w:p>
      <w:pPr>
        <w:spacing w:after="280" w:before="0"/>
      </w:pPr>
      <w:r>
        <w:rPr>
          <w:b w:val="0"/>
        </w:rPr>
        <w:t>{{ABSENDER_FIRMA}}</w:t>
      </w:r>
    </w:p>
    <w:p>
      <w:pPr>
        <w:spacing w:after="0"/>
      </w:pPr>
      <w:r>
        <w:rPr>
          <w:highlight w:val="yellow"/>
        </w:rPr>
        <w:t>[Die gelb markierten Stellen bitte vor dem Versand prüfen, ergänzen und die Markierung entfernen. Dieses Schreiben ersetzt keine Rechtsberatung.]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