
<file path=[Content_Types].xml><?xml version="1.0" encoding="utf-8"?>
<ns0:Types xmlns:ns0="http://schemas.openxmlformats.org/package/2006/content-types">
  <ns0:Default Extension="rels" ContentType="application/vnd.openxmlformats-package.relationships+xml"/>
  <ns0:Default Extension="xml" ContentType="application/xml"/>
  <ns0:Override PartName="/word/document.xml" ContentType="application/vnd.openxmlformats-officedocument.wordprocessingml.document.main+xml"/>
  <ns0:Override PartName="/word/theme/theme1.xml" ContentType="application/vnd.openxmlformats-officedocument.theme+xml"/>
  <ns0:Override PartName="/docProps/core.xml" ContentType="application/vnd.openxmlformats-package.core-properties+xml"/>
  <ns0:Override PartName="/docProps/app.xml" ContentType="application/vnd.openxmlformats-officedocument.extended-properties+xml"/>
  <ns0:Default Extension="png" ContentType="image/png"/>
  <ns0:Override PartName="/word/footer1.xml" ContentType="application/vnd.openxmlformats-officedocument.wordprocessingml.footer+xml"/>
</ns0: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w:body>
    <w:p>
      <w:pPr>
        <w:jc w:val="center"/>
        <w:spacing w:before="500" w:after="50" w:line="400" w:lineRule="auto"/>
      </w:pPr>
      <w:r>
        <w:rPr>
          <w:rFonts w:ascii="Times New Roman" w:hAnsi="Times New Roman" w:cs="Times New Roman" w:eastAsia="Times New Roman"/>
          <w:sz w:val="32"/>
          <w:szCs w:val="32"/>
          <w:b/>
          <w:color w:val="17365D"/>
        </w:rPr>
        <w:t xml:space="preserve">Mini Project Report</w:t>
      </w:r>
    </w:p>
    <w:p>
      <w:pPr>
        <w:jc w:val="center"/>
        <w:spacing w:before="0" w:after="90" w:line="300" w:lineRule="auto"/>
      </w:pPr>
      <w:r>
        <w:rPr>
          <w:rFonts w:ascii="Times New Roman" w:hAnsi="Times New Roman" w:cs="Times New Roman" w:eastAsia="Times New Roman"/>
          <w:sz w:val="28"/>
          <w:szCs w:val="28"/>
          <w:b/>
          <w:color w:val="17365D"/>
        </w:rPr>
        <w:t xml:space="preserve">Of</w:t>
      </w:r>
    </w:p>
    <w:p>
      <w:pPr>
        <w:jc w:val="center"/>
        <w:spacing w:before="0" w:after="330" w:line="340" w:lineRule="auto"/>
      </w:pPr>
      <w:r>
        <w:rPr>
          <w:rFonts w:ascii="Times New Roman" w:hAnsi="Times New Roman" w:cs="Times New Roman" w:eastAsia="Times New Roman"/>
          <w:sz w:val="26"/>
          <w:szCs w:val="26"/>
          <w:b/>
          <w:color w:val="17365D"/>
        </w:rPr>
        <w:t xml:space="preserve">CLOUD COMPUTING AND DEVOPS LAB [CSE 3130]</w:t>
      </w:r>
    </w:p>
    <w:p>
      <w:pPr>
        <w:jc w:val="center"/>
        <w:spacing w:before="100" w:after="100" w:line="410" w:lineRule="auto"/>
      </w:pPr>
      <w:r>
        <w:rPr>
          <w:rFonts w:ascii="Times New Roman" w:hAnsi="Times New Roman" w:cs="Times New Roman" w:eastAsia="Times New Roman"/>
          <w:sz w:val="34"/>
          <w:szCs w:val="34"/>
          <w:b/>
          <w:color w:val="1F4E79"/>
        </w:rPr>
        <w:t xml:space="preserve">AUTO-SCALING AND SELF-HEALING</w:t>
        <w:br/>
        <w:t xml:space="preserve">CLOUD-NATIVE APPLICATION</w:t>
      </w:r>
    </w:p>
    <w:p>
      <w:pPr>
        <w:jc w:val="center"/>
        <w:spacing w:before="0" w:after="100" w:line="300" w:lineRule="auto"/>
      </w:pPr>
      <w:r>
        <w:rPr>
          <w:rFonts w:ascii="Times New Roman" w:hAnsi="Times New Roman" w:cs="Times New Roman" w:eastAsia="Times New Roman"/>
          <w:sz w:val="20"/>
          <w:szCs w:val="20"/>
          <w:b/>
          <w:color w:val="17365D"/>
        </w:rPr>
        <w:t xml:space="preserve">USING KUBERNETES, DOCKER, TERRAFORM AND AWS</w:t>
      </w:r>
    </w:p>
    <w:p>
      <w:pPr>
        <w:jc w:val="center"/>
        <w:spacing w:before="0" w:after="260" w:line="300" w:lineRule="auto"/>
      </w:pPr>
      <w:r>
        <w:rPr>
          <w:rFonts w:ascii="Times New Roman" w:hAnsi="Times New Roman" w:cs="Times New Roman" w:eastAsia="Times New Roman"/>
          <w:sz w:val="28"/>
          <w:szCs w:val="28"/>
          <w:b/>
          <w:color w:val="404040"/>
        </w:rPr>
        <w:t xml:space="preserve">Student Task Manager</w:t>
      </w:r>
    </w:p>
    <w:p>
      <w:pPr>
        <w:jc w:val="center"/>
        <w:spacing w:before="120" w:after="90" w:line="300" w:lineRule="auto"/>
      </w:pPr>
      <w:r>
        <w:rPr>
          <w:rFonts w:ascii="Times New Roman" w:hAnsi="Times New Roman" w:cs="Times New Roman" w:eastAsia="Times New Roman"/>
          <w:sz w:val="22"/>
          <w:szCs w:val="22"/>
          <w:b/>
          <w:color w:val="17365D"/>
        </w:rPr>
        <w:t xml:space="preserve">SUBMITTED BY</w:t>
      </w:r>
    </w:p>
    <w:p>
      <w:pPr>
        <w:jc w:val="center"/>
        <w:spacing w:before="0" w:after="65" w:line="300" w:lineRule="auto"/>
      </w:pPr>
      <w:r>
        <w:rPr>
          <w:rFonts w:ascii="Times New Roman" w:hAnsi="Times New Roman" w:cs="Times New Roman" w:eastAsia="Times New Roman"/>
          <w:sz w:val="23"/>
          <w:szCs w:val="23"/>
          <w:b/>
          <w:color w:val="222222"/>
        </w:rPr>
        <w:t xml:space="preserve">Myisha Siddiqui  |  Manan Bhasin  |  Rishabh Raj</w:t>
      </w:r>
    </w:p>
    <w:p>
      <w:pPr>
        <w:jc w:val="center"/>
        <w:spacing w:before="0" w:after="210" w:line="300" w:lineRule="auto"/>
      </w:pPr>
      <w:r>
        <w:rPr>
          <w:rFonts w:ascii="Times New Roman" w:hAnsi="Times New Roman" w:cs="Times New Roman" w:eastAsia="Times New Roman"/>
          <w:sz w:val="20"/>
          <w:szCs w:val="20"/>
          <w:i/>
          <w:color w:val="666666"/>
        </w:rPr>
        <w:t xml:space="preserve">Registration numbers: Myisha Siddiqui — 240905560; Manan Bhasin — 240905492; Rishabh Raj — 240905420</w:t>
      </w:r>
    </w:p>
    <w:p>
      <w:pPr>
        <w:jc w:val="center"/>
        <w:spacing w:before="0" w:after="70" w:line="300" w:lineRule="auto"/>
      </w:pPr>
      <w:r>
        <w:rPr>
          <w:rFonts w:ascii="Times New Roman" w:hAnsi="Times New Roman" w:cs="Times New Roman" w:eastAsia="Times New Roman"/>
          <w:sz w:val="22"/>
          <w:szCs w:val="22"/>
          <w:b/>
          <w:color w:val="17365D"/>
        </w:rPr>
        <w:t xml:space="preserve">Under the Guidance of</w:t>
      </w:r>
    </w:p>
    <w:p>
      <w:pPr>
        <w:jc w:val="center"/>
        <w:spacing w:before="0" w:after="30" w:line="300" w:lineRule="auto"/>
      </w:pPr>
      <w:r>
        <w:rPr>
          <w:rFonts w:ascii="Times New Roman" w:hAnsi="Times New Roman" w:cs="Times New Roman" w:eastAsia="Times New Roman"/>
          <w:sz w:val="20"/>
          <w:szCs w:val="20"/>
          <w:color w:val="222222"/>
        </w:rPr>
        <w:t xml:space="preserve">Dr. Anup Bhat B — Assistant Professor</w:t>
      </w:r>
    </w:p>
    <w:p>
      <w:pPr>
        <w:jc w:val="center"/>
        <w:spacing w:before="0" w:after="30" w:line="300" w:lineRule="auto"/>
      </w:pPr>
      <w:r>
        <w:rPr>
          <w:rFonts w:ascii="Times New Roman" w:hAnsi="Times New Roman" w:cs="Times New Roman" w:eastAsia="Times New Roman"/>
          <w:sz w:val="20"/>
          <w:szCs w:val="20"/>
          <w:color w:val="222222"/>
        </w:rPr>
        <w:t xml:space="preserve">Dr. Sangeetha T S — Assistant Professor-Senior Scale</w:t>
      </w:r>
    </w:p>
    <w:p>
      <w:pPr>
        <w:jc w:val="center"/>
        <w:spacing w:before="0" w:after="200" w:line="300" w:lineRule="auto"/>
      </w:pPr>
      <w:r>
        <w:rPr>
          <w:rFonts w:ascii="Times New Roman" w:hAnsi="Times New Roman" w:cs="Times New Roman" w:eastAsia="Times New Roman"/>
          <w:sz w:val="20"/>
          <w:szCs w:val="20"/>
          <w:color w:val="222222"/>
        </w:rPr>
        <w:t xml:space="preserve">Dr. Hirdesh Varshney — Assistant Professor</w:t>
      </w:r>
    </w:p>
    <w:p>
      <w:pPr>
        <w:jc w:val="center"/>
        <w:spacing w:before="0" w:after="180" w:line="300" w:lineRule="auto"/>
      </w:pPr>
      <w:r>
        <w:rPr>
          <w:rFonts w:ascii="Times New Roman" w:hAnsi="Times New Roman" w:cs="Times New Roman" w:eastAsia="Times New Roman"/>
          <w:sz w:val="22"/>
          <w:szCs w:val="22"/>
          <w:b/>
          <w:color w:val="17365D"/>
        </w:rPr>
        <w:t xml:space="preserve">July–November 2026</w:t>
      </w:r>
    </w:p>
    <w:p>
      <w:pPr>
        <w:jc w:val="center"/>
        <w:spacing w:before="0" w:after="40" w:line="300" w:lineRule="auto"/>
      </w:pPr>
      <w:r>
        <w:rPr>
          <w:rFonts w:ascii="Times New Roman" w:hAnsi="Times New Roman" w:cs="Times New Roman" w:eastAsia="Times New Roman"/>
          <w:sz w:val="22"/>
          <w:szCs w:val="22"/>
          <w:b/>
          <w:color w:val="17365D"/>
        </w:rPr>
        <w:t xml:space="preserve">SCHOOL OF COMPUTER ENGINEERING</w:t>
      </w:r>
    </w:p>
    <w:p>
      <w:pPr>
        <w:jc w:val="center"/>
        <w:spacing w:before="0" w:after="30" w:line="300" w:lineRule="auto"/>
      </w:pPr>
      <w:r>
        <w:rPr>
          <w:rFonts w:ascii="Times New Roman" w:hAnsi="Times New Roman" w:cs="Times New Roman" w:eastAsia="Times New Roman"/>
          <w:sz w:val="20"/>
          <w:szCs w:val="20"/>
          <w:color w:val="222222"/>
        </w:rPr>
        <w:t xml:space="preserve">Manipal Institute of Technology, Manipal</w:t>
      </w:r>
    </w:p>
    <w:p>
      <w:pPr>
        <w:jc w:val="center"/>
        <w:spacing w:before="0" w:after="0" w:line="300" w:lineRule="auto"/>
      </w:pPr>
      <w:r>
        <w:rPr>
          <w:rFonts w:ascii="Times New Roman" w:hAnsi="Times New Roman" w:cs="Times New Roman" w:eastAsia="Times New Roman"/>
          <w:sz w:val="20"/>
          <w:szCs w:val="20"/>
          <w:color w:val="222222"/>
        </w:rPr>
        <w:t xml:space="preserve">25 October 2026</w:t>
      </w:r>
    </w:p>
    <w:p>
      <w:pPr>
        <w:jc w:val="center"/>
        <w:spacing w:before="0" w:after="80" w:line="360" w:lineRule="auto"/>
        <w:keepNext/>
        <w:pageBreakBefore/>
      </w:pPr>
      <w:r>
        <w:rPr>
          <w:rFonts w:ascii="Times New Roman" w:hAnsi="Times New Roman" w:cs="Times New Roman" w:eastAsia="Times New Roman"/>
          <w:sz w:val="30"/>
          <w:szCs w:val="30"/>
          <w:b/>
          <w:color w:val="17365D"/>
        </w:rPr>
        <w:t xml:space="preserve">CERTIFICATE</w:t>
      </w:r>
    </w:p>
    <w:p>
      <w:pPr>
        <w:jc w:val="both"/>
        <w:spacing w:before="0" w:after="360" w:line="300" w:lineRule="auto"/>
        <w:ind w:left="0" w:firstLine="360"/>
      </w:pPr>
      <w:r>
        <w:rPr>
          <w:rFonts w:ascii="Times New Roman" w:hAnsi="Times New Roman" w:cs="Times New Roman" w:eastAsia="Times New Roman"/>
          <w:sz w:val="24"/>
          <w:szCs w:val="24"/>
          <w:color w:val="222222"/>
        </w:rPr>
        <w:t xml:space="preserve">This is to certify that the project titled “Auto-Scaling and Self-Healing Cloud-Native Application using Kubernetes, Docker, Terraform and AWS: Student Task Manager” is a record of the bona fide work done by Myisha Siddiqui, Manan Bhasin, and Rishabh Raj, submitted in partial fulfilment of the requirements for the award of the Degree of Bachelor of Technology (B.Tech.) in the School of Computer Engineering of Manipal Institute of Technology, Manipal, Karnataka, a constituent institute of Manipal Academy of Higher Education, during the academic year 2026–2027.</w:t>
      </w:r>
    </w:p>
    <w:p>
      <w:pPr>
        <w:jc w:val="center"/>
        <w:spacing w:before="0" w:after="360" w:line="300" w:lineRule="auto"/>
      </w:pPr>
      <w:r>
        <w:rPr>
          <w:rFonts w:ascii="Times New Roman" w:hAnsi="Times New Roman" w:cs="Times New Roman" w:eastAsia="Times New Roman"/>
          <w:sz w:val="21"/>
          <w:szCs w:val="21"/>
          <w:i/>
          <w:color w:val="7F6000"/>
        </w:rPr>
        <w:t xml:space="preserve">Student registration numbers: Myisha Siddiqui — 240905560; Manan Bhasin — 240905492; Rishabh Raj — 240905420.</w:t>
      </w:r>
    </w:p>
    <w:p>
      <w:pPr>
        <w:jc w:val="left"/>
        <w:spacing w:before="0" w:after="220" w:line="300" w:lineRule="auto"/>
      </w:pPr>
      <w:r>
        <w:rPr>
          <w:rFonts w:ascii="Times New Roman" w:hAnsi="Times New Roman" w:cs="Times New Roman" w:eastAsia="Times New Roman"/>
          <w:sz w:val="24"/>
          <w:szCs w:val="24"/>
          <w:b/>
          <w:color w:val="17365D"/>
        </w:rPr>
        <w:t xml:space="preserve">Name and Signature of Examiners</w:t>
      </w:r>
    </w:p>
    <w:p>
      <w:pPr>
        <w:spacing w:before="0" w:after="260" w:line="300" w:lineRule="auto"/>
      </w:pPr>
      <w:r>
        <w:rPr>
          <w:rFonts w:ascii="Times New Roman" w:hAnsi="Times New Roman" w:cs="Times New Roman" w:eastAsia="Times New Roman"/>
          <w:sz w:val="21"/>
          <w:szCs w:val="21"/>
          <w:color w:val="222222"/>
        </w:rPr>
        <w:t xml:space="preserve">______________________________________________    Date: ______________</w:t>
      </w:r>
    </w:p>
    <w:p>
      <w:pPr>
        <w:spacing w:before="0" w:after="80" w:line="300" w:lineRule="auto"/>
      </w:pPr>
      <w:r>
        <w:rPr>
          <w:rFonts w:ascii="Times New Roman" w:hAnsi="Times New Roman" w:cs="Times New Roman" w:eastAsia="Times New Roman"/>
          <w:sz w:val="22"/>
          <w:szCs w:val="22"/>
          <w:b/>
          <w:color w:val="222222"/>
        </w:rPr>
        <w:t xml:space="preserve">Dr. Anup Bhat B</w:t>
      </w:r>
    </w:p>
    <w:p>
      <w:pPr>
        <w:spacing w:before="0" w:after="260" w:line="300" w:lineRule="auto"/>
      </w:pPr>
      <w:r>
        <w:rPr>
          <w:rFonts w:ascii="Times New Roman" w:hAnsi="Times New Roman" w:cs="Times New Roman" w:eastAsia="Times New Roman"/>
          <w:sz w:val="21"/>
          <w:szCs w:val="21"/>
          <w:color w:val="222222"/>
        </w:rPr>
        <w:t xml:space="preserve">______________________________________________    Date: ______________</w:t>
      </w:r>
    </w:p>
    <w:p>
      <w:pPr>
        <w:spacing w:before="0" w:after="80" w:line="300" w:lineRule="auto"/>
      </w:pPr>
      <w:r>
        <w:rPr>
          <w:rFonts w:ascii="Times New Roman" w:hAnsi="Times New Roman" w:cs="Times New Roman" w:eastAsia="Times New Roman"/>
          <w:sz w:val="22"/>
          <w:szCs w:val="22"/>
          <w:b/>
          <w:color w:val="222222"/>
        </w:rPr>
        <w:t xml:space="preserve">Dr. Sangeetha T S</w:t>
      </w:r>
    </w:p>
    <w:p>
      <w:pPr>
        <w:spacing w:before="0" w:after="260" w:line="300" w:lineRule="auto"/>
      </w:pPr>
      <w:r>
        <w:rPr>
          <w:rFonts w:ascii="Times New Roman" w:hAnsi="Times New Roman" w:cs="Times New Roman" w:eastAsia="Times New Roman"/>
          <w:sz w:val="21"/>
          <w:szCs w:val="21"/>
          <w:color w:val="222222"/>
        </w:rPr>
        <w:t xml:space="preserve">______________________________________________    Date: ______________</w:t>
      </w:r>
    </w:p>
    <w:p>
      <w:pPr>
        <w:spacing w:before="0" w:after="80" w:line="300" w:lineRule="auto"/>
      </w:pPr>
      <w:r>
        <w:rPr>
          <w:rFonts w:ascii="Times New Roman" w:hAnsi="Times New Roman" w:cs="Times New Roman" w:eastAsia="Times New Roman"/>
          <w:sz w:val="22"/>
          <w:szCs w:val="22"/>
          <w:b/>
          <w:color w:val="222222"/>
        </w:rPr>
        <w:t xml:space="preserve">Dr. Hirdesh Varshney</w:t>
      </w:r>
    </w:p>
    <w:p>
      <w:pPr>
        <w:jc w:val="center"/>
        <w:spacing w:before="0" w:after="80" w:line="360" w:lineRule="auto"/>
        <w:keepNext/>
        <w:pageBreakBefore/>
      </w:pPr>
      <w:r>
        <w:rPr>
          <w:rFonts w:ascii="Times New Roman" w:hAnsi="Times New Roman" w:cs="Times New Roman" w:eastAsia="Times New Roman"/>
          <w:sz w:val="30"/>
          <w:szCs w:val="30"/>
          <w:b/>
          <w:color w:val="17365D"/>
        </w:rPr>
        <w:t xml:space="preserve">TABLE OF CONTENTS</w:t>
      </w:r>
    </w:p>
    <w:p>
      <w:pPr>
        <w:spacing w:before="100" w:after="180" w:line="300" w:lineRule="auto"/>
      </w:pPr>
      <w:r>
        <w:rPr>
          <w:rFonts w:ascii="Times New Roman" w:hAnsi="Times New Roman" w:cs="Times New Roman" w:eastAsia="Times New Roman"/>
          <w:sz w:val="24"/>
          <w:szCs w:val="24"/>
          <w:color w:val="333333"/>
        </w:rPr>
        <w:t xml:space="preserve">Abstract</w:t>
      </w:r>
    </w:p>
    <w:p>
      <w:pPr>
        <w:spacing w:before="100" w:after="180" w:line="300" w:lineRule="auto"/>
        <w:ind w:left="240" w:firstLine="0"/>
      </w:pPr>
      <w:r>
        <w:rPr>
          <w:rFonts w:ascii="Times New Roman" w:hAnsi="Times New Roman" w:cs="Times New Roman" w:eastAsia="Times New Roman"/>
          <w:sz w:val="24"/>
          <w:szCs w:val="24"/>
          <w:b/>
          <w:color w:val="1F4E79"/>
        </w:rPr>
        <w:t xml:space="preserve">CHAPTER 1: INTRODUCTION</w:t>
      </w:r>
    </w:p>
    <w:p>
      <w:pPr>
        <w:spacing w:before="100" w:after="180" w:line="300" w:lineRule="auto"/>
        <w:ind w:left="240" w:firstLine="0"/>
      </w:pPr>
      <w:r>
        <w:rPr>
          <w:rFonts w:ascii="Times New Roman" w:hAnsi="Times New Roman" w:cs="Times New Roman" w:eastAsia="Times New Roman"/>
          <w:sz w:val="24"/>
          <w:szCs w:val="24"/>
          <w:b/>
          <w:color w:val="1F4E79"/>
        </w:rPr>
        <w:t xml:space="preserve">CHAPTER 2: METHODOLOGY</w:t>
      </w:r>
    </w:p>
    <w:p>
      <w:pPr>
        <w:spacing w:before="100" w:after="180" w:line="300" w:lineRule="auto"/>
        <w:ind w:left="240" w:firstLine="0"/>
      </w:pPr>
      <w:r>
        <w:rPr>
          <w:rFonts w:ascii="Times New Roman" w:hAnsi="Times New Roman" w:cs="Times New Roman" w:eastAsia="Times New Roman"/>
          <w:sz w:val="24"/>
          <w:szCs w:val="24"/>
          <w:b/>
          <w:color w:val="1F4E79"/>
        </w:rPr>
        <w:t xml:space="preserve">CHAPTER 3: RESULT ANALYSIS</w:t>
      </w:r>
    </w:p>
    <w:p>
      <w:pPr>
        <w:spacing w:before="100" w:after="180" w:line="300" w:lineRule="auto"/>
        <w:ind w:left="240" w:firstLine="0"/>
      </w:pPr>
      <w:r>
        <w:rPr>
          <w:rFonts w:ascii="Times New Roman" w:hAnsi="Times New Roman" w:cs="Times New Roman" w:eastAsia="Times New Roman"/>
          <w:sz w:val="24"/>
          <w:szCs w:val="24"/>
          <w:b/>
          <w:color w:val="1F4E79"/>
        </w:rPr>
        <w:t xml:space="preserve">CHAPTER 4: CONCLUSION</w:t>
      </w:r>
    </w:p>
    <w:p>
      <w:pPr>
        <w:spacing w:before="100" w:after="180" w:line="300" w:lineRule="auto"/>
      </w:pPr>
      <w:r>
        <w:rPr>
          <w:rFonts w:ascii="Times New Roman" w:hAnsi="Times New Roman" w:cs="Times New Roman" w:eastAsia="Times New Roman"/>
          <w:sz w:val="24"/>
          <w:szCs w:val="24"/>
          <w:b/>
          <w:color w:val="333333"/>
        </w:rPr>
        <w:t xml:space="preserve">REFERENCES</w:t>
      </w:r>
    </w:p>
    <w:p>
      <w:pPr>
        <w:jc w:val="center"/>
        <w:spacing w:before="0" w:after="80" w:line="360" w:lineRule="auto"/>
        <w:keepNext/>
        <w:pageBreakBefore/>
      </w:pPr>
      <w:r>
        <w:rPr>
          <w:rFonts w:ascii="Times New Roman" w:hAnsi="Times New Roman" w:cs="Times New Roman" w:eastAsia="Times New Roman"/>
          <w:sz w:val="30"/>
          <w:szCs w:val="30"/>
          <w:b/>
          <w:color w:val="17365D"/>
        </w:rPr>
        <w:t xml:space="preserve">ABSTRACT</w:t>
      </w:r>
    </w:p>
    <w:p>
      <w:pPr>
        <w:jc w:val="both"/>
        <w:spacing w:before="0" w:after="130" w:line="300" w:lineRule="auto"/>
        <w:ind w:left="0" w:firstLine="360"/>
      </w:pPr>
      <w:r>
        <w:rPr>
          <w:rFonts w:ascii="Times New Roman" w:hAnsi="Times New Roman" w:cs="Times New Roman" w:eastAsia="Times New Roman"/>
          <w:sz w:val="24"/>
          <w:szCs w:val="24"/>
          <w:color w:val="222222"/>
        </w:rPr>
        <w:t xml:space="preserve">This mini project implements a cloud-hosted Student Task Manager and uses it to demonstrate container delivery, infrastructure as code, Kubernetes pod autoscaling, recovery, and monitoring. The browser dashboard and REST API are delivered by a Java 21 Spring Boot application; task records are stored in MySQL on a private Amazon RDS instance. Docker packages the service, Amazon ECR stores its image, and Terraform provisions the AWS network, EC2 host, database, registry, and access configuration. A single EC2 instance in Sydney runs K3s. Kubernetes exposes the API through a NodePort Service, monitors application health, and uses a Horizontal Pod Autoscaler (HPA) to adjust the API pod count between one and two based on CPU utilization.</w:t>
      </w:r>
    </w:p>
    <w:p>
      <w:pPr>
        <w:jc w:val="both"/>
        <w:spacing w:before="0" w:after="160" w:line="300" w:lineRule="auto"/>
        <w:ind w:left="0" w:firstLine="360"/>
      </w:pPr>
      <w:r>
        <w:rPr>
          <w:rFonts w:ascii="Times New Roman" w:hAnsi="Times New Roman" w:cs="Times New Roman" w:eastAsia="Times New Roman"/>
          <w:sz w:val="24"/>
          <w:szCs w:val="24"/>
          <w:color w:val="222222"/>
        </w:rPr>
        <w:t xml:space="preserve">The live demonstration verified browser/API operation, a bounded read-only load test, HPA scale-up and scale-down, Deployment replacement after pod deletion, and container restart after a controlled liveness-probe failure. Prometheus, kube-state-metrics, and Grafana were deployed privately in the cluster. The live six-panel Grafana operations dashboard was also verified in a browser through an SSM remote-host port-forward; its ClusterIP remains private and no public monitoring endpoint was added. The load run completed 5,699 requests at approximately 43.7 requests per second with no failed requests and a p95 response time of 403.98 ms. The evidence supports pod-level elasticity and recovery on the demonstration host; it does not establish EC2 host failover or multi-node high availability.</w:t>
      </w:r>
    </w:p>
    <w:p>
      <w:pPr>
        <w:spacing w:before="0" w:after="0" w:line="300" w:lineRule="auto"/>
      </w:pPr>
      <w:r>
        <w:rPr>
          <w:rFonts w:ascii="Times New Roman" w:hAnsi="Times New Roman"/>
          <w:sz w:val="21"/>
          <w:szCs w:val="21"/>
          <w:b/>
          <w:color w:val="222222"/>
        </w:rPr>
        <w:t xml:space="preserve">Keywords: </w:t>
      </w:r>
      <w:r>
        <w:rPr>
          <w:rFonts w:ascii="Times New Roman" w:hAnsi="Times New Roman"/>
          <w:sz w:val="21"/>
          <w:szCs w:val="21"/>
          <w:color w:val="222222"/>
        </w:rPr>
        <w:t xml:space="preserve">Kubernetes, K3s, Docker, Terraform, AWS, HPA, self-healing, Prometheus, Grafana, MySQL.</w:t>
      </w:r>
    </w:p>
    <w:p>
      <w:pPr>
        <w:jc w:val="center"/>
        <w:spacing w:before="0" w:after="80" w:line="360" w:lineRule="auto"/>
        <w:keepNext/>
        <w:pageBreakBefore/>
      </w:pPr>
      <w:r>
        <w:rPr>
          <w:rFonts w:ascii="Times New Roman" w:hAnsi="Times New Roman" w:cs="Times New Roman" w:eastAsia="Times New Roman"/>
          <w:sz w:val="30"/>
          <w:szCs w:val="30"/>
          <w:b/>
          <w:color w:val="17365D"/>
        </w:rPr>
        <w:t xml:space="preserve">CHAPTER 1</w:t>
      </w:r>
    </w:p>
    <w:p>
      <w:pPr>
        <w:jc w:val="center"/>
        <w:spacing w:before="0" w:after="260" w:line="330" w:lineRule="auto"/>
      </w:pPr>
      <w:r>
        <w:rPr>
          <w:rFonts w:ascii="Times New Roman" w:hAnsi="Times New Roman" w:cs="Times New Roman" w:eastAsia="Times New Roman"/>
          <w:sz w:val="28"/>
          <w:szCs w:val="28"/>
          <w:b/>
          <w:color w:val="17365D"/>
        </w:rPr>
        <w:t xml:space="preserve">INTRODUCTION</w:t>
      </w:r>
    </w:p>
    <w:p>
      <w:pPr>
        <w:spacing w:before="240" w:after="100" w:line="300" w:lineRule="auto"/>
        <w:keepNext/>
      </w:pPr>
      <w:r>
        <w:rPr>
          <w:rFonts w:ascii="Times New Roman" w:hAnsi="Times New Roman" w:cs="Times New Roman" w:eastAsia="Times New Roman"/>
          <w:sz w:val="26"/>
          <w:szCs w:val="26"/>
          <w:b/>
          <w:color w:val="1F4E79"/>
        </w:rPr>
        <w:t xml:space="preserve">1.1 Background</w:t>
      </w:r>
    </w:p>
    <w:p>
      <w:pPr>
        <w:jc w:val="both"/>
        <w:spacing w:before="0" w:after="150" w:line="300" w:lineRule="auto"/>
        <w:ind w:left="0" w:firstLine="360"/>
      </w:pPr>
      <w:r>
        <w:rPr>
          <w:rFonts w:ascii="Times New Roman" w:hAnsi="Times New Roman" w:cs="Times New Roman" w:eastAsia="Times New Roman"/>
          <w:sz w:val="24"/>
          <w:szCs w:val="24"/>
          <w:color w:val="222222"/>
        </w:rPr>
        <w:t xml:space="preserve">Cloud-native applications package services into containers and use an orchestration platform to place, monitor, and replace those containers. This project applies that approach to a small student task application. A browser dashboard sends task requests to a REST API. The API persists tasks in MySQL, while Kubernetes manages the application pods and routes requests to ready instances. Docker provides a repeatable application image, Terraform describes the cloud resources, and AWS supplies compute, database, and image registry services [1], [2], [3], [5].</w:t>
      </w:r>
    </w:p>
    <w:p>
      <w:pPr>
        <w:spacing w:before="240" w:after="100" w:line="300" w:lineRule="auto"/>
        <w:keepNext/>
      </w:pPr>
      <w:r>
        <w:rPr>
          <w:rFonts w:ascii="Times New Roman" w:hAnsi="Times New Roman" w:cs="Times New Roman" w:eastAsia="Times New Roman"/>
          <w:sz w:val="26"/>
          <w:szCs w:val="26"/>
          <w:b/>
          <w:color w:val="1F4E79"/>
        </w:rPr>
        <w:t xml:space="preserve">1.2 Problem and motivation</w:t>
      </w:r>
    </w:p>
    <w:p>
      <w:pPr>
        <w:jc w:val="both"/>
        <w:spacing w:before="0" w:after="150" w:line="300" w:lineRule="auto"/>
        <w:ind w:left="0" w:firstLine="360"/>
      </w:pPr>
      <w:r>
        <w:rPr>
          <w:rFonts w:ascii="Times New Roman" w:hAnsi="Times New Roman" w:cs="Times New Roman" w:eastAsia="Times New Roman"/>
          <w:sz w:val="24"/>
          <w:szCs w:val="24"/>
          <w:color w:val="222222"/>
        </w:rPr>
        <w:t xml:space="preserve">A task service should remain usable when an application process or pod becomes unhealthy, and it should add application replicas when request load increases. Manually creating hosts and configuring application environments makes deployments harder to repeat. The project therefore combines infrastructure automation with Kubernetes health checks, declarative workload management, and CPU-based pod autoscaling. The prototype is intentionally small enough to deploy and inspect in a cloud lab.</w:t>
      </w:r>
    </w:p>
    <w:p>
      <w:pPr>
        <w:spacing w:before="240" w:after="100" w:line="300" w:lineRule="auto"/>
        <w:keepNext/>
      </w:pPr>
      <w:r>
        <w:rPr>
          <w:rFonts w:ascii="Times New Roman" w:hAnsi="Times New Roman" w:cs="Times New Roman" w:eastAsia="Times New Roman"/>
          <w:sz w:val="26"/>
          <w:szCs w:val="26"/>
          <w:b/>
          <w:color w:val="1F4E79"/>
        </w:rPr>
        <w:t xml:space="preserve">1.3 Aim and objectives</w:t>
      </w:r>
    </w:p>
    <w:p>
      <w:pPr>
        <w:jc w:val="both"/>
        <w:spacing w:before="0" w:after="150" w:line="300" w:lineRule="auto"/>
        <w:ind w:left="0" w:firstLine="360"/>
      </w:pPr>
      <w:r>
        <w:rPr>
          <w:rFonts w:ascii="Times New Roman" w:hAnsi="Times New Roman" w:cs="Times New Roman" w:eastAsia="Times New Roman"/>
          <w:sz w:val="24"/>
          <w:szCs w:val="24"/>
          <w:color w:val="222222"/>
        </w:rPr>
        <w:t xml:space="preserve">The aim is to build and demonstrate a browser-accessible, cloud-native task manager and verify its deployment, scaling, recovery, and monitoring behavior.</w:t>
      </w:r>
    </w:p>
    <w:tbl>
      <w:tblPr>
        <w:tblW w:w="8640" w:type="dxa"/>
        <w:tblLayout w:type="fixed"/>
        <w:tblBorders>
          <w:top w:val="single" w:sz="5" w:space="0" w:color="B4C7E7"/>
          <w:left w:val="single" w:sz="5" w:space="0" w:color="B4C7E7"/>
          <w:bottom w:val="single" w:sz="5" w:space="0" w:color="B4C7E7"/>
          <w:right w:val="single" w:sz="5" w:space="0" w:color="B4C7E7"/>
          <w:insideH w:val="single" w:sz="5" w:space="0" w:color="B4C7E7"/>
          <w:insideV w:val="single" w:sz="5" w:space="0" w:color="B4C7E7"/>
        </w:tblBorders>
      </w:tblPr>
      <w:tblGrid>
        <w:gridCol w:w="1900"/>
        <w:gridCol w:w="3900"/>
        <w:gridCol w:w="2840"/>
      </w:tblGrid>
      <w:tr>
        <w:trPr>
          <w:tblHeader/>
        </w:trPr>
        <w:tc>
          <w:tcPr>
            <w:tcW w:w="1900" w:type="dxa"/>
            <w:vAlign w:val="center"/>
            <w:shd w:fill="1F4E79" w:val="clear"/>
          </w:tcPr>
          <w:p>
            <w:pPr>
              <w:jc w:val="left"/>
              <w:spacing w:before="40" w:after="40" w:line="250" w:lineRule="auto"/>
            </w:pPr>
            <w:r>
              <w:rPr>
                <w:rFonts w:ascii="Times New Roman" w:hAnsi="Times New Roman" w:cs="Times New Roman" w:eastAsia="Times New Roman"/>
                <w:sz w:val="19"/>
                <w:szCs w:val="19"/>
                <w:b/>
                <w:color w:val="FFFFFF"/>
              </w:rPr>
              <w:t xml:space="preserve">Objective</w:t>
            </w:r>
          </w:p>
        </w:tc>
        <w:tc>
          <w:tcPr>
            <w:tcW w:w="3900" w:type="dxa"/>
            <w:vAlign w:val="center"/>
            <w:shd w:fill="1F4E79" w:val="clear"/>
          </w:tcPr>
          <w:p>
            <w:pPr>
              <w:jc w:val="left"/>
              <w:spacing w:before="40" w:after="40" w:line="250" w:lineRule="auto"/>
            </w:pPr>
            <w:r>
              <w:rPr>
                <w:rFonts w:ascii="Times New Roman" w:hAnsi="Times New Roman" w:cs="Times New Roman" w:eastAsia="Times New Roman"/>
                <w:sz w:val="19"/>
                <w:szCs w:val="19"/>
                <w:b/>
                <w:color w:val="FFFFFF"/>
              </w:rPr>
              <w:t xml:space="preserve">How it is addressed</w:t>
            </w:r>
          </w:p>
        </w:tc>
        <w:tc>
          <w:tcPr>
            <w:tcW w:w="2840" w:type="dxa"/>
            <w:vAlign w:val="center"/>
            <w:shd w:fill="1F4E79" w:val="clear"/>
          </w:tcPr>
          <w:p>
            <w:pPr>
              <w:jc w:val="left"/>
              <w:spacing w:before="40" w:after="40" w:line="250" w:lineRule="auto"/>
            </w:pPr>
            <w:r>
              <w:rPr>
                <w:rFonts w:ascii="Times New Roman" w:hAnsi="Times New Roman" w:cs="Times New Roman" w:eastAsia="Times New Roman"/>
                <w:sz w:val="19"/>
                <w:szCs w:val="19"/>
                <w:b/>
                <w:color w:val="FFFFFF"/>
              </w:rPr>
              <w:t xml:space="preserve">Evidence</w:t>
            </w:r>
          </w:p>
        </w:tc>
      </w:tr>
      <w:tr>
        <w:tc>
          <w:tcPr>
            <w:tcW w:w="1900" w:type="dxa"/>
            <w:vAlign w:val="center"/>
            <w:shd w:fill="FFFFFF" w:val="clear"/>
          </w:tcPr>
          <w:p>
            <w:pPr>
              <w:jc w:val="left"/>
              <w:spacing w:before="40" w:after="40" w:line="250" w:lineRule="auto"/>
            </w:pPr>
            <w:r>
              <w:rPr>
                <w:rFonts w:ascii="Times New Roman" w:hAnsi="Times New Roman" w:cs="Times New Roman" w:eastAsia="Times New Roman"/>
                <w:sz w:val="19"/>
                <w:szCs w:val="19"/>
                <w:color w:val="222222"/>
              </w:rPr>
              <w:t xml:space="preserve">Deliver a working task manager</w:t>
            </w:r>
          </w:p>
        </w:tc>
        <w:tc>
          <w:tcPr>
            <w:tcW w:w="3900" w:type="dxa"/>
            <w:vAlign w:val="center"/>
            <w:shd w:fill="FFFFFF" w:val="clear"/>
          </w:tcPr>
          <w:p>
            <w:pPr>
              <w:jc w:val="left"/>
              <w:spacing w:before="40" w:after="40" w:line="250" w:lineRule="auto"/>
            </w:pPr>
            <w:r>
              <w:rPr>
                <w:rFonts w:ascii="Times New Roman" w:hAnsi="Times New Roman" w:cs="Times New Roman" w:eastAsia="Times New Roman"/>
                <w:sz w:val="19"/>
                <w:szCs w:val="19"/>
                <w:color w:val="222222"/>
              </w:rPr>
              <w:t xml:space="preserve">Browser dashboard and REST API backed by MySQL</w:t>
            </w:r>
          </w:p>
        </w:tc>
        <w:tc>
          <w:tcPr>
            <w:tcW w:w="2840" w:type="dxa"/>
            <w:vAlign w:val="center"/>
            <w:shd w:fill="FFFFFF" w:val="clear"/>
          </w:tcPr>
          <w:p>
            <w:pPr>
              <w:jc w:val="left"/>
              <w:spacing w:before="40" w:after="40" w:line="250" w:lineRule="auto"/>
            </w:pPr>
            <w:r>
              <w:rPr>
                <w:rFonts w:ascii="Times New Roman" w:hAnsi="Times New Roman" w:cs="Times New Roman" w:eastAsia="Times New Roman"/>
                <w:sz w:val="19"/>
                <w:szCs w:val="19"/>
                <w:color w:val="222222"/>
              </w:rPr>
              <w:t xml:space="preserve">Live UI/API checks and task screenshots</w:t>
            </w:r>
          </w:p>
        </w:tc>
      </w:tr>
      <w:tr>
        <w:tc>
          <w:tcPr>
            <w:tcW w:w="1900" w:type="dxa"/>
            <w:vAlign w:val="center"/>
            <w:shd w:fill="F3F6FA" w:val="clear"/>
          </w:tcPr>
          <w:p>
            <w:pPr>
              <w:jc w:val="left"/>
              <w:spacing w:before="40" w:after="40" w:line="250" w:lineRule="auto"/>
            </w:pPr>
            <w:r>
              <w:rPr>
                <w:rFonts w:ascii="Times New Roman" w:hAnsi="Times New Roman" w:cs="Times New Roman" w:eastAsia="Times New Roman"/>
                <w:sz w:val="19"/>
                <w:szCs w:val="19"/>
                <w:color w:val="222222"/>
              </w:rPr>
              <w:t xml:space="preserve">Package the application consistently</w:t>
            </w:r>
          </w:p>
        </w:tc>
        <w:tc>
          <w:tcPr>
            <w:tcW w:w="3900" w:type="dxa"/>
            <w:vAlign w:val="center"/>
            <w:shd w:fill="F3F6FA" w:val="clear"/>
          </w:tcPr>
          <w:p>
            <w:pPr>
              <w:jc w:val="left"/>
              <w:spacing w:before="40" w:after="40" w:line="250" w:lineRule="auto"/>
            </w:pPr>
            <w:r>
              <w:rPr>
                <w:rFonts w:ascii="Times New Roman" w:hAnsi="Times New Roman" w:cs="Times New Roman" w:eastAsia="Times New Roman"/>
                <w:sz w:val="19"/>
                <w:szCs w:val="19"/>
                <w:color w:val="222222"/>
              </w:rPr>
              <w:t xml:space="preserve">Multi-stage Docker image stored in Amazon ECR</w:t>
            </w:r>
          </w:p>
        </w:tc>
        <w:tc>
          <w:tcPr>
            <w:tcW w:w="2840" w:type="dxa"/>
            <w:vAlign w:val="center"/>
            <w:shd w:fill="F3F6FA" w:val="clear"/>
          </w:tcPr>
          <w:p>
            <w:pPr>
              <w:jc w:val="left"/>
              <w:spacing w:before="40" w:after="40" w:line="250" w:lineRule="auto"/>
            </w:pPr>
            <w:r>
              <w:rPr>
                <w:rFonts w:ascii="Times New Roman" w:hAnsi="Times New Roman" w:cs="Times New Roman" w:eastAsia="Times New Roman"/>
                <w:sz w:val="19"/>
                <w:szCs w:val="19"/>
                <w:color w:val="222222"/>
              </w:rPr>
              <w:t xml:space="preserve">Dockerfile and deployed image</w:t>
            </w:r>
          </w:p>
        </w:tc>
      </w:tr>
      <w:tr>
        <w:tc>
          <w:tcPr>
            <w:tcW w:w="1900" w:type="dxa"/>
            <w:vAlign w:val="center"/>
            <w:shd w:fill="FFFFFF" w:val="clear"/>
          </w:tcPr>
          <w:p>
            <w:pPr>
              <w:jc w:val="left"/>
              <w:spacing w:before="40" w:after="40" w:line="250" w:lineRule="auto"/>
            </w:pPr>
            <w:r>
              <w:rPr>
                <w:rFonts w:ascii="Times New Roman" w:hAnsi="Times New Roman" w:cs="Times New Roman" w:eastAsia="Times New Roman"/>
                <w:sz w:val="19"/>
                <w:szCs w:val="19"/>
                <w:color w:val="222222"/>
              </w:rPr>
              <w:t xml:space="preserve">Automate cloud infrastructure</w:t>
            </w:r>
          </w:p>
        </w:tc>
        <w:tc>
          <w:tcPr>
            <w:tcW w:w="3900" w:type="dxa"/>
            <w:vAlign w:val="center"/>
            <w:shd w:fill="FFFFFF" w:val="clear"/>
          </w:tcPr>
          <w:p>
            <w:pPr>
              <w:jc w:val="left"/>
              <w:spacing w:before="40" w:after="40" w:line="250" w:lineRule="auto"/>
            </w:pPr>
            <w:r>
              <w:rPr>
                <w:rFonts w:ascii="Times New Roman" w:hAnsi="Times New Roman" w:cs="Times New Roman" w:eastAsia="Times New Roman"/>
                <w:sz w:val="19"/>
                <w:szCs w:val="19"/>
                <w:color w:val="222222"/>
              </w:rPr>
              <w:t xml:space="preserve">Terraform definitions for the AWS demo environment</w:t>
            </w:r>
          </w:p>
        </w:tc>
        <w:tc>
          <w:tcPr>
            <w:tcW w:w="2840" w:type="dxa"/>
            <w:vAlign w:val="center"/>
            <w:shd w:fill="FFFFFF" w:val="clear"/>
          </w:tcPr>
          <w:p>
            <w:pPr>
              <w:jc w:val="left"/>
              <w:spacing w:before="40" w:after="40" w:line="250" w:lineRule="auto"/>
            </w:pPr>
            <w:r>
              <w:rPr>
                <w:rFonts w:ascii="Times New Roman" w:hAnsi="Times New Roman" w:cs="Times New Roman" w:eastAsia="Times New Roman"/>
                <w:sz w:val="19"/>
                <w:szCs w:val="19"/>
                <w:color w:val="222222"/>
              </w:rPr>
              <w:t xml:space="preserve">GitHub Actions Terraform format/validation</w:t>
            </w:r>
          </w:p>
        </w:tc>
      </w:tr>
      <w:tr>
        <w:tc>
          <w:tcPr>
            <w:tcW w:w="1900" w:type="dxa"/>
            <w:vAlign w:val="center"/>
            <w:shd w:fill="F3F6FA" w:val="clear"/>
          </w:tcPr>
          <w:p>
            <w:pPr>
              <w:jc w:val="left"/>
              <w:spacing w:before="40" w:after="40" w:line="250" w:lineRule="auto"/>
            </w:pPr>
            <w:r>
              <w:rPr>
                <w:rFonts w:ascii="Times New Roman" w:hAnsi="Times New Roman" w:cs="Times New Roman" w:eastAsia="Times New Roman"/>
                <w:sz w:val="19"/>
                <w:szCs w:val="19"/>
                <w:color w:val="222222"/>
              </w:rPr>
              <w:t xml:space="preserve">Scale application capacity</w:t>
            </w:r>
          </w:p>
        </w:tc>
        <w:tc>
          <w:tcPr>
            <w:tcW w:w="3900" w:type="dxa"/>
            <w:vAlign w:val="center"/>
            <w:shd w:fill="F3F6FA" w:val="clear"/>
          </w:tcPr>
          <w:p>
            <w:pPr>
              <w:jc w:val="left"/>
              <w:spacing w:before="40" w:after="40" w:line="250" w:lineRule="auto"/>
            </w:pPr>
            <w:r>
              <w:rPr>
                <w:rFonts w:ascii="Times New Roman" w:hAnsi="Times New Roman" w:cs="Times New Roman" w:eastAsia="Times New Roman"/>
                <w:sz w:val="19"/>
                <w:szCs w:val="19"/>
                <w:color w:val="222222"/>
              </w:rPr>
              <w:t xml:space="preserve">Kubernetes HPA targets 60% CPU; bounds 1–2 replicas</w:t>
            </w:r>
          </w:p>
        </w:tc>
        <w:tc>
          <w:tcPr>
            <w:tcW w:w="2840" w:type="dxa"/>
            <w:vAlign w:val="center"/>
            <w:shd w:fill="F3F6FA" w:val="clear"/>
          </w:tcPr>
          <w:p>
            <w:pPr>
              <w:jc w:val="left"/>
              <w:spacing w:before="40" w:after="40" w:line="250" w:lineRule="auto"/>
            </w:pPr>
            <w:r>
              <w:rPr>
                <w:rFonts w:ascii="Times New Roman" w:hAnsi="Times New Roman" w:cs="Times New Roman" w:eastAsia="Times New Roman"/>
                <w:sz w:val="19"/>
                <w:szCs w:val="19"/>
                <w:color w:val="222222"/>
              </w:rPr>
              <w:t xml:space="preserve">30-VU k6 run and HPA observations</w:t>
            </w:r>
          </w:p>
        </w:tc>
      </w:tr>
      <w:tr>
        <w:tc>
          <w:tcPr>
            <w:tcW w:w="1900" w:type="dxa"/>
            <w:vAlign w:val="center"/>
            <w:shd w:fill="FFFFFF" w:val="clear"/>
          </w:tcPr>
          <w:p>
            <w:pPr>
              <w:jc w:val="left"/>
              <w:spacing w:before="40" w:after="40" w:line="250" w:lineRule="auto"/>
            </w:pPr>
            <w:r>
              <w:rPr>
                <w:rFonts w:ascii="Times New Roman" w:hAnsi="Times New Roman" w:cs="Times New Roman" w:eastAsia="Times New Roman"/>
                <w:sz w:val="19"/>
                <w:szCs w:val="19"/>
                <w:color w:val="222222"/>
              </w:rPr>
              <w:t xml:space="preserve">Recover from pod/process failure</w:t>
            </w:r>
          </w:p>
        </w:tc>
        <w:tc>
          <w:tcPr>
            <w:tcW w:w="3900" w:type="dxa"/>
            <w:vAlign w:val="center"/>
            <w:shd w:fill="FFFFFF" w:val="clear"/>
          </w:tcPr>
          <w:p>
            <w:pPr>
              <w:jc w:val="left"/>
              <w:spacing w:before="40" w:after="40" w:line="250" w:lineRule="auto"/>
            </w:pPr>
            <w:r>
              <w:rPr>
                <w:rFonts w:ascii="Times New Roman" w:hAnsi="Times New Roman" w:cs="Times New Roman" w:eastAsia="Times New Roman"/>
                <w:sz w:val="19"/>
                <w:szCs w:val="19"/>
                <w:color w:val="222222"/>
              </w:rPr>
              <w:t xml:space="preserve">Deployment reconciliation and liveness/readiness probes</w:t>
            </w:r>
          </w:p>
        </w:tc>
        <w:tc>
          <w:tcPr>
            <w:tcW w:w="2840" w:type="dxa"/>
            <w:vAlign w:val="center"/>
            <w:shd w:fill="FFFFFF" w:val="clear"/>
          </w:tcPr>
          <w:p>
            <w:pPr>
              <w:jc w:val="left"/>
              <w:spacing w:before="40" w:after="40" w:line="250" w:lineRule="auto"/>
            </w:pPr>
            <w:r>
              <w:rPr>
                <w:rFonts w:ascii="Times New Roman" w:hAnsi="Times New Roman" w:cs="Times New Roman" w:eastAsia="Times New Roman"/>
                <w:sz w:val="19"/>
                <w:szCs w:val="19"/>
                <w:color w:val="222222"/>
              </w:rPr>
              <w:t xml:space="preserve">Replacement pod and restart evidence</w:t>
            </w:r>
          </w:p>
        </w:tc>
      </w:tr>
      <w:tr>
        <w:tc>
          <w:tcPr>
            <w:tcW w:w="1900" w:type="dxa"/>
            <w:vAlign w:val="center"/>
            <w:shd w:fill="F3F6FA" w:val="clear"/>
          </w:tcPr>
          <w:p>
            <w:pPr>
              <w:jc w:val="left"/>
              <w:spacing w:before="40" w:after="40" w:line="250" w:lineRule="auto"/>
            </w:pPr>
            <w:r>
              <w:rPr>
                <w:rFonts w:ascii="Times New Roman" w:hAnsi="Times New Roman" w:cs="Times New Roman" w:eastAsia="Times New Roman"/>
                <w:sz w:val="19"/>
                <w:szCs w:val="19"/>
                <w:color w:val="222222"/>
              </w:rPr>
              <w:t xml:space="preserve">Observe application and cluster</w:t>
            </w:r>
          </w:p>
        </w:tc>
        <w:tc>
          <w:tcPr>
            <w:tcW w:w="3900" w:type="dxa"/>
            <w:vAlign w:val="center"/>
            <w:shd w:fill="F3F6FA" w:val="clear"/>
          </w:tcPr>
          <w:p>
            <w:pPr>
              <w:jc w:val="left"/>
              <w:spacing w:before="40" w:after="40" w:line="250" w:lineRule="auto"/>
            </w:pPr>
            <w:r>
              <w:rPr>
                <w:rFonts w:ascii="Times New Roman" w:hAnsi="Times New Roman" w:cs="Times New Roman" w:eastAsia="Times New Roman"/>
                <w:sz w:val="19"/>
                <w:szCs w:val="19"/>
                <w:color w:val="222222"/>
              </w:rPr>
              <w:t xml:space="preserve">Prometheus, kube-state-metrics, Grafana dashboard</w:t>
            </w:r>
          </w:p>
        </w:tc>
        <w:tc>
          <w:tcPr>
            <w:tcW w:w="2840" w:type="dxa"/>
            <w:vAlign w:val="center"/>
            <w:shd w:fill="F3F6FA" w:val="clear"/>
          </w:tcPr>
          <w:p>
            <w:pPr>
              <w:jc w:val="left"/>
              <w:spacing w:before="40" w:after="40" w:line="250" w:lineRule="auto"/>
            </w:pPr>
            <w:r>
              <w:rPr>
                <w:rFonts w:ascii="Times New Roman" w:hAnsi="Times New Roman" w:cs="Times New Roman" w:eastAsia="Times New Roman"/>
                <w:sz w:val="19"/>
                <w:szCs w:val="19"/>
                <w:color w:val="222222"/>
              </w:rPr>
              <w:t xml:space="preserve">Targets, datasource and live query results</w:t>
            </w:r>
          </w:p>
        </w:tc>
      </w:tr>
    </w:tbl>
    <w:p>
      <w:pPr>
        <w:jc w:val="center"/>
        <w:spacing w:before="120" w:after="50" w:line="240" w:lineRule="auto"/>
      </w:pPr>
      <w:r>
        <w:rPr>
          <w:rFonts w:ascii="Times New Roman" w:hAnsi="Times New Roman" w:cs="Times New Roman" w:eastAsia="Times New Roman"/>
          <w:sz w:val="20"/>
          <w:szCs w:val="20"/>
          <w:i/>
          <w:color w:val="404040"/>
        </w:rPr>
        <w:t xml:space="preserve">Table 1.1: Project objectives and corresponding verification evidence.</w:t>
      </w:r>
    </w:p>
    <w:p>
      <w:pPr>
        <w:spacing w:before="240" w:after="100" w:line="300" w:lineRule="auto"/>
        <w:keepNext/>
      </w:pPr>
      <w:r>
        <w:rPr>
          <w:rFonts w:ascii="Times New Roman" w:hAnsi="Times New Roman" w:cs="Times New Roman" w:eastAsia="Times New Roman"/>
          <w:sz w:val="26"/>
          <w:szCs w:val="26"/>
          <w:b/>
          <w:color w:val="1F4E79"/>
        </w:rPr>
        <w:t xml:space="preserve">1.4 Scope and cloud features</w:t>
      </w:r>
    </w:p>
    <w:p>
      <w:pPr>
        <w:jc w:val="both"/>
        <w:spacing w:before="0" w:after="150" w:line="300" w:lineRule="auto"/>
        <w:ind w:left="0" w:firstLine="360"/>
      </w:pPr>
      <w:r>
        <w:rPr>
          <w:rFonts w:ascii="Times New Roman" w:hAnsi="Times New Roman" w:cs="Times New Roman" w:eastAsia="Times New Roman"/>
          <w:sz w:val="24"/>
          <w:szCs w:val="24"/>
          <w:color w:val="222222"/>
        </w:rPr>
        <w:t xml:space="preserve">The implemented application is a Student Task Manager. Its task operations include create, list, view, edit, status update, and delete. Task states are TODO, IN_PROGRESS, and DONE. The original planning concept referred to student records; during implementation the team adapted the application domain to task management while keeping the cloud deployment, scaling, and recovery goals.</w:t>
      </w:r>
    </w:p>
    <w:p>
      <w:pPr>
        <w:spacing w:after="100" w:line="280" w:lineRule="auto"/>
        <w:ind w:left="360" w:hanging="240"/>
      </w:pPr>
      <w:r>
        <w:rPr>
          <w:rFonts w:ascii="Times New Roman" w:hAnsi="Times New Roman"/>
          <w:sz w:val="24"/>
          <w:szCs w:val="24"/>
        </w:rPr>
        <w:t xml:space="preserve">•  On-demand infrastructure: EC2, RDS, and ECR resources are defined for the AWS Sydney Region (ap-southeast-2).</w:t>
      </w:r>
    </w:p>
    <w:p>
      <w:pPr>
        <w:spacing w:after="100" w:line="280" w:lineRule="auto"/>
        <w:ind w:left="360" w:hanging="240"/>
      </w:pPr>
      <w:r>
        <w:rPr>
          <w:rFonts w:ascii="Times New Roman" w:hAnsi="Times New Roman"/>
          <w:sz w:val="24"/>
          <w:szCs w:val="24"/>
        </w:rPr>
        <w:t xml:space="preserve">•  Resource pooling and managed networking: the VPC separates the public application host from private database subnets; database access is restricted to the application security group.</w:t>
      </w:r>
    </w:p>
    <w:p>
      <w:pPr>
        <w:spacing w:after="100" w:line="280" w:lineRule="auto"/>
        <w:ind w:left="360" w:hanging="240"/>
      </w:pPr>
      <w:r>
        <w:rPr>
          <w:rFonts w:ascii="Times New Roman" w:hAnsi="Times New Roman"/>
          <w:sz w:val="24"/>
          <w:szCs w:val="24"/>
        </w:rPr>
        <w:t xml:space="preserve">•  Elasticity and measured service: Kubernetes can increase or reduce API pod replicas based on observed CPU utilization; Prometheus collects application and cluster metrics.</w:t>
      </w:r>
    </w:p>
    <w:p>
      <w:pPr>
        <w:spacing w:after="100" w:line="280" w:lineRule="auto"/>
        <w:ind w:left="360" w:hanging="240"/>
      </w:pPr>
      <w:r>
        <w:rPr>
          <w:rFonts w:ascii="Times New Roman" w:hAnsi="Times New Roman"/>
          <w:sz w:val="24"/>
          <w:szCs w:val="24"/>
        </w:rPr>
        <w:t xml:space="preserve">•  Automation and repeatability: Terraform manages infrastructure configuration, while Kubernetes manifests describe the application and monitoring workloads.</w:t>
      </w:r>
    </w:p>
    <w:p>
      <w:pPr>
        <w:spacing w:before="240" w:after="100" w:line="300" w:lineRule="auto"/>
        <w:keepNext/>
      </w:pPr>
      <w:r>
        <w:rPr>
          <w:rFonts w:ascii="Times New Roman" w:hAnsi="Times New Roman" w:cs="Times New Roman" w:eastAsia="Times New Roman"/>
          <w:sz w:val="26"/>
          <w:szCs w:val="26"/>
          <w:b/>
          <w:color w:val="1F4E79"/>
        </w:rPr>
        <w:t xml:space="preserve">1.5 Success criteria and limitations</w:t>
      </w:r>
    </w:p>
    <w:p>
      <w:pPr>
        <w:jc w:val="both"/>
        <w:spacing w:before="0" w:after="150" w:line="300" w:lineRule="auto"/>
        <w:ind w:left="0" w:firstLine="360"/>
      </w:pPr>
      <w:r>
        <w:rPr>
          <w:rFonts w:ascii="Times New Roman" w:hAnsi="Times New Roman" w:cs="Times New Roman" w:eastAsia="Times New Roman"/>
          <w:sz w:val="24"/>
          <w:szCs w:val="24"/>
          <w:color w:val="222222"/>
        </w:rPr>
        <w:t xml:space="preserve">Success is defined as a working deployed task interface, API connectivity to persistent MySQL storage, a repeatable container image, infrastructure validation, observable HPA behavior, and recovery from pod/process failure. The deployed cluster has one EC2 node and the HPA permits at most two application pods. These constraints make the project a lab demonstration rather than a high-availability production service.</w:t>
      </w:r>
    </w:p>
    <w:p>
      <w:pPr>
        <w:jc w:val="center"/>
        <w:spacing w:before="0" w:after="80" w:line="360" w:lineRule="auto"/>
        <w:keepNext/>
        <w:pageBreakBefore/>
      </w:pPr>
      <w:r>
        <w:rPr>
          <w:rFonts w:ascii="Times New Roman" w:hAnsi="Times New Roman" w:cs="Times New Roman" w:eastAsia="Times New Roman"/>
          <w:sz w:val="30"/>
          <w:szCs w:val="30"/>
          <w:b/>
          <w:color w:val="17365D"/>
        </w:rPr>
        <w:t xml:space="preserve">CHAPTER 2</w:t>
      </w:r>
    </w:p>
    <w:p>
      <w:pPr>
        <w:jc w:val="center"/>
        <w:spacing w:before="0" w:after="180" w:line="330" w:lineRule="auto"/>
      </w:pPr>
      <w:r>
        <w:rPr>
          <w:rFonts w:ascii="Times New Roman" w:hAnsi="Times New Roman" w:cs="Times New Roman" w:eastAsia="Times New Roman"/>
          <w:sz w:val="28"/>
          <w:szCs w:val="28"/>
          <w:b/>
          <w:color w:val="17365D"/>
        </w:rPr>
        <w:t xml:space="preserve">METHODOLOGY</w:t>
      </w:r>
    </w:p>
    <w:p>
      <w:pPr>
        <w:jc w:val="both"/>
        <w:spacing w:before="0" w:after="150" w:line="300" w:lineRule="auto"/>
        <w:ind w:left="0" w:firstLine="360"/>
      </w:pPr>
      <w:r>
        <w:rPr>
          <w:rFonts w:ascii="Times New Roman" w:hAnsi="Times New Roman" w:cs="Times New Roman" w:eastAsia="Times New Roman"/>
          <w:sz w:val="24"/>
          <w:szCs w:val="24"/>
          <w:color w:val="222222"/>
        </w:rPr>
        <w:t xml:space="preserve">The implementation follows a build–package–provision–deploy–observe workflow. The browser and API run in the same Spring Boot service. Task data is stored in RDS MySQL. Terraform creates the AWS foundation; Docker creates the application image; ECR stores the image; K3s schedules the application and monitoring workloads. The diagram summarizes the request path and the supporting deployment path.</w:t>
      </w:r>
    </w:p>
    <w:tbl>
      <w:tblPr>
        <w:tblW w:w="8640" w:type="dxa"/>
        <w:tblLayout w:type="fixed"/>
        <w:tblBorders>
          <w:top w:val="single" w:sz="5" w:space="0" w:color="B4C7E7"/>
          <w:left w:val="single" w:sz="5" w:space="0" w:color="B4C7E7"/>
          <w:bottom w:val="single" w:sz="5" w:space="0" w:color="B4C7E7"/>
          <w:right w:val="single" w:sz="5" w:space="0" w:color="B4C7E7"/>
          <w:insideH w:val="single" w:sz="5" w:space="0" w:color="B4C7E7"/>
          <w:insideV w:val="single" w:sz="5" w:space="0" w:color="B4C7E7"/>
        </w:tblBorders>
      </w:tblPr>
      <w:tblGrid>
        <w:gridCol w:w="4320"/>
        <w:gridCol w:w="4320"/>
      </w:tblGrid>
      <w:tr>
        <w:trPr>
          <w:tblHeader/>
        </w:trPr>
        <w:tc>
          <w:tcPr>
            <w:tcW w:w="4320" w:type="dxa"/>
            <w:vAlign w:val="center"/>
            <w:shd w:fill="1F4E79" w:val="clear"/>
          </w:tcPr>
          <w:p>
            <w:pPr>
              <w:jc w:val="left"/>
              <w:spacing w:before="40" w:after="40" w:line="250" w:lineRule="auto"/>
            </w:pPr>
            <w:r>
              <w:rPr>
                <w:rFonts w:ascii="Times New Roman" w:hAnsi="Times New Roman" w:cs="Times New Roman" w:eastAsia="Times New Roman"/>
                <w:sz w:val="21"/>
                <w:szCs w:val="21"/>
                <w:b/>
                <w:color w:val="FFFFFF"/>
              </w:rPr>
              <w:t xml:space="preserve">Request and data path</w:t>
            </w:r>
          </w:p>
        </w:tc>
        <w:tc>
          <w:tcPr>
            <w:tcW w:w="4320" w:type="dxa"/>
            <w:vAlign w:val="center"/>
            <w:shd w:fill="1F4E79" w:val="clear"/>
          </w:tcPr>
          <w:p>
            <w:pPr>
              <w:jc w:val="left"/>
              <w:spacing w:before="40" w:after="40" w:line="250" w:lineRule="auto"/>
            </w:pPr>
            <w:r>
              <w:rPr>
                <w:rFonts w:ascii="Times New Roman" w:hAnsi="Times New Roman" w:cs="Times New Roman" w:eastAsia="Times New Roman"/>
                <w:sz w:val="21"/>
                <w:szCs w:val="21"/>
                <w:b/>
                <w:color w:val="FFFFFF"/>
              </w:rPr>
              <w:t xml:space="preserve">Build and operations path</w:t>
            </w:r>
          </w:p>
        </w:tc>
      </w:tr>
      <w:tr>
        <w:tc>
          <w:tcPr>
            <w:tcW w:w="4320" w:type="dxa"/>
            <w:vAlign w:val="center"/>
            <w:shd w:fill="FFFFFF" w:val="clear"/>
          </w:tcPr>
          <w:p>
            <w:pPr>
              <w:jc w:val="left"/>
              <w:spacing w:before="40" w:after="40" w:line="250" w:lineRule="auto"/>
            </w:pPr>
            <w:r>
              <w:rPr>
                <w:rFonts w:ascii="Times New Roman" w:hAnsi="Times New Roman" w:cs="Times New Roman" w:eastAsia="Times New Roman"/>
                <w:sz w:val="21"/>
                <w:szCs w:val="21"/>
                <w:color w:val="222222"/>
              </w:rPr>
              <w:t xml:space="preserve">Browser dashboard</w:t>
              <w:br/>
              <w:t xml:space="preserve">        ↓</w:t>
              <w:br/>
              <w:t xml:space="preserve">Kubernetes NodePort Service (30080)</w:t>
              <w:br/>
              <w:t xml:space="preserve">        ↓</w:t>
              <w:br/>
              <w:t xml:space="preserve">Spring Boot API pod(s) in K3s</w:t>
              <w:br/>
              <w:t xml:space="preserve">        ↓</w:t>
              <w:br/>
              <w:t xml:space="preserve">Private Amazon RDS MySQL</w:t>
            </w:r>
          </w:p>
        </w:tc>
        <w:tc>
          <w:tcPr>
            <w:tcW w:w="4320" w:type="dxa"/>
            <w:vAlign w:val="center"/>
            <w:shd w:fill="FFFFFF" w:val="clear"/>
          </w:tcPr>
          <w:p>
            <w:pPr>
              <w:jc w:val="left"/>
              <w:spacing w:before="40" w:after="40" w:line="250" w:lineRule="auto"/>
            </w:pPr>
            <w:r>
              <w:rPr>
                <w:rFonts w:ascii="Times New Roman" w:hAnsi="Times New Roman" w:cs="Times New Roman" w:eastAsia="Times New Roman"/>
                <w:sz w:val="21"/>
                <w:szCs w:val="21"/>
                <w:color w:val="222222"/>
              </w:rPr>
              <w:t xml:space="preserve">Source and tests → Docker image → Amazon ECR → K3s deployment</w:t>
              <w:br/>
              <w:t xml:space="preserve"/>
              <w:br/>
              <w:t xml:space="preserve">Terraform → VPC, EC2/K3s host, RDS, ECR, IAM and security rules</w:t>
              <w:br/>
              <w:t xml:space="preserve"/>
              <w:br/>
              <w:t xml:space="preserve">Actuator + kube-state-metrics → Prometheus → Grafana (private SSM tunnel)</w:t>
            </w:r>
          </w:p>
        </w:tc>
      </w:tr>
    </w:tbl>
    <w:p>
      <w:pPr>
        <w:jc w:val="center"/>
        <w:spacing w:before="0" w:after="180" w:line="240" w:lineRule="auto"/>
      </w:pPr>
      <w:r>
        <w:rPr>
          <w:rFonts w:ascii="Times New Roman" w:hAnsi="Times New Roman" w:cs="Times New Roman" w:eastAsia="Times New Roman"/>
          <w:sz w:val="20"/>
          <w:szCs w:val="20"/>
          <w:i/>
          <w:color w:val="404040"/>
        </w:rPr>
        <w:t xml:space="preserve">Fig. 2.1: System architecture and build, deployment, and monitoring paths.</w:t>
      </w:r>
    </w:p>
    <w:p>
      <w:pPr>
        <w:spacing w:before="240" w:after="100" w:line="300" w:lineRule="auto"/>
        <w:keepNext/>
      </w:pPr>
      <w:r>
        <w:rPr>
          <w:rFonts w:ascii="Times New Roman" w:hAnsi="Times New Roman" w:cs="Times New Roman" w:eastAsia="Times New Roman"/>
          <w:sz w:val="26"/>
          <w:szCs w:val="26"/>
          <w:b/>
          <w:color w:val="1F4E79"/>
        </w:rPr>
        <w:t xml:space="preserve">2.1 Application and request workflow</w:t>
      </w:r>
    </w:p>
    <w:p>
      <w:pPr>
        <w:jc w:val="both"/>
        <w:spacing w:before="0" w:after="150" w:line="300" w:lineRule="auto"/>
        <w:ind w:left="0" w:firstLine="360"/>
      </w:pPr>
      <w:r>
        <w:rPr>
          <w:rFonts w:ascii="Times New Roman" w:hAnsi="Times New Roman" w:cs="Times New Roman" w:eastAsia="Times New Roman"/>
          <w:sz w:val="24"/>
          <w:szCs w:val="24"/>
          <w:color w:val="222222"/>
        </w:rPr>
        <w:t xml:space="preserve">The dashboard is served from the Spring Boot application's static resources, so browser calls use the same origin as the REST API. The controller receives validated requests, the service layer applies task operations, and the repository uses Spring Data JPA to read and write MySQL records. The API exposes task endpoints under /api/tasks and health/metrics endpoints through Spring Boot Actuator. No authentication or per-user task ownership is implemented in this prototype.</w:t>
      </w:r>
    </w:p>
    <w:p>
      <w:pPr>
        <w:spacing w:before="240" w:after="100" w:line="300" w:lineRule="auto"/>
        <w:keepNext/>
      </w:pPr>
      <w:r>
        <w:rPr>
          <w:rFonts w:ascii="Times New Roman" w:hAnsi="Times New Roman" w:cs="Times New Roman" w:eastAsia="Times New Roman"/>
          <w:sz w:val="26"/>
          <w:szCs w:val="26"/>
          <w:b/>
          <w:color w:val="1F4E79"/>
        </w:rPr>
        <w:t xml:space="preserve">2.2 Container build and image storage</w:t>
      </w:r>
    </w:p>
    <w:p>
      <w:pPr>
        <w:jc w:val="both"/>
        <w:spacing w:before="0" w:after="150" w:line="300" w:lineRule="auto"/>
        <w:ind w:left="0" w:firstLine="360"/>
      </w:pPr>
      <w:r>
        <w:rPr>
          <w:rFonts w:ascii="Times New Roman" w:hAnsi="Times New Roman" w:cs="Times New Roman" w:eastAsia="Times New Roman"/>
          <w:sz w:val="24"/>
          <w:szCs w:val="24"/>
          <w:color w:val="222222"/>
        </w:rPr>
        <w:t xml:space="preserve">The Dockerfile uses a multi-stage build. Maven and the Java 21 build image create the application artifact; a smaller Java 21 runtime image runs the packaged service. The runtime uses a non-root user. The built image is pushed to Amazon ECR and pulled by K3s using a Kubernetes image-pull secret. This separates build tooling from runtime and gives the cluster a versioned image source [1].</w:t>
      </w:r>
    </w:p>
    <w:p>
      <w:pPr>
        <w:spacing w:before="240" w:after="100" w:line="300" w:lineRule="auto"/>
        <w:keepNext/>
      </w:pPr>
      <w:r>
        <w:rPr>
          <w:rFonts w:ascii="Times New Roman" w:hAnsi="Times New Roman" w:cs="Times New Roman" w:eastAsia="Times New Roman"/>
          <w:sz w:val="26"/>
          <w:szCs w:val="26"/>
          <w:b/>
          <w:color w:val="1F4E79"/>
        </w:rPr>
        <w:t xml:space="preserve">2.3 Infrastructure provisioning with Terraform</w:t>
      </w:r>
    </w:p>
    <w:p>
      <w:pPr>
        <w:jc w:val="both"/>
        <w:spacing w:before="0" w:after="150" w:line="300" w:lineRule="auto"/>
        <w:ind w:left="0" w:firstLine="360"/>
      </w:pPr>
      <w:r>
        <w:rPr>
          <w:rFonts w:ascii="Times New Roman" w:hAnsi="Times New Roman" w:cs="Times New Roman" w:eastAsia="Times New Roman"/>
          <w:sz w:val="24"/>
          <w:szCs w:val="24"/>
          <w:color w:val="222222"/>
        </w:rPr>
        <w:t xml:space="preserve">Terraform describes the AWS demo resources in ap-southeast-2: a VPC, public application subnet, private database subnets, routing, security groups, one EC2 K3s host, private RDS MySQL, an ECR repository, and IAM permissions for Systems Manager, image pulls, and database-secret access. The database accepts MySQL traffic only from the application host security group. The public SSH port is not opened; the host is administered through Systems Manager. Terraform provides a reviewable plan before changes are applied [2], [3].</w:t>
      </w:r>
    </w:p>
    <w:p>
      <w:pPr>
        <w:spacing w:before="240" w:after="100" w:line="300" w:lineRule="auto"/>
        <w:keepNext/>
      </w:pPr>
      <w:r>
        <w:rPr>
          <w:rFonts w:ascii="Times New Roman" w:hAnsi="Times New Roman" w:cs="Times New Roman" w:eastAsia="Times New Roman"/>
          <w:sz w:val="26"/>
          <w:szCs w:val="26"/>
          <w:b/>
          <w:color w:val="1F4E79"/>
        </w:rPr>
        <w:t xml:space="preserve">2.4 Kubernetes deployment and health management</w:t>
      </w:r>
    </w:p>
    <w:p>
      <w:pPr>
        <w:jc w:val="both"/>
        <w:spacing w:before="0" w:after="150" w:line="300" w:lineRule="auto"/>
        <w:ind w:left="0" w:firstLine="360"/>
      </w:pPr>
      <w:r>
        <w:rPr>
          <w:rFonts w:ascii="Times New Roman" w:hAnsi="Times New Roman" w:cs="Times New Roman" w:eastAsia="Times New Roman"/>
          <w:sz w:val="24"/>
          <w:szCs w:val="24"/>
          <w:color w:val="222222"/>
        </w:rPr>
        <w:t xml:space="preserve">K3s runs as a single-node Kubernetes cluster on EC2. A Deployment maintains one baseline task-manager API pod and uses a rolling update strategy. The pod has CPU and memory requests/limits and runs as a non-root user with a read-only root filesystem. Startup, liveness, and readiness probes call Actuator health endpoints. The NodePort Service maps host port 30080 to application port 8080, and the database remains private [5].</w:t>
      </w:r>
    </w:p>
    <w:p>
      <w:pPr>
        <w:spacing w:before="240" w:after="100" w:line="300" w:lineRule="auto"/>
        <w:keepNext/>
      </w:pPr>
      <w:r>
        <w:rPr>
          <w:rFonts w:ascii="Times New Roman" w:hAnsi="Times New Roman" w:cs="Times New Roman" w:eastAsia="Times New Roman"/>
          <w:sz w:val="26"/>
          <w:szCs w:val="26"/>
          <w:b/>
          <w:color w:val="1F4E79"/>
        </w:rPr>
        <w:t xml:space="preserve">2.5 Horizontal pod autoscaling</w:t>
      </w:r>
    </w:p>
    <w:p>
      <w:pPr>
        <w:jc w:val="both"/>
        <w:spacing w:before="0" w:after="150" w:line="300" w:lineRule="auto"/>
        <w:ind w:left="0" w:firstLine="360"/>
      </w:pPr>
      <w:r>
        <w:rPr>
          <w:rFonts w:ascii="Times New Roman" w:hAnsi="Times New Roman" w:cs="Times New Roman" w:eastAsia="Times New Roman"/>
          <w:sz w:val="24"/>
          <w:szCs w:val="24"/>
          <w:color w:val="222222"/>
        </w:rPr>
        <w:t xml:space="preserve">The autoscaling/v2 HPA observes average CPU utilization relative to the API container's CPU request. Its target is 60%, with a minimum of one and maximum of two replicas. A 180-second scale-down stabilization window reduces rapid oscillation after load falls. CPU requests are configured because utilization-based HPA calculations depend on resource requests [4]. The HPA changes pod count only; it does not add EC2 nodes or resize RDS.</w:t>
      </w:r>
    </w:p>
    <w:p>
      <w:pPr>
        <w:spacing w:before="240" w:after="100" w:line="300" w:lineRule="auto"/>
        <w:keepNext/>
      </w:pPr>
      <w:r>
        <w:rPr>
          <w:rFonts w:ascii="Times New Roman" w:hAnsi="Times New Roman" w:cs="Times New Roman" w:eastAsia="Times New Roman"/>
          <w:sz w:val="26"/>
          <w:szCs w:val="26"/>
          <w:b/>
          <w:color w:val="1F4E79"/>
        </w:rPr>
        <w:t xml:space="preserve">2.6 Monitoring</w:t>
      </w:r>
    </w:p>
    <w:p>
      <w:pPr>
        <w:jc w:val="both"/>
        <w:spacing w:before="0" w:after="150" w:line="300" w:lineRule="auto"/>
        <w:ind w:left="0" w:firstLine="360"/>
      </w:pPr>
      <w:r>
        <w:rPr>
          <w:rFonts w:ascii="Times New Roman" w:hAnsi="Times New Roman" w:cs="Times New Roman" w:eastAsia="Times New Roman"/>
          <w:sz w:val="24"/>
          <w:szCs w:val="24"/>
          <w:color w:val="222222"/>
        </w:rPr>
        <w:t xml:space="preserve">Prometheus scrapes Spring Boot Actuator's Prometheus endpoint and kube-state-metrics at 15-second intervals. Grafana reads from Prometheus and presents six panels: request rate, 5xx response rate, mean request duration, ready versus desired API replicas, JVM heap, and process CPU. The monitoring services use private ClusterIP endpoints and are reached through an authorized Systems Manager port-forward. For the live demonstration, the current Grafana ClusterIP is forwarded with AWS-StartPortForwardingSessionToRemoteHost to local port 3000 and opened at http://localhost:3000/d/student-task-manager-ops/student-task-manager-operations. The tunnel must remain active; this does not expose Grafana publicly. Prometheus retains up to six hours or 256 MB in temporary storage; Grafana's local database is also temporary [6]–[8].</w:t>
      </w:r>
    </w:p>
    <w:p>
      <w:pPr>
        <w:spacing w:before="240" w:after="100" w:line="300" w:lineRule="auto"/>
        <w:keepNext/>
      </w:pPr>
      <w:r>
        <w:rPr>
          <w:rFonts w:ascii="Times New Roman" w:hAnsi="Times New Roman" w:cs="Times New Roman" w:eastAsia="Times New Roman"/>
          <w:sz w:val="26"/>
          <w:szCs w:val="26"/>
          <w:b/>
          <w:color w:val="1F4E79"/>
        </w:rPr>
        <w:t xml:space="preserve">2.7 Verification procedure</w:t>
      </w:r>
    </w:p>
    <w:p>
      <w:pPr>
        <w:jc w:val="both"/>
        <w:spacing w:before="0" w:after="150" w:line="300" w:lineRule="auto"/>
        <w:ind w:left="0" w:firstLine="360"/>
      </w:pPr>
      <w:r>
        <w:rPr>
          <w:rFonts w:ascii="Times New Roman" w:hAnsi="Times New Roman" w:cs="Times New Roman" w:eastAsia="Times New Roman"/>
          <w:sz w:val="24"/>
          <w:szCs w:val="24"/>
          <w:color w:val="222222"/>
        </w:rPr>
        <w:t xml:space="preserve">Verification combined application checks with controlled operational exercises. The browser UI and readiness endpoint were checked through an SSM tunnel. A bounded k6 script issued read-only GET requests to /api/tasks, ramping to a maximum of 30 virtual users. Kubernetes status and HPA metrics were observed during load and after it stopped. Separately, an API pod was deleted to observe Deployment reconciliation, and a controlled Java-process pause was used to exercise the liveness probe. Monitoring target health and selected PromQL values were checked after deployment. These exercises were run against the team's demo environment, not a production workload.</w:t>
      </w:r>
    </w:p>
    <w:p>
      <w:pPr>
        <w:jc w:val="center"/>
        <w:spacing w:before="0" w:after="80" w:line="360" w:lineRule="auto"/>
        <w:keepNext/>
        <w:pageBreakBefore/>
      </w:pPr>
      <w:r>
        <w:rPr>
          <w:rFonts w:ascii="Times New Roman" w:hAnsi="Times New Roman" w:cs="Times New Roman" w:eastAsia="Times New Roman"/>
          <w:sz w:val="30"/>
          <w:szCs w:val="30"/>
          <w:b/>
          <w:color w:val="17365D"/>
        </w:rPr>
        <w:t xml:space="preserve">CHAPTER 3</w:t>
      </w:r>
    </w:p>
    <w:p>
      <w:pPr>
        <w:jc w:val="center"/>
        <w:spacing w:before="0" w:after="180" w:line="330" w:lineRule="auto"/>
      </w:pPr>
      <w:r>
        <w:rPr>
          <w:rFonts w:ascii="Times New Roman" w:hAnsi="Times New Roman" w:cs="Times New Roman" w:eastAsia="Times New Roman"/>
          <w:sz w:val="28"/>
          <w:szCs w:val="28"/>
          <w:b/>
          <w:color w:val="17365D"/>
        </w:rPr>
        <w:t xml:space="preserve">RESULT ANALYSIS</w:t>
      </w:r>
    </w:p>
    <w:p>
      <w:pPr>
        <w:jc w:val="both"/>
        <w:spacing w:before="0" w:after="150" w:line="300" w:lineRule="auto"/>
        <w:ind w:left="0" w:firstLine="360"/>
      </w:pPr>
      <w:r>
        <w:rPr>
          <w:rFonts w:ascii="Times New Roman" w:hAnsi="Times New Roman" w:cs="Times New Roman" w:eastAsia="Times New Roman"/>
          <w:sz w:val="24"/>
          <w:szCs w:val="24"/>
          <w:color w:val="222222"/>
        </w:rPr>
        <w:t xml:space="preserve">This chapter reports results captured from the deployed Sydney demo environment on 25 October 2026. The UI screenshots show task interactions; the load, HPA, recovery, and monitoring figures are taken from the recorded demo evidence. The k6 workload was read-only and did not change task data.</w:t>
      </w:r>
    </w:p>
    <w:p>
      <w:pPr>
        <w:jc w:val="center"/>
        <w:spacing w:before="60" w:after="20"/>
      </w:pPr>
      <w:r>
        <w:drawing>
          <wp:inline distT="0" distB="0" distL="0" distR="0">
            <wp:extent cx="5212080" cy="3619500"/>
            <wp:docPr id="104" name="Deployed Student Task Manager dashboard" descr="Deployed Student Task Manager dashboard"/>
            <wp:cNvGraphicFramePr>
              <a:graphicFrameLocks noChangeAspect="1"/>
            </wp:cNvGraphicFramePr>
            <a:graphic>
              <a:graphicData uri="http://schemas.openxmlformats.org/drawingml/2006/picture">
                <pic:pic>
                  <pic:nvPicPr>
                    <pic:cNvPr id="0" name="Deployed Student Task Manager dashboard"/>
                    <pic:cNvPicPr>
                      <a:picLocks noChangeAspect="1"/>
                    </pic:cNvPicPr>
                  </pic:nvPicPr>
                  <pic:blipFill>
                    <a:blip r:embed="rIdImg1"/>
                    <a:stretch>
                      <a:fillRect/>
                    </a:stretch>
                  </pic:blipFill>
                  <pic:spPr>
                    <a:xfrm>
                      <a:off x="0" y="0"/>
                      <a:ext cx="5212080" cy="3619500"/>
                    </a:xfrm>
                    <a:prstGeom prst="rect">
                      <a:avLst/>
                    </a:prstGeom>
                  </pic:spPr>
                </pic:pic>
              </a:graphicData>
            </a:graphic>
          </wp:inline>
        </w:drawing>
      </w:r>
    </w:p>
    <w:p>
      <w:pPr>
        <w:jc w:val="center"/>
        <w:spacing w:before="0" w:after="180" w:line="240" w:lineRule="auto"/>
      </w:pPr>
      <w:r>
        <w:rPr>
          <w:rFonts w:ascii="Times New Roman" w:hAnsi="Times New Roman" w:cs="Times New Roman" w:eastAsia="Times New Roman"/>
          <w:sz w:val="20"/>
          <w:szCs w:val="20"/>
          <w:i/>
          <w:color w:val="404040"/>
        </w:rPr>
        <w:t xml:space="preserve">Fig. 3.1: Student Task Manager dashboard served by the deployed application.</w:t>
      </w:r>
    </w:p>
    <w:p>
      <w:pPr>
        <w:jc w:val="both"/>
        <w:spacing w:before="0" w:after="100" w:line="300" w:lineRule="auto"/>
        <w:ind w:left="0" w:firstLine="360"/>
      </w:pPr>
      <w:r>
        <w:rPr>
          <w:rFonts w:ascii="Times New Roman" w:hAnsi="Times New Roman" w:cs="Times New Roman" w:eastAsia="Times New Roman"/>
          <w:sz w:val="24"/>
          <w:szCs w:val="24"/>
          <w:color w:val="222222"/>
        </w:rPr>
        <w:t xml:space="preserve">The dashboard displays the saved task list and indicates that the API is connected. The app responds through the Kubernetes NodePort over a temporary SSM tunnel. The task-created and task-completed screenshots below record the user-facing interaction; the temporary evidence task was removed after capture, and the original task list was verified unchanged.</w:t>
      </w:r>
    </w:p>
    <w:tbl>
      <w:tblPr>
        <w:tblW w:w="8640" w:type="dxa"/>
        <w:tblLayout w:type="fixed"/>
      </w:tblPr>
      <w:tblGrid>
        <w:gridCol w:w="4320"/>
        <w:gridCol w:w="4320"/>
      </w:tblGrid>
      <w:tr>
        <w:tc>
          <w:tcPr>
            <w:tcW w:w="4320" w:type="dxa"/>
          </w:tcPr>
          <w:p>
            <w:pPr>
              <w:jc w:val="center"/>
              <w:spacing w:before="60" w:after="20"/>
            </w:pPr>
            <w:r>
              <w:drawing>
                <wp:inline distT="0" distB="0" distL="0" distR="0">
                  <wp:extent cx="2606040" cy="1809750"/>
                  <wp:docPr id="104" name="Fig. 3.2: Task created in the deployed app." descr="Fig. 3.2: Task created in the deployed app."/>
                  <wp:cNvGraphicFramePr>
                    <a:graphicFrameLocks noChangeAspect="1"/>
                  </wp:cNvGraphicFramePr>
                  <a:graphic>
                    <a:graphicData uri="http://schemas.openxmlformats.org/drawingml/2006/picture">
                      <pic:pic>
                        <pic:nvPicPr>
                          <pic:cNvPr id="0" name="Fig. 3.2: Task created in the deployed app."/>
                          <pic:cNvPicPr>
                            <a:picLocks noChangeAspect="1"/>
                          </pic:cNvPicPr>
                        </pic:nvPicPr>
                        <pic:blipFill>
                          <a:blip r:embed="rIdImg2"/>
                          <a:stretch>
                            <a:fillRect/>
                          </a:stretch>
                        </pic:blipFill>
                        <pic:spPr>
                          <a:xfrm>
                            <a:off x="0" y="0"/>
                            <a:ext cx="2606040" cy="1809750"/>
                          </a:xfrm>
                          <a:prstGeom prst="rect">
                            <a:avLst/>
                          </a:prstGeom>
                        </pic:spPr>
                      </pic:pic>
                    </a:graphicData>
                  </a:graphic>
                </wp:inline>
              </w:drawing>
            </w:r>
          </w:p>
          <w:p>
            <w:pPr>
              <w:jc w:val="center"/>
              <w:spacing w:before="0" w:after="60" w:line="220" w:lineRule="auto"/>
            </w:pPr>
            <w:r>
              <w:rPr>
                <w:rFonts w:ascii="Times New Roman" w:hAnsi="Times New Roman" w:cs="Times New Roman" w:eastAsia="Times New Roman"/>
                <w:sz w:val="19"/>
                <w:szCs w:val="19"/>
                <w:i/>
                <w:color w:val="404040"/>
              </w:rPr>
              <w:t xml:space="preserve">Fig. 3.2: Task created in the deployed app.</w:t>
            </w:r>
          </w:p>
        </w:tc>
        <w:tc>
          <w:tcPr>
            <w:tcW w:w="4320" w:type="dxa"/>
          </w:tcPr>
          <w:p>
            <w:pPr>
              <w:jc w:val="center"/>
              <w:spacing w:before="60" w:after="20"/>
            </w:pPr>
            <w:r>
              <w:drawing>
                <wp:inline distT="0" distB="0" distL="0" distR="0">
                  <wp:extent cx="2606040" cy="1809750"/>
                  <wp:docPr id="104" name="Fig. 3.3: Task marked complete in the deployed app." descr="Fig. 3.3: Task marked complete in the deployed app."/>
                  <wp:cNvGraphicFramePr>
                    <a:graphicFrameLocks noChangeAspect="1"/>
                  </wp:cNvGraphicFramePr>
                  <a:graphic>
                    <a:graphicData uri="http://schemas.openxmlformats.org/drawingml/2006/picture">
                      <pic:pic>
                        <pic:nvPicPr>
                          <pic:cNvPr id="0" name="Fig. 3.3: Task marked complete in the deployed app."/>
                          <pic:cNvPicPr>
                            <a:picLocks noChangeAspect="1"/>
                          </pic:cNvPicPr>
                        </pic:nvPicPr>
                        <pic:blipFill>
                          <a:blip r:embed="rIdImg3"/>
                          <a:stretch>
                            <a:fillRect/>
                          </a:stretch>
                        </pic:blipFill>
                        <pic:spPr>
                          <a:xfrm>
                            <a:off x="0" y="0"/>
                            <a:ext cx="2606040" cy="1809750"/>
                          </a:xfrm>
                          <a:prstGeom prst="rect">
                            <a:avLst/>
                          </a:prstGeom>
                        </pic:spPr>
                      </pic:pic>
                    </a:graphicData>
                  </a:graphic>
                </wp:inline>
              </w:drawing>
            </w:r>
          </w:p>
          <w:p>
            <w:pPr>
              <w:jc w:val="center"/>
              <w:spacing w:before="0" w:after="60" w:line="220" w:lineRule="auto"/>
            </w:pPr>
            <w:r>
              <w:rPr>
                <w:rFonts w:ascii="Times New Roman" w:hAnsi="Times New Roman" w:cs="Times New Roman" w:eastAsia="Times New Roman"/>
                <w:sz w:val="19"/>
                <w:szCs w:val="19"/>
                <w:i/>
                <w:color w:val="404040"/>
              </w:rPr>
              <w:t xml:space="preserve">Fig. 3.3: Task marked complete in the deployed app.</w:t>
            </w:r>
          </w:p>
        </w:tc>
      </w:tr>
    </w:tbl>
    <w:p>
      <w:pPr>
        <w:jc w:val="both"/>
        <w:spacing w:before="50" w:after="150" w:line="250" w:lineRule="auto"/>
      </w:pPr>
      <w:r>
        <w:rPr>
          <w:rFonts w:ascii="Times New Roman" w:hAnsi="Times New Roman" w:cs="Times New Roman" w:eastAsia="Times New Roman"/>
          <w:sz w:val="20"/>
          <w:szCs w:val="20"/>
          <w:i/>
          <w:color w:val="555555"/>
        </w:rPr>
        <w:t xml:space="preserve">The evidence task was created as ID 3, changed to DONE, and then deleted with HTTP 204. A final API read showed only the pre-existing task (ID 2).</w:t>
      </w:r>
    </w:p>
    <w:p>
      <w:pPr>
        <w:spacing w:before="240" w:after="100" w:line="300" w:lineRule="auto"/>
        <w:keepNext/>
        <w:pageBreakBefore/>
      </w:pPr>
      <w:r>
        <w:rPr>
          <w:rFonts w:ascii="Times New Roman" w:hAnsi="Times New Roman" w:cs="Times New Roman" w:eastAsia="Times New Roman"/>
          <w:sz w:val="26"/>
          <w:szCs w:val="26"/>
          <w:b/>
          <w:color w:val="1F4E79"/>
        </w:rPr>
        <w:t xml:space="preserve">3.1 Load-test results</w:t>
      </w:r>
    </w:p>
    <w:p>
      <w:pPr>
        <w:jc w:val="both"/>
        <w:spacing w:before="0" w:after="150" w:line="300" w:lineRule="auto"/>
        <w:ind w:left="0" w:firstLine="360"/>
      </w:pPr>
      <w:r>
        <w:rPr>
          <w:rFonts w:ascii="Times New Roman" w:hAnsi="Times New Roman" w:cs="Times New Roman" w:eastAsia="Times New Roman"/>
          <w:sz w:val="24"/>
          <w:szCs w:val="24"/>
          <w:color w:val="222222"/>
        </w:rPr>
        <w:t xml:space="preserve">The autoscaling workload ramped up over 20 seconds to 5 virtual users, over the next 30 seconds to 15 users, held at up to 30 users for 60 seconds, and ramped down over 20 seconds. It repeatedly requested the task list endpoint and checked for HTTP 200 JSON responses. The script limits the run to 30 VUs and defines thresholds of less than 1% failed requests and p95 below 1,500 ms.</w:t>
      </w:r>
    </w:p>
    <w:tbl>
      <w:tblPr>
        <w:tblW w:w="8640" w:type="dxa"/>
        <w:tblLayout w:type="fixed"/>
        <w:tblBorders>
          <w:top w:val="single" w:sz="5" w:space="0" w:color="B4C7E7"/>
          <w:left w:val="single" w:sz="5" w:space="0" w:color="B4C7E7"/>
          <w:bottom w:val="single" w:sz="5" w:space="0" w:color="B4C7E7"/>
          <w:right w:val="single" w:sz="5" w:space="0" w:color="B4C7E7"/>
          <w:insideH w:val="single" w:sz="5" w:space="0" w:color="B4C7E7"/>
          <w:insideV w:val="single" w:sz="5" w:space="0" w:color="B4C7E7"/>
        </w:tblBorders>
      </w:tblPr>
      <w:tblGrid>
        <w:gridCol w:w="2400"/>
        <w:gridCol w:w="2600"/>
        <w:gridCol w:w="3640"/>
      </w:tblGrid>
      <w:tr>
        <w:trPr>
          <w:tblHeader/>
        </w:trPr>
        <w:tc>
          <w:tcPr>
            <w:tcW w:w="2400" w:type="dxa"/>
            <w:vAlign w:val="center"/>
            <w:shd w:fill="1F4E79" w:val="clear"/>
          </w:tcPr>
          <w:p>
            <w:pPr>
              <w:jc w:val="left"/>
              <w:spacing w:before="40" w:after="40" w:line="250" w:lineRule="auto"/>
            </w:pPr>
            <w:r>
              <w:rPr>
                <w:rFonts w:ascii="Times New Roman" w:hAnsi="Times New Roman" w:cs="Times New Roman" w:eastAsia="Times New Roman"/>
                <w:sz w:val="20"/>
                <w:szCs w:val="20"/>
                <w:b/>
                <w:color w:val="FFFFFF"/>
              </w:rPr>
              <w:t xml:space="preserve">Measure</w:t>
            </w:r>
          </w:p>
        </w:tc>
        <w:tc>
          <w:tcPr>
            <w:tcW w:w="2600" w:type="dxa"/>
            <w:vAlign w:val="center"/>
            <w:shd w:fill="1F4E79" w:val="clear"/>
          </w:tcPr>
          <w:p>
            <w:pPr>
              <w:jc w:val="left"/>
              <w:spacing w:before="40" w:after="40" w:line="250" w:lineRule="auto"/>
            </w:pPr>
            <w:r>
              <w:rPr>
                <w:rFonts w:ascii="Times New Roman" w:hAnsi="Times New Roman" w:cs="Times New Roman" w:eastAsia="Times New Roman"/>
                <w:sz w:val="20"/>
                <w:szCs w:val="20"/>
                <w:b/>
                <w:color w:val="FFFFFF"/>
              </w:rPr>
              <w:t xml:space="preserve">Observed result</w:t>
            </w:r>
          </w:p>
        </w:tc>
        <w:tc>
          <w:tcPr>
            <w:tcW w:w="3640" w:type="dxa"/>
            <w:vAlign w:val="center"/>
            <w:shd w:fill="1F4E79" w:val="clear"/>
          </w:tcPr>
          <w:p>
            <w:pPr>
              <w:jc w:val="left"/>
              <w:spacing w:before="40" w:after="40" w:line="250" w:lineRule="auto"/>
            </w:pPr>
            <w:r>
              <w:rPr>
                <w:rFonts w:ascii="Times New Roman" w:hAnsi="Times New Roman" w:cs="Times New Roman" w:eastAsia="Times New Roman"/>
                <w:sz w:val="20"/>
                <w:szCs w:val="20"/>
                <w:b/>
                <w:color w:val="FFFFFF"/>
              </w:rPr>
              <w:t xml:space="preserve">Interpretation</w:t>
            </w:r>
          </w:p>
        </w:tc>
      </w:tr>
      <w:tr>
        <w:tc>
          <w:tcPr>
            <w:tcW w:w="2400" w:type="dxa"/>
            <w:vAlign w:val="center"/>
            <w:shd w:fill="FFFFFF" w:val="clear"/>
          </w:tcPr>
          <w:p>
            <w:pPr>
              <w:jc w:val="left"/>
              <w:spacing w:before="40" w:after="40" w:line="250" w:lineRule="auto"/>
            </w:pPr>
            <w:r>
              <w:rPr>
                <w:rFonts w:ascii="Times New Roman" w:hAnsi="Times New Roman" w:cs="Times New Roman" w:eastAsia="Times New Roman"/>
                <w:sz w:val="20"/>
                <w:szCs w:val="20"/>
                <w:color w:val="222222"/>
              </w:rPr>
              <w:t xml:space="preserve">Maximum virtual users</w:t>
            </w:r>
          </w:p>
        </w:tc>
        <w:tc>
          <w:tcPr>
            <w:tcW w:w="2600" w:type="dxa"/>
            <w:vAlign w:val="center"/>
            <w:shd w:fill="FFFFFF" w:val="clear"/>
          </w:tcPr>
          <w:p>
            <w:pPr>
              <w:jc w:val="left"/>
              <w:spacing w:before="40" w:after="40" w:line="250" w:lineRule="auto"/>
            </w:pPr>
            <w:r>
              <w:rPr>
                <w:rFonts w:ascii="Times New Roman" w:hAnsi="Times New Roman" w:cs="Times New Roman" w:eastAsia="Times New Roman"/>
                <w:sz w:val="20"/>
                <w:szCs w:val="20"/>
                <w:color w:val="222222"/>
              </w:rPr>
              <w:t xml:space="preserve">30</w:t>
            </w:r>
          </w:p>
        </w:tc>
        <w:tc>
          <w:tcPr>
            <w:tcW w:w="3640" w:type="dxa"/>
            <w:vAlign w:val="center"/>
            <w:shd w:fill="FFFFFF" w:val="clear"/>
          </w:tcPr>
          <w:p>
            <w:pPr>
              <w:jc w:val="left"/>
              <w:spacing w:before="40" w:after="40" w:line="250" w:lineRule="auto"/>
            </w:pPr>
            <w:r>
              <w:rPr>
                <w:rFonts w:ascii="Times New Roman" w:hAnsi="Times New Roman" w:cs="Times New Roman" w:eastAsia="Times New Roman"/>
                <w:sz w:val="20"/>
                <w:szCs w:val="20"/>
                <w:color w:val="222222"/>
              </w:rPr>
              <w:t xml:space="preserve">Bounded concurrency for the demonstration</w:t>
            </w:r>
          </w:p>
        </w:tc>
      </w:tr>
      <w:tr>
        <w:tc>
          <w:tcPr>
            <w:tcW w:w="2400" w:type="dxa"/>
            <w:vAlign w:val="center"/>
            <w:shd w:fill="F3F6FA" w:val="clear"/>
          </w:tcPr>
          <w:p>
            <w:pPr>
              <w:jc w:val="left"/>
              <w:spacing w:before="40" w:after="40" w:line="250" w:lineRule="auto"/>
            </w:pPr>
            <w:r>
              <w:rPr>
                <w:rFonts w:ascii="Times New Roman" w:hAnsi="Times New Roman" w:cs="Times New Roman" w:eastAsia="Times New Roman"/>
                <w:sz w:val="20"/>
                <w:szCs w:val="20"/>
                <w:color w:val="222222"/>
              </w:rPr>
              <w:t xml:space="preserve">HTTP requests</w:t>
            </w:r>
          </w:p>
        </w:tc>
        <w:tc>
          <w:tcPr>
            <w:tcW w:w="2600" w:type="dxa"/>
            <w:vAlign w:val="center"/>
            <w:shd w:fill="F3F6FA" w:val="clear"/>
          </w:tcPr>
          <w:p>
            <w:pPr>
              <w:jc w:val="left"/>
              <w:spacing w:before="40" w:after="40" w:line="250" w:lineRule="auto"/>
            </w:pPr>
            <w:r>
              <w:rPr>
                <w:rFonts w:ascii="Times New Roman" w:hAnsi="Times New Roman" w:cs="Times New Roman" w:eastAsia="Times New Roman"/>
                <w:sz w:val="20"/>
                <w:szCs w:val="20"/>
                <w:color w:val="222222"/>
              </w:rPr>
              <w:t xml:space="preserve">5,699</w:t>
            </w:r>
          </w:p>
        </w:tc>
        <w:tc>
          <w:tcPr>
            <w:tcW w:w="3640" w:type="dxa"/>
            <w:vAlign w:val="center"/>
            <w:shd w:fill="F3F6FA" w:val="clear"/>
          </w:tcPr>
          <w:p>
            <w:pPr>
              <w:jc w:val="left"/>
              <w:spacing w:before="40" w:after="40" w:line="250" w:lineRule="auto"/>
            </w:pPr>
            <w:r>
              <w:rPr>
                <w:rFonts w:ascii="Times New Roman" w:hAnsi="Times New Roman" w:cs="Times New Roman" w:eastAsia="Times New Roman"/>
                <w:sz w:val="20"/>
                <w:szCs w:val="20"/>
                <w:color w:val="222222"/>
              </w:rPr>
              <w:t xml:space="preserve">Read-only GET /api/tasks requests</w:t>
            </w:r>
          </w:p>
        </w:tc>
      </w:tr>
      <w:tr>
        <w:tc>
          <w:tcPr>
            <w:tcW w:w="2400" w:type="dxa"/>
            <w:vAlign w:val="center"/>
            <w:shd w:fill="FFFFFF" w:val="clear"/>
          </w:tcPr>
          <w:p>
            <w:pPr>
              <w:jc w:val="left"/>
              <w:spacing w:before="40" w:after="40" w:line="250" w:lineRule="auto"/>
            </w:pPr>
            <w:r>
              <w:rPr>
                <w:rFonts w:ascii="Times New Roman" w:hAnsi="Times New Roman" w:cs="Times New Roman" w:eastAsia="Times New Roman"/>
                <w:sz w:val="20"/>
                <w:szCs w:val="20"/>
                <w:color w:val="222222"/>
              </w:rPr>
              <w:t xml:space="preserve">Request rate</w:t>
            </w:r>
          </w:p>
        </w:tc>
        <w:tc>
          <w:tcPr>
            <w:tcW w:w="2600" w:type="dxa"/>
            <w:vAlign w:val="center"/>
            <w:shd w:fill="FFFFFF" w:val="clear"/>
          </w:tcPr>
          <w:p>
            <w:pPr>
              <w:jc w:val="left"/>
              <w:spacing w:before="40" w:after="40" w:line="250" w:lineRule="auto"/>
            </w:pPr>
            <w:r>
              <w:rPr>
                <w:rFonts w:ascii="Times New Roman" w:hAnsi="Times New Roman" w:cs="Times New Roman" w:eastAsia="Times New Roman"/>
                <w:sz w:val="20"/>
                <w:szCs w:val="20"/>
                <w:color w:val="222222"/>
              </w:rPr>
              <w:t xml:space="preserve">Approximately 43.7 requests/second</w:t>
            </w:r>
          </w:p>
        </w:tc>
        <w:tc>
          <w:tcPr>
            <w:tcW w:w="3640" w:type="dxa"/>
            <w:vAlign w:val="center"/>
            <w:shd w:fill="FFFFFF" w:val="clear"/>
          </w:tcPr>
          <w:p>
            <w:pPr>
              <w:jc w:val="left"/>
              <w:spacing w:before="40" w:after="40" w:line="250" w:lineRule="auto"/>
            </w:pPr>
            <w:r>
              <w:rPr>
                <w:rFonts w:ascii="Times New Roman" w:hAnsi="Times New Roman" w:cs="Times New Roman" w:eastAsia="Times New Roman"/>
                <w:sz w:val="20"/>
                <w:szCs w:val="20"/>
                <w:color w:val="222222"/>
              </w:rPr>
              <w:t xml:space="preserve">Throughput during the recorded run</w:t>
            </w:r>
          </w:p>
        </w:tc>
      </w:tr>
      <w:tr>
        <w:tc>
          <w:tcPr>
            <w:tcW w:w="2400" w:type="dxa"/>
            <w:vAlign w:val="center"/>
            <w:shd w:fill="F3F6FA" w:val="clear"/>
          </w:tcPr>
          <w:p>
            <w:pPr>
              <w:jc w:val="left"/>
              <w:spacing w:before="40" w:after="40" w:line="250" w:lineRule="auto"/>
            </w:pPr>
            <w:r>
              <w:rPr>
                <w:rFonts w:ascii="Times New Roman" w:hAnsi="Times New Roman" w:cs="Times New Roman" w:eastAsia="Times New Roman"/>
                <w:sz w:val="20"/>
                <w:szCs w:val="20"/>
                <w:color w:val="222222"/>
              </w:rPr>
              <w:t xml:space="preserve">Failed requests</w:t>
            </w:r>
          </w:p>
        </w:tc>
        <w:tc>
          <w:tcPr>
            <w:tcW w:w="2600" w:type="dxa"/>
            <w:vAlign w:val="center"/>
            <w:shd w:fill="F3F6FA" w:val="clear"/>
          </w:tcPr>
          <w:p>
            <w:pPr>
              <w:jc w:val="left"/>
              <w:spacing w:before="40" w:after="40" w:line="250" w:lineRule="auto"/>
            </w:pPr>
            <w:r>
              <w:rPr>
                <w:rFonts w:ascii="Times New Roman" w:hAnsi="Times New Roman" w:cs="Times New Roman" w:eastAsia="Times New Roman"/>
                <w:sz w:val="20"/>
                <w:szCs w:val="20"/>
                <w:color w:val="222222"/>
              </w:rPr>
              <w:t xml:space="preserve">0 (0.00%)</w:t>
            </w:r>
          </w:p>
        </w:tc>
        <w:tc>
          <w:tcPr>
            <w:tcW w:w="3640" w:type="dxa"/>
            <w:vAlign w:val="center"/>
            <w:shd w:fill="F3F6FA" w:val="clear"/>
          </w:tcPr>
          <w:p>
            <w:pPr>
              <w:jc w:val="left"/>
              <w:spacing w:before="40" w:after="40" w:line="250" w:lineRule="auto"/>
            </w:pPr>
            <w:r>
              <w:rPr>
                <w:rFonts w:ascii="Times New Roman" w:hAnsi="Times New Roman" w:cs="Times New Roman" w:eastAsia="Times New Roman"/>
                <w:sz w:val="20"/>
                <w:szCs w:val="20"/>
                <w:color w:val="222222"/>
              </w:rPr>
              <w:t xml:space="preserve">No request failures observed in this run</w:t>
            </w:r>
          </w:p>
        </w:tc>
      </w:tr>
      <w:tr>
        <w:tc>
          <w:tcPr>
            <w:tcW w:w="2400" w:type="dxa"/>
            <w:vAlign w:val="center"/>
            <w:shd w:fill="FFFFFF" w:val="clear"/>
          </w:tcPr>
          <w:p>
            <w:pPr>
              <w:jc w:val="left"/>
              <w:spacing w:before="40" w:after="40" w:line="250" w:lineRule="auto"/>
            </w:pPr>
            <w:r>
              <w:rPr>
                <w:rFonts w:ascii="Times New Roman" w:hAnsi="Times New Roman" w:cs="Times New Roman" w:eastAsia="Times New Roman"/>
                <w:sz w:val="20"/>
                <w:szCs w:val="20"/>
                <w:color w:val="222222"/>
              </w:rPr>
              <w:t xml:space="preserve">p95 response time</w:t>
            </w:r>
          </w:p>
        </w:tc>
        <w:tc>
          <w:tcPr>
            <w:tcW w:w="2600" w:type="dxa"/>
            <w:vAlign w:val="center"/>
            <w:shd w:fill="FFFFFF" w:val="clear"/>
          </w:tcPr>
          <w:p>
            <w:pPr>
              <w:jc w:val="left"/>
              <w:spacing w:before="40" w:after="40" w:line="250" w:lineRule="auto"/>
            </w:pPr>
            <w:r>
              <w:rPr>
                <w:rFonts w:ascii="Times New Roman" w:hAnsi="Times New Roman" w:cs="Times New Roman" w:eastAsia="Times New Roman"/>
                <w:sz w:val="20"/>
                <w:szCs w:val="20"/>
                <w:color w:val="222222"/>
              </w:rPr>
              <w:t xml:space="preserve">403.98 ms</w:t>
            </w:r>
          </w:p>
        </w:tc>
        <w:tc>
          <w:tcPr>
            <w:tcW w:w="3640" w:type="dxa"/>
            <w:vAlign w:val="center"/>
            <w:shd w:fill="FFFFFF" w:val="clear"/>
          </w:tcPr>
          <w:p>
            <w:pPr>
              <w:jc w:val="left"/>
              <w:spacing w:before="40" w:after="40" w:line="250" w:lineRule="auto"/>
            </w:pPr>
            <w:r>
              <w:rPr>
                <w:rFonts w:ascii="Times New Roman" w:hAnsi="Times New Roman" w:cs="Times New Roman" w:eastAsia="Times New Roman"/>
                <w:sz w:val="20"/>
                <w:szCs w:val="20"/>
                <w:color w:val="222222"/>
              </w:rPr>
              <w:t xml:space="preserve">95% of observed requests completed within this time</w:t>
            </w:r>
          </w:p>
        </w:tc>
      </w:tr>
    </w:tbl>
    <w:p>
      <w:pPr>
        <w:jc w:val="center"/>
        <w:spacing w:before="120" w:after="50" w:line="240" w:lineRule="auto"/>
      </w:pPr>
      <w:r>
        <w:rPr>
          <w:rFonts w:ascii="Times New Roman" w:hAnsi="Times New Roman" w:cs="Times New Roman" w:eastAsia="Times New Roman"/>
          <w:sz w:val="20"/>
          <w:szCs w:val="20"/>
          <w:i/>
          <w:color w:val="404040"/>
        </w:rPr>
        <w:t xml:space="preserve">Table 3.1: Recorded results from the bounded k6 workload.</w:t>
      </w:r>
    </w:p>
    <w:p>
      <w:pPr>
        <w:jc w:val="both"/>
        <w:spacing w:before="0" w:after="150" w:line="300" w:lineRule="auto"/>
        <w:ind w:left="0" w:firstLine="360"/>
      </w:pPr>
      <w:r>
        <w:rPr>
          <w:rFonts w:ascii="Times New Roman" w:hAnsi="Times New Roman" w:cs="Times New Roman" w:eastAsia="Times New Roman"/>
          <w:sz w:val="24"/>
          <w:szCs w:val="24"/>
          <w:color w:val="222222"/>
        </w:rPr>
        <w:t xml:space="preserve">The result indicates that this deployment served the tested read-only workload without failed GET requests during the measured run. It does not characterize write throughput, long-duration stability, performance under database contention, or behavior with a larger cluster.</w:t>
      </w:r>
    </w:p>
    <w:p>
      <w:pPr>
        <w:spacing w:before="240" w:after="100" w:line="300" w:lineRule="auto"/>
        <w:keepNext/>
      </w:pPr>
      <w:r>
        <w:rPr>
          <w:rFonts w:ascii="Times New Roman" w:hAnsi="Times New Roman" w:cs="Times New Roman" w:eastAsia="Times New Roman"/>
          <w:sz w:val="26"/>
          <w:szCs w:val="26"/>
          <w:b/>
          <w:color w:val="1F4E79"/>
        </w:rPr>
        <w:t xml:space="preserve">3.2 Autoscaling results</w:t>
      </w:r>
    </w:p>
    <w:tbl>
      <w:tblPr>
        <w:tblW w:w="8640" w:type="dxa"/>
        <w:tblLayout w:type="fixed"/>
        <w:tblBorders>
          <w:top w:val="single" w:sz="5" w:space="0" w:color="B4C7E7"/>
          <w:left w:val="single" w:sz="5" w:space="0" w:color="B4C7E7"/>
          <w:bottom w:val="single" w:sz="5" w:space="0" w:color="B4C7E7"/>
          <w:right w:val="single" w:sz="5" w:space="0" w:color="B4C7E7"/>
          <w:insideH w:val="single" w:sz="5" w:space="0" w:color="B4C7E7"/>
          <w:insideV w:val="single" w:sz="5" w:space="0" w:color="B4C7E7"/>
        </w:tblBorders>
      </w:tblPr>
      <w:tblGrid>
        <w:gridCol w:w="1900"/>
        <w:gridCol w:w="3900"/>
        <w:gridCol w:w="2840"/>
      </w:tblGrid>
      <w:tr>
        <w:trPr>
          <w:tblHeader/>
        </w:trPr>
        <w:tc>
          <w:tcPr>
            <w:tcW w:w="1900" w:type="dxa"/>
            <w:vAlign w:val="center"/>
            <w:shd w:fill="1F4E79" w:val="clear"/>
          </w:tcPr>
          <w:p>
            <w:pPr>
              <w:jc w:val="left"/>
              <w:spacing w:before="40" w:after="40" w:line="250" w:lineRule="auto"/>
            </w:pPr>
            <w:r>
              <w:rPr>
                <w:rFonts w:ascii="Times New Roman" w:hAnsi="Times New Roman" w:cs="Times New Roman" w:eastAsia="Times New Roman"/>
                <w:sz w:val="20"/>
                <w:szCs w:val="20"/>
                <w:b/>
                <w:color w:val="FFFFFF"/>
              </w:rPr>
              <w:t xml:space="preserve">Phase</w:t>
            </w:r>
          </w:p>
        </w:tc>
        <w:tc>
          <w:tcPr>
            <w:tcW w:w="3900" w:type="dxa"/>
            <w:vAlign w:val="center"/>
            <w:shd w:fill="1F4E79" w:val="clear"/>
          </w:tcPr>
          <w:p>
            <w:pPr>
              <w:jc w:val="left"/>
              <w:spacing w:before="40" w:after="40" w:line="250" w:lineRule="auto"/>
            </w:pPr>
            <w:r>
              <w:rPr>
                <w:rFonts w:ascii="Times New Roman" w:hAnsi="Times New Roman" w:cs="Times New Roman" w:eastAsia="Times New Roman"/>
                <w:sz w:val="20"/>
                <w:szCs w:val="20"/>
                <w:b/>
                <w:color w:val="FFFFFF"/>
              </w:rPr>
              <w:t xml:space="preserve">HPA / pod observation</w:t>
            </w:r>
          </w:p>
        </w:tc>
        <w:tc>
          <w:tcPr>
            <w:tcW w:w="2840" w:type="dxa"/>
            <w:vAlign w:val="center"/>
            <w:shd w:fill="1F4E79" w:val="clear"/>
          </w:tcPr>
          <w:p>
            <w:pPr>
              <w:jc w:val="left"/>
              <w:spacing w:before="40" w:after="40" w:line="250" w:lineRule="auto"/>
            </w:pPr>
            <w:r>
              <w:rPr>
                <w:rFonts w:ascii="Times New Roman" w:hAnsi="Times New Roman" w:cs="Times New Roman" w:eastAsia="Times New Roman"/>
                <w:sz w:val="20"/>
                <w:szCs w:val="20"/>
                <w:b/>
                <w:color w:val="FFFFFF"/>
              </w:rPr>
              <w:t xml:space="preserve">Result</w:t>
            </w:r>
          </w:p>
        </w:tc>
      </w:tr>
      <w:tr>
        <w:tc>
          <w:tcPr>
            <w:tcW w:w="1900" w:type="dxa"/>
            <w:vAlign w:val="center"/>
            <w:shd w:fill="FFFFFF" w:val="clear"/>
          </w:tcPr>
          <w:p>
            <w:pPr>
              <w:jc w:val="left"/>
              <w:spacing w:before="40" w:after="40" w:line="250" w:lineRule="auto"/>
            </w:pPr>
            <w:r>
              <w:rPr>
                <w:rFonts w:ascii="Times New Roman" w:hAnsi="Times New Roman" w:cs="Times New Roman" w:eastAsia="Times New Roman"/>
                <w:sz w:val="20"/>
                <w:szCs w:val="20"/>
                <w:color w:val="222222"/>
              </w:rPr>
              <w:t xml:space="preserve">Before load</w:t>
            </w:r>
          </w:p>
        </w:tc>
        <w:tc>
          <w:tcPr>
            <w:tcW w:w="3900" w:type="dxa"/>
            <w:vAlign w:val="center"/>
            <w:shd w:fill="FFFFFF" w:val="clear"/>
          </w:tcPr>
          <w:p>
            <w:pPr>
              <w:jc w:val="left"/>
              <w:spacing w:before="40" w:after="40" w:line="250" w:lineRule="auto"/>
            </w:pPr>
            <w:r>
              <w:rPr>
                <w:rFonts w:ascii="Times New Roman" w:hAnsi="Times New Roman" w:cs="Times New Roman" w:eastAsia="Times New Roman"/>
                <w:sz w:val="20"/>
                <w:szCs w:val="20"/>
                <w:color w:val="222222"/>
              </w:rPr>
              <w:t xml:space="preserve">1 replica; target CPU 60%</w:t>
            </w:r>
          </w:p>
        </w:tc>
        <w:tc>
          <w:tcPr>
            <w:tcW w:w="2840" w:type="dxa"/>
            <w:vAlign w:val="center"/>
            <w:shd w:fill="FFFFFF" w:val="clear"/>
          </w:tcPr>
          <w:p>
            <w:pPr>
              <w:jc w:val="left"/>
              <w:spacing w:before="40" w:after="40" w:line="250" w:lineRule="auto"/>
            </w:pPr>
            <w:r>
              <w:rPr>
                <w:rFonts w:ascii="Times New Roman" w:hAnsi="Times New Roman" w:cs="Times New Roman" w:eastAsia="Times New Roman"/>
                <w:sz w:val="20"/>
                <w:szCs w:val="20"/>
                <w:color w:val="222222"/>
              </w:rPr>
              <w:t xml:space="preserve">Baseline Deployment 1/1 Ready</w:t>
            </w:r>
          </w:p>
        </w:tc>
      </w:tr>
      <w:tr>
        <w:tc>
          <w:tcPr>
            <w:tcW w:w="1900" w:type="dxa"/>
            <w:vAlign w:val="center"/>
            <w:shd w:fill="F3F6FA" w:val="clear"/>
          </w:tcPr>
          <w:p>
            <w:pPr>
              <w:jc w:val="left"/>
              <w:spacing w:before="40" w:after="40" w:line="250" w:lineRule="auto"/>
            </w:pPr>
            <w:r>
              <w:rPr>
                <w:rFonts w:ascii="Times New Roman" w:hAnsi="Times New Roman" w:cs="Times New Roman" w:eastAsia="Times New Roman"/>
                <w:sz w:val="20"/>
                <w:szCs w:val="20"/>
                <w:color w:val="222222"/>
              </w:rPr>
              <w:t xml:space="preserve">During load</w:t>
            </w:r>
          </w:p>
        </w:tc>
        <w:tc>
          <w:tcPr>
            <w:tcW w:w="3900" w:type="dxa"/>
            <w:vAlign w:val="center"/>
            <w:shd w:fill="F3F6FA" w:val="clear"/>
          </w:tcPr>
          <w:p>
            <w:pPr>
              <w:jc w:val="left"/>
              <w:spacing w:before="40" w:after="40" w:line="250" w:lineRule="auto"/>
            </w:pPr>
            <w:r>
              <w:rPr>
                <w:rFonts w:ascii="Times New Roman" w:hAnsi="Times New Roman" w:cs="Times New Roman" w:eastAsia="Times New Roman"/>
                <w:sz w:val="20"/>
                <w:szCs w:val="20"/>
                <w:color w:val="222222"/>
              </w:rPr>
              <w:t xml:space="preserve">CPU reached 319% of the pod CPU request; desired replicas rose to 2</w:t>
            </w:r>
          </w:p>
        </w:tc>
        <w:tc>
          <w:tcPr>
            <w:tcW w:w="2840" w:type="dxa"/>
            <w:vAlign w:val="center"/>
            <w:shd w:fill="F3F6FA" w:val="clear"/>
          </w:tcPr>
          <w:p>
            <w:pPr>
              <w:jc w:val="left"/>
              <w:spacing w:before="40" w:after="40" w:line="250" w:lineRule="auto"/>
            </w:pPr>
            <w:r>
              <w:rPr>
                <w:rFonts w:ascii="Times New Roman" w:hAnsi="Times New Roman" w:cs="Times New Roman" w:eastAsia="Times New Roman"/>
                <w:sz w:val="20"/>
                <w:szCs w:val="20"/>
                <w:color w:val="222222"/>
              </w:rPr>
              <w:t xml:space="preserve">Both API pods reached 1/1 Running</w:t>
            </w:r>
          </w:p>
        </w:tc>
      </w:tr>
      <w:tr>
        <w:tc>
          <w:tcPr>
            <w:tcW w:w="1900" w:type="dxa"/>
            <w:vAlign w:val="center"/>
            <w:shd w:fill="FFFFFF" w:val="clear"/>
          </w:tcPr>
          <w:p>
            <w:pPr>
              <w:jc w:val="left"/>
              <w:spacing w:before="40" w:after="40" w:line="250" w:lineRule="auto"/>
            </w:pPr>
            <w:r>
              <w:rPr>
                <w:rFonts w:ascii="Times New Roman" w:hAnsi="Times New Roman" w:cs="Times New Roman" w:eastAsia="Times New Roman"/>
                <w:sz w:val="20"/>
                <w:szCs w:val="20"/>
                <w:color w:val="222222"/>
              </w:rPr>
              <w:t xml:space="preserve">After load</w:t>
            </w:r>
          </w:p>
        </w:tc>
        <w:tc>
          <w:tcPr>
            <w:tcW w:w="3900" w:type="dxa"/>
            <w:vAlign w:val="center"/>
            <w:shd w:fill="FFFFFF" w:val="clear"/>
          </w:tcPr>
          <w:p>
            <w:pPr>
              <w:jc w:val="left"/>
              <w:spacing w:before="40" w:after="40" w:line="250" w:lineRule="auto"/>
            </w:pPr>
            <w:r>
              <w:rPr>
                <w:rFonts w:ascii="Times New Roman" w:hAnsi="Times New Roman" w:cs="Times New Roman" w:eastAsia="Times New Roman"/>
                <w:sz w:val="20"/>
                <w:szCs w:val="20"/>
                <w:color w:val="222222"/>
              </w:rPr>
              <w:t xml:space="preserve">After the 180-second stabilization period, replicas returned to 1</w:t>
            </w:r>
          </w:p>
        </w:tc>
        <w:tc>
          <w:tcPr>
            <w:tcW w:w="2840" w:type="dxa"/>
            <w:vAlign w:val="center"/>
            <w:shd w:fill="FFFFFF" w:val="clear"/>
          </w:tcPr>
          <w:p>
            <w:pPr>
              <w:jc w:val="left"/>
              <w:spacing w:before="40" w:after="40" w:line="250" w:lineRule="auto"/>
            </w:pPr>
            <w:r>
              <w:rPr>
                <w:rFonts w:ascii="Times New Roman" w:hAnsi="Times New Roman" w:cs="Times New Roman" w:eastAsia="Times New Roman"/>
                <w:sz w:val="20"/>
                <w:szCs w:val="20"/>
                <w:color w:val="222222"/>
              </w:rPr>
              <w:t xml:space="preserve">Deployment returned to 1/1 Available</w:t>
            </w:r>
          </w:p>
        </w:tc>
      </w:tr>
    </w:tbl>
    <w:p>
      <w:pPr>
        <w:jc w:val="center"/>
        <w:spacing w:before="120" w:after="50" w:line="240" w:lineRule="auto"/>
      </w:pPr>
      <w:r>
        <w:rPr>
          <w:rFonts w:ascii="Times New Roman" w:hAnsi="Times New Roman" w:cs="Times New Roman" w:eastAsia="Times New Roman"/>
          <w:sz w:val="20"/>
          <w:szCs w:val="20"/>
          <w:i/>
          <w:color w:val="404040"/>
        </w:rPr>
        <w:t xml:space="preserve">Table 3.2: HPA observations during and after the load run.</w:t>
      </w:r>
    </w:p>
    <w:p>
      <w:pPr>
        <w:jc w:val="both"/>
        <w:spacing w:before="0" w:after="150" w:line="300" w:lineRule="auto"/>
        <w:ind w:left="0" w:firstLine="360"/>
      </w:pPr>
      <w:r>
        <w:rPr>
          <w:rFonts w:ascii="Times New Roman" w:hAnsi="Times New Roman" w:cs="Times New Roman" w:eastAsia="Times New Roman"/>
          <w:sz w:val="24"/>
          <w:szCs w:val="24"/>
          <w:color w:val="222222"/>
        </w:rPr>
        <w:t xml:space="preserve">The HPA target is relative to the configured CPU request, not a percentage of the entire EC2 host's CPU. The observed peak of 319% therefore means the measured pod CPU was substantially above its request. The HPA successfully added one pod, but the configured maximum of two and the single-node cluster bound the experiment. Scale-down occurred after the configured stabilization delay.</w:t>
      </w:r>
    </w:p>
    <w:p>
      <w:pPr>
        <w:spacing w:before="240" w:after="100" w:line="300" w:lineRule="auto"/>
        <w:keepNext/>
      </w:pPr>
      <w:r>
        <w:rPr>
          <w:rFonts w:ascii="Times New Roman" w:hAnsi="Times New Roman" w:cs="Times New Roman" w:eastAsia="Times New Roman"/>
          <w:sz w:val="26"/>
          <w:szCs w:val="26"/>
          <w:b/>
          <w:color w:val="1F4E79"/>
        </w:rPr>
        <w:t xml:space="preserve">3.3 Recovery and CI results</w:t>
      </w:r>
    </w:p>
    <w:tbl>
      <w:tblPr>
        <w:tblW w:w="8640" w:type="dxa"/>
        <w:tblLayout w:type="fixed"/>
        <w:tblBorders>
          <w:top w:val="single" w:sz="5" w:space="0" w:color="B4C7E7"/>
          <w:left w:val="single" w:sz="5" w:space="0" w:color="B4C7E7"/>
          <w:bottom w:val="single" w:sz="5" w:space="0" w:color="B4C7E7"/>
          <w:right w:val="single" w:sz="5" w:space="0" w:color="B4C7E7"/>
          <w:insideH w:val="single" w:sz="5" w:space="0" w:color="B4C7E7"/>
          <w:insideV w:val="single" w:sz="5" w:space="0" w:color="B4C7E7"/>
        </w:tblBorders>
      </w:tblPr>
      <w:tblGrid>
        <w:gridCol w:w="1900"/>
        <w:gridCol w:w="3900"/>
        <w:gridCol w:w="2840"/>
      </w:tblGrid>
      <w:tr>
        <w:trPr>
          <w:tblHeader/>
        </w:trPr>
        <w:tc>
          <w:tcPr>
            <w:tcW w:w="1900" w:type="dxa"/>
            <w:vAlign w:val="center"/>
            <w:shd w:fill="1F4E79" w:val="clear"/>
          </w:tcPr>
          <w:p>
            <w:pPr>
              <w:jc w:val="left"/>
              <w:spacing w:before="40" w:after="40" w:line="250" w:lineRule="auto"/>
            </w:pPr>
            <w:r>
              <w:rPr>
                <w:rFonts w:ascii="Times New Roman" w:hAnsi="Times New Roman" w:cs="Times New Roman" w:eastAsia="Times New Roman"/>
                <w:sz w:val="19"/>
                <w:szCs w:val="19"/>
                <w:b/>
                <w:color w:val="FFFFFF"/>
              </w:rPr>
              <w:t xml:space="preserve">Exercise</w:t>
            </w:r>
          </w:p>
        </w:tc>
        <w:tc>
          <w:tcPr>
            <w:tcW w:w="3900" w:type="dxa"/>
            <w:vAlign w:val="center"/>
            <w:shd w:fill="1F4E79" w:val="clear"/>
          </w:tcPr>
          <w:p>
            <w:pPr>
              <w:jc w:val="left"/>
              <w:spacing w:before="40" w:after="40" w:line="250" w:lineRule="auto"/>
            </w:pPr>
            <w:r>
              <w:rPr>
                <w:rFonts w:ascii="Times New Roman" w:hAnsi="Times New Roman" w:cs="Times New Roman" w:eastAsia="Times New Roman"/>
                <w:sz w:val="19"/>
                <w:szCs w:val="19"/>
                <w:b/>
                <w:color w:val="FFFFFF"/>
              </w:rPr>
              <w:t xml:space="preserve">Observed result</w:t>
            </w:r>
          </w:p>
        </w:tc>
        <w:tc>
          <w:tcPr>
            <w:tcW w:w="2840" w:type="dxa"/>
            <w:vAlign w:val="center"/>
            <w:shd w:fill="1F4E79" w:val="clear"/>
          </w:tcPr>
          <w:p>
            <w:pPr>
              <w:jc w:val="left"/>
              <w:spacing w:before="40" w:after="40" w:line="250" w:lineRule="auto"/>
            </w:pPr>
            <w:r>
              <w:rPr>
                <w:rFonts w:ascii="Times New Roman" w:hAnsi="Times New Roman" w:cs="Times New Roman" w:eastAsia="Times New Roman"/>
                <w:sz w:val="19"/>
                <w:szCs w:val="19"/>
                <w:b/>
                <w:color w:val="FFFFFF"/>
              </w:rPr>
              <w:t xml:space="preserve">What it demonstrates</w:t>
            </w:r>
          </w:p>
        </w:tc>
      </w:tr>
      <w:tr>
        <w:tc>
          <w:tcPr>
            <w:tcW w:w="1900" w:type="dxa"/>
            <w:vAlign w:val="center"/>
            <w:shd w:fill="FFFFFF" w:val="clear"/>
          </w:tcPr>
          <w:p>
            <w:pPr>
              <w:jc w:val="left"/>
              <w:spacing w:before="40" w:after="40" w:line="250" w:lineRule="auto"/>
            </w:pPr>
            <w:r>
              <w:rPr>
                <w:rFonts w:ascii="Times New Roman" w:hAnsi="Times New Roman" w:cs="Times New Roman" w:eastAsia="Times New Roman"/>
                <w:sz w:val="19"/>
                <w:szCs w:val="19"/>
                <w:color w:val="222222"/>
              </w:rPr>
              <w:t xml:space="preserve">Delete an API pod</w:t>
            </w:r>
          </w:p>
        </w:tc>
        <w:tc>
          <w:tcPr>
            <w:tcW w:w="3900" w:type="dxa"/>
            <w:vAlign w:val="center"/>
            <w:shd w:fill="FFFFFF" w:val="clear"/>
          </w:tcPr>
          <w:p>
            <w:pPr>
              <w:jc w:val="left"/>
              <w:spacing w:before="40" w:after="40" w:line="250" w:lineRule="auto"/>
            </w:pPr>
            <w:r>
              <w:rPr>
                <w:rFonts w:ascii="Times New Roman" w:hAnsi="Times New Roman" w:cs="Times New Roman" w:eastAsia="Times New Roman"/>
                <w:sz w:val="19"/>
                <w:szCs w:val="19"/>
                <w:color w:val="222222"/>
              </w:rPr>
              <w:t xml:space="preserve">Deployment created a replacement pod; replacement reached 1/1 Running</w:t>
            </w:r>
          </w:p>
        </w:tc>
        <w:tc>
          <w:tcPr>
            <w:tcW w:w="2840" w:type="dxa"/>
            <w:vAlign w:val="center"/>
            <w:shd w:fill="FFFFFF" w:val="clear"/>
          </w:tcPr>
          <w:p>
            <w:pPr>
              <w:jc w:val="left"/>
              <w:spacing w:before="40" w:after="40" w:line="250" w:lineRule="auto"/>
            </w:pPr>
            <w:r>
              <w:rPr>
                <w:rFonts w:ascii="Times New Roman" w:hAnsi="Times New Roman" w:cs="Times New Roman" w:eastAsia="Times New Roman"/>
                <w:sz w:val="19"/>
                <w:szCs w:val="19"/>
                <w:color w:val="222222"/>
              </w:rPr>
              <w:t xml:space="preserve">Controller reconciliation restores desired pod count</w:t>
            </w:r>
          </w:p>
        </w:tc>
      </w:tr>
      <w:tr>
        <w:tc>
          <w:tcPr>
            <w:tcW w:w="1900" w:type="dxa"/>
            <w:vAlign w:val="center"/>
            <w:shd w:fill="F3F6FA" w:val="clear"/>
          </w:tcPr>
          <w:p>
            <w:pPr>
              <w:jc w:val="left"/>
              <w:spacing w:before="40" w:after="40" w:line="250" w:lineRule="auto"/>
            </w:pPr>
            <w:r>
              <w:rPr>
                <w:rFonts w:ascii="Times New Roman" w:hAnsi="Times New Roman" w:cs="Times New Roman" w:eastAsia="Times New Roman"/>
                <w:sz w:val="19"/>
                <w:szCs w:val="19"/>
                <w:color w:val="222222"/>
              </w:rPr>
              <w:t xml:space="preserve">Pause Java process</w:t>
            </w:r>
          </w:p>
        </w:tc>
        <w:tc>
          <w:tcPr>
            <w:tcW w:w="3900" w:type="dxa"/>
            <w:vAlign w:val="center"/>
            <w:shd w:fill="F3F6FA" w:val="clear"/>
          </w:tcPr>
          <w:p>
            <w:pPr>
              <w:jc w:val="left"/>
              <w:spacing w:before="40" w:after="40" w:line="250" w:lineRule="auto"/>
            </w:pPr>
            <w:r>
              <w:rPr>
                <w:rFonts w:ascii="Times New Roman" w:hAnsi="Times New Roman" w:cs="Times New Roman" w:eastAsia="Times New Roman"/>
                <w:sz w:val="19"/>
                <w:szCs w:val="19"/>
                <w:color w:val="222222"/>
              </w:rPr>
              <w:t xml:space="preserve">Liveness probe failed, container restart count became 1, readiness returned UP</w:t>
            </w:r>
          </w:p>
        </w:tc>
        <w:tc>
          <w:tcPr>
            <w:tcW w:w="2840" w:type="dxa"/>
            <w:vAlign w:val="center"/>
            <w:shd w:fill="F3F6FA" w:val="clear"/>
          </w:tcPr>
          <w:p>
            <w:pPr>
              <w:jc w:val="left"/>
              <w:spacing w:before="40" w:after="40" w:line="250" w:lineRule="auto"/>
            </w:pPr>
            <w:r>
              <w:rPr>
                <w:rFonts w:ascii="Times New Roman" w:hAnsi="Times New Roman" w:cs="Times New Roman" w:eastAsia="Times New Roman"/>
                <w:sz w:val="19"/>
                <w:szCs w:val="19"/>
                <w:color w:val="222222"/>
              </w:rPr>
              <w:t xml:space="preserve">Probe-driven container restart and recovery</w:t>
            </w:r>
          </w:p>
        </w:tc>
      </w:tr>
      <w:tr>
        <w:tc>
          <w:tcPr>
            <w:tcW w:w="1900" w:type="dxa"/>
            <w:vAlign w:val="center"/>
            <w:shd w:fill="FFFFFF" w:val="clear"/>
          </w:tcPr>
          <w:p>
            <w:pPr>
              <w:jc w:val="left"/>
              <w:spacing w:before="40" w:after="40" w:line="250" w:lineRule="auto"/>
            </w:pPr>
            <w:r>
              <w:rPr>
                <w:rFonts w:ascii="Times New Roman" w:hAnsi="Times New Roman" w:cs="Times New Roman" w:eastAsia="Times New Roman"/>
                <w:sz w:val="19"/>
                <w:szCs w:val="19"/>
                <w:color w:val="222222"/>
              </w:rPr>
              <w:t xml:space="preserve">GitHub Actions CI</w:t>
            </w:r>
          </w:p>
        </w:tc>
        <w:tc>
          <w:tcPr>
            <w:tcW w:w="3900" w:type="dxa"/>
            <w:vAlign w:val="center"/>
            <w:shd w:fill="FFFFFF" w:val="clear"/>
          </w:tcPr>
          <w:p>
            <w:pPr>
              <w:jc w:val="left"/>
              <w:spacing w:before="40" w:after="40" w:line="250" w:lineRule="auto"/>
            </w:pPr>
            <w:r>
              <w:rPr>
                <w:rFonts w:ascii="Times New Roman" w:hAnsi="Times New Roman" w:cs="Times New Roman" w:eastAsia="Times New Roman"/>
                <w:sz w:val="19"/>
                <w:szCs w:val="19"/>
                <w:color w:val="222222"/>
              </w:rPr>
              <w:t xml:space="preserve">Application test/package/container build and Terraform format/validation passed</w:t>
            </w:r>
          </w:p>
        </w:tc>
        <w:tc>
          <w:tcPr>
            <w:tcW w:w="2840" w:type="dxa"/>
            <w:vAlign w:val="center"/>
            <w:shd w:fill="FFFFFF" w:val="clear"/>
          </w:tcPr>
          <w:p>
            <w:pPr>
              <w:jc w:val="left"/>
              <w:spacing w:before="40" w:after="40" w:line="250" w:lineRule="auto"/>
            </w:pPr>
            <w:r>
              <w:rPr>
                <w:rFonts w:ascii="Times New Roman" w:hAnsi="Times New Roman" w:cs="Times New Roman" w:eastAsia="Times New Roman"/>
                <w:sz w:val="19"/>
                <w:szCs w:val="19"/>
                <w:color w:val="222222"/>
              </w:rPr>
              <w:t xml:space="preserve">Build and infrastructure configuration checks; no automatic AWS deploy</w:t>
            </w:r>
          </w:p>
        </w:tc>
      </w:tr>
    </w:tbl>
    <w:p>
      <w:pPr>
        <w:jc w:val="center"/>
        <w:spacing w:before="120" w:after="50" w:line="240" w:lineRule="auto"/>
      </w:pPr>
      <w:r>
        <w:rPr>
          <w:rFonts w:ascii="Times New Roman" w:hAnsi="Times New Roman" w:cs="Times New Roman" w:eastAsia="Times New Roman"/>
          <w:sz w:val="20"/>
          <w:szCs w:val="20"/>
          <w:i/>
          <w:color w:val="404040"/>
        </w:rPr>
        <w:t xml:space="preserve">Table 3.3: Recovery exercises and continuous-integration checks.</w:t>
      </w:r>
    </w:p>
    <w:p>
      <w:pPr>
        <w:jc w:val="both"/>
        <w:spacing w:before="0" w:after="150" w:line="300" w:lineRule="auto"/>
        <w:ind w:left="0" w:firstLine="360"/>
      </w:pPr>
      <w:r>
        <w:rPr>
          <w:rFonts w:ascii="Times New Roman" w:hAnsi="Times New Roman" w:cs="Times New Roman" w:eastAsia="Times New Roman"/>
          <w:sz w:val="24"/>
          <w:szCs w:val="24"/>
          <w:color w:val="222222"/>
        </w:rPr>
        <w:t xml:space="preserve">The pod deletion test first encountered an expired ECR pull credential, so the replacement could not initially retrieve its image. After refreshing the pull secret, a replacement pod became ready. This is a practical operational limitation: ECR authorization tokens expire after 12 hours, and the demo currently needs a refresh before later image pulls. GitHub Actions validates and packages the project but does not yet publish the image to ECR or roll out a deployment. The recorded CI run is [9]. A read-only AWS check confirmed the Sydney account and demo instance, but the intended student-task-manager-github-actions role is absent. AWS Organizations SCP p-dz3d6hmi explicitly denied iam:CreateOpenIDConnectProvider and iam:GetOpenIDConnectProvider. An Organizations administrator must allow the OIDC setup or create the provider and role; the GitHub aws-demo environment and repository variables also remain unconfigured. No image publication or release deployment has been triggered.</w:t>
      </w:r>
    </w:p>
    <w:p>
      <w:pPr>
        <w:spacing w:before="240" w:after="100" w:line="300" w:lineRule="auto"/>
        <w:keepNext/>
      </w:pPr>
      <w:r>
        <w:rPr>
          <w:rFonts w:ascii="Times New Roman" w:hAnsi="Times New Roman" w:cs="Times New Roman" w:eastAsia="Times New Roman"/>
          <w:sz w:val="26"/>
          <w:szCs w:val="26"/>
          <w:b/>
          <w:color w:val="1F4E79"/>
        </w:rPr>
        <w:t xml:space="preserve">3.4 Monitoring results</w:t>
      </w:r>
    </w:p>
    <w:tbl>
      <w:tblPr>
        <w:tblW w:w="8640" w:type="dxa"/>
        <w:tblLayout w:type="fixed"/>
        <w:tblBorders>
          <w:top w:val="single" w:sz="5" w:space="0" w:color="B4C7E7"/>
          <w:left w:val="single" w:sz="5" w:space="0" w:color="B4C7E7"/>
          <w:bottom w:val="single" w:sz="5" w:space="0" w:color="B4C7E7"/>
          <w:right w:val="single" w:sz="5" w:space="0" w:color="B4C7E7"/>
          <w:insideH w:val="single" w:sz="5" w:space="0" w:color="B4C7E7"/>
          <w:insideV w:val="single" w:sz="5" w:space="0" w:color="B4C7E7"/>
        </w:tblBorders>
      </w:tblPr>
      <w:tblGrid>
        <w:gridCol w:w="2700"/>
        <w:gridCol w:w="5940"/>
      </w:tblGrid>
      <w:tr>
        <w:trPr>
          <w:tblHeader/>
        </w:trPr>
        <w:tc>
          <w:tcPr>
            <w:tcW w:w="2700" w:type="dxa"/>
            <w:vAlign w:val="center"/>
            <w:shd w:fill="1F4E79" w:val="clear"/>
          </w:tcPr>
          <w:p>
            <w:pPr>
              <w:jc w:val="left"/>
              <w:spacing w:before="40" w:after="40" w:line="250" w:lineRule="auto"/>
            </w:pPr>
            <w:r>
              <w:rPr>
                <w:rFonts w:ascii="Times New Roman" w:hAnsi="Times New Roman" w:cs="Times New Roman" w:eastAsia="Times New Roman"/>
                <w:sz w:val="19"/>
                <w:szCs w:val="19"/>
                <w:b/>
                <w:color w:val="FFFFFF"/>
              </w:rPr>
              <w:t xml:space="preserve">Component / signal</w:t>
            </w:r>
          </w:p>
        </w:tc>
        <w:tc>
          <w:tcPr>
            <w:tcW w:w="5940" w:type="dxa"/>
            <w:vAlign w:val="center"/>
            <w:shd w:fill="1F4E79" w:val="clear"/>
          </w:tcPr>
          <w:p>
            <w:pPr>
              <w:jc w:val="left"/>
              <w:spacing w:before="40" w:after="40" w:line="250" w:lineRule="auto"/>
            </w:pPr>
            <w:r>
              <w:rPr>
                <w:rFonts w:ascii="Times New Roman" w:hAnsi="Times New Roman" w:cs="Times New Roman" w:eastAsia="Times New Roman"/>
                <w:sz w:val="19"/>
                <w:szCs w:val="19"/>
                <w:b/>
                <w:color w:val="FFFFFF"/>
              </w:rPr>
              <w:t xml:space="preserve">Recorded observation</w:t>
            </w:r>
          </w:p>
        </w:tc>
      </w:tr>
      <w:tr>
        <w:tc>
          <w:tcPr>
            <w:tcW w:w="2700" w:type="dxa"/>
            <w:vAlign w:val="center"/>
            <w:shd w:fill="FFFFFF" w:val="clear"/>
          </w:tcPr>
          <w:p>
            <w:pPr>
              <w:jc w:val="left"/>
              <w:spacing w:before="40" w:after="40" w:line="250" w:lineRule="auto"/>
            </w:pPr>
            <w:r>
              <w:rPr>
                <w:rFonts w:ascii="Times New Roman" w:hAnsi="Times New Roman" w:cs="Times New Roman" w:eastAsia="Times New Roman"/>
                <w:sz w:val="19"/>
                <w:szCs w:val="19"/>
                <w:color w:val="222222"/>
              </w:rPr>
              <w:t xml:space="preserve">Prometheus targets</w:t>
            </w:r>
          </w:p>
        </w:tc>
        <w:tc>
          <w:tcPr>
            <w:tcW w:w="5940" w:type="dxa"/>
            <w:vAlign w:val="center"/>
            <w:shd w:fill="FFFFFF" w:val="clear"/>
          </w:tcPr>
          <w:p>
            <w:pPr>
              <w:jc w:val="left"/>
              <w:spacing w:before="40" w:after="40" w:line="250" w:lineRule="auto"/>
            </w:pPr>
            <w:r>
              <w:rPr>
                <w:rFonts w:ascii="Times New Roman" w:hAnsi="Times New Roman" w:cs="Times New Roman" w:eastAsia="Times New Roman"/>
                <w:sz w:val="19"/>
                <w:szCs w:val="19"/>
                <w:color w:val="222222"/>
              </w:rPr>
              <w:t xml:space="preserve">Application, kube-state-metrics, and Prometheus targets all UP</w:t>
            </w:r>
          </w:p>
        </w:tc>
      </w:tr>
      <w:tr>
        <w:tc>
          <w:tcPr>
            <w:tcW w:w="2700" w:type="dxa"/>
            <w:vAlign w:val="center"/>
            <w:shd w:fill="F3F6FA" w:val="clear"/>
          </w:tcPr>
          <w:p>
            <w:pPr>
              <w:jc w:val="left"/>
              <w:spacing w:before="40" w:after="40" w:line="250" w:lineRule="auto"/>
            </w:pPr>
            <w:r>
              <w:rPr>
                <w:rFonts w:ascii="Times New Roman" w:hAnsi="Times New Roman" w:cs="Times New Roman" w:eastAsia="Times New Roman"/>
                <w:sz w:val="19"/>
                <w:szCs w:val="19"/>
                <w:color w:val="222222"/>
              </w:rPr>
              <w:t xml:space="preserve">Grafana</w:t>
            </w:r>
          </w:p>
        </w:tc>
        <w:tc>
          <w:tcPr>
            <w:tcW w:w="5940" w:type="dxa"/>
            <w:vAlign w:val="center"/>
            <w:shd w:fill="F3F6FA" w:val="clear"/>
          </w:tcPr>
          <w:p>
            <w:pPr>
              <w:jc w:val="left"/>
              <w:spacing w:before="40" w:after="40" w:line="250" w:lineRule="auto"/>
            </w:pPr>
            <w:r>
              <w:rPr>
                <w:rFonts w:ascii="Times New Roman" w:hAnsi="Times New Roman" w:cs="Times New Roman" w:eastAsia="Times New Roman"/>
                <w:sz w:val="19"/>
                <w:szCs w:val="19"/>
                <w:color w:val="222222"/>
              </w:rPr>
              <w:t xml:space="preserve">Provisioned datasource health OK; six-panel operations dashboard loaded</w:t>
            </w:r>
          </w:p>
        </w:tc>
      </w:tr>
      <w:tr>
        <w:tc>
          <w:tcPr>
            <w:tcW w:w="2700" w:type="dxa"/>
            <w:vAlign w:val="center"/>
            <w:shd w:fill="FFFFFF" w:val="clear"/>
          </w:tcPr>
          <w:p>
            <w:pPr>
              <w:jc w:val="left"/>
              <w:spacing w:before="40" w:after="40" w:line="250" w:lineRule="auto"/>
            </w:pPr>
            <w:r>
              <w:rPr>
                <w:rFonts w:ascii="Times New Roman" w:hAnsi="Times New Roman" w:cs="Times New Roman" w:eastAsia="Times New Roman"/>
                <w:sz w:val="19"/>
                <w:szCs w:val="19"/>
                <w:color w:val="222222"/>
              </w:rPr>
              <w:t xml:space="preserve">Application request rate</w:t>
            </w:r>
          </w:p>
        </w:tc>
        <w:tc>
          <w:tcPr>
            <w:tcW w:w="5940" w:type="dxa"/>
            <w:vAlign w:val="center"/>
            <w:shd w:fill="FFFFFF" w:val="clear"/>
          </w:tcPr>
          <w:p>
            <w:pPr>
              <w:jc w:val="left"/>
              <w:spacing w:before="40" w:after="40" w:line="250" w:lineRule="auto"/>
            </w:pPr>
            <w:r>
              <w:rPr>
                <w:rFonts w:ascii="Times New Roman" w:hAnsi="Times New Roman" w:cs="Times New Roman" w:eastAsia="Times New Roman"/>
                <w:sz w:val="19"/>
                <w:szCs w:val="19"/>
                <w:color w:val="222222"/>
              </w:rPr>
              <w:t xml:space="preserve">0.3719 requests/second over the queried 5-minute window</w:t>
            </w:r>
          </w:p>
        </w:tc>
      </w:tr>
      <w:tr>
        <w:tc>
          <w:tcPr>
            <w:tcW w:w="2700" w:type="dxa"/>
            <w:vAlign w:val="center"/>
            <w:shd w:fill="F3F6FA" w:val="clear"/>
          </w:tcPr>
          <w:p>
            <w:pPr>
              <w:jc w:val="left"/>
              <w:spacing w:before="40" w:after="40" w:line="250" w:lineRule="auto"/>
            </w:pPr>
            <w:r>
              <w:rPr>
                <w:rFonts w:ascii="Times New Roman" w:hAnsi="Times New Roman" w:cs="Times New Roman" w:eastAsia="Times New Roman"/>
                <w:sz w:val="19"/>
                <w:szCs w:val="19"/>
                <w:color w:val="222222"/>
              </w:rPr>
              <w:t xml:space="preserve">HTTP 5xx rate</w:t>
            </w:r>
          </w:p>
        </w:tc>
        <w:tc>
          <w:tcPr>
            <w:tcW w:w="5940" w:type="dxa"/>
            <w:vAlign w:val="center"/>
            <w:shd w:fill="F3F6FA" w:val="clear"/>
          </w:tcPr>
          <w:p>
            <w:pPr>
              <w:jc w:val="left"/>
              <w:spacing w:before="40" w:after="40" w:line="250" w:lineRule="auto"/>
            </w:pPr>
            <w:r>
              <w:rPr>
                <w:rFonts w:ascii="Times New Roman" w:hAnsi="Times New Roman" w:cs="Times New Roman" w:eastAsia="Times New Roman"/>
                <w:sz w:val="19"/>
                <w:szCs w:val="19"/>
                <w:color w:val="222222"/>
              </w:rPr>
              <w:t xml:space="preserve">0 in the queried window</w:t>
            </w:r>
          </w:p>
        </w:tc>
      </w:tr>
      <w:tr>
        <w:tc>
          <w:tcPr>
            <w:tcW w:w="2700" w:type="dxa"/>
            <w:vAlign w:val="center"/>
            <w:shd w:fill="FFFFFF" w:val="clear"/>
          </w:tcPr>
          <w:p>
            <w:pPr>
              <w:jc w:val="left"/>
              <w:spacing w:before="40" w:after="40" w:line="250" w:lineRule="auto"/>
            </w:pPr>
            <w:r>
              <w:rPr>
                <w:rFonts w:ascii="Times New Roman" w:hAnsi="Times New Roman" w:cs="Times New Roman" w:eastAsia="Times New Roman"/>
                <w:sz w:val="19"/>
                <w:szCs w:val="19"/>
                <w:color w:val="222222"/>
              </w:rPr>
              <w:t xml:space="preserve">Mean request duration</w:t>
            </w:r>
          </w:p>
        </w:tc>
        <w:tc>
          <w:tcPr>
            <w:tcW w:w="5940" w:type="dxa"/>
            <w:vAlign w:val="center"/>
            <w:shd w:fill="FFFFFF" w:val="clear"/>
          </w:tcPr>
          <w:p>
            <w:pPr>
              <w:jc w:val="left"/>
              <w:spacing w:before="40" w:after="40" w:line="250" w:lineRule="auto"/>
            </w:pPr>
            <w:r>
              <w:rPr>
                <w:rFonts w:ascii="Times New Roman" w:hAnsi="Times New Roman" w:cs="Times New Roman" w:eastAsia="Times New Roman"/>
                <w:sz w:val="19"/>
                <w:szCs w:val="19"/>
                <w:color w:val="222222"/>
              </w:rPr>
              <w:t xml:space="preserve">0.00893 seconds in the queried window</w:t>
            </w:r>
          </w:p>
        </w:tc>
      </w:tr>
      <w:tr>
        <w:tc>
          <w:tcPr>
            <w:tcW w:w="2700" w:type="dxa"/>
            <w:vAlign w:val="center"/>
            <w:shd w:fill="F3F6FA" w:val="clear"/>
          </w:tcPr>
          <w:p>
            <w:pPr>
              <w:jc w:val="left"/>
              <w:spacing w:before="40" w:after="40" w:line="250" w:lineRule="auto"/>
            </w:pPr>
            <w:r>
              <w:rPr>
                <w:rFonts w:ascii="Times New Roman" w:hAnsi="Times New Roman" w:cs="Times New Roman" w:eastAsia="Times New Roman"/>
                <w:sz w:val="19"/>
                <w:szCs w:val="19"/>
                <w:color w:val="222222"/>
              </w:rPr>
              <w:t xml:space="preserve">API / HPA replicas</w:t>
            </w:r>
          </w:p>
        </w:tc>
        <w:tc>
          <w:tcPr>
            <w:tcW w:w="5940" w:type="dxa"/>
            <w:vAlign w:val="center"/>
            <w:shd w:fill="F3F6FA" w:val="clear"/>
          </w:tcPr>
          <w:p>
            <w:pPr>
              <w:jc w:val="left"/>
              <w:spacing w:before="40" w:after="40" w:line="250" w:lineRule="auto"/>
            </w:pPr>
            <w:r>
              <w:rPr>
                <w:rFonts w:ascii="Times New Roman" w:hAnsi="Times New Roman" w:cs="Times New Roman" w:eastAsia="Times New Roman"/>
                <w:sz w:val="19"/>
                <w:szCs w:val="19"/>
                <w:color w:val="222222"/>
              </w:rPr>
              <w:t xml:space="preserve">1 ready API replica; HPA current replica count 1</w:t>
            </w:r>
          </w:p>
        </w:tc>
      </w:tr>
      <w:tr>
        <w:tc>
          <w:tcPr>
            <w:tcW w:w="2700" w:type="dxa"/>
            <w:vAlign w:val="center"/>
            <w:shd w:fill="FFFFFF" w:val="clear"/>
          </w:tcPr>
          <w:p>
            <w:pPr>
              <w:jc w:val="left"/>
              <w:spacing w:before="40" w:after="40" w:line="250" w:lineRule="auto"/>
            </w:pPr>
            <w:r>
              <w:rPr>
                <w:rFonts w:ascii="Times New Roman" w:hAnsi="Times New Roman" w:cs="Times New Roman" w:eastAsia="Times New Roman"/>
                <w:sz w:val="19"/>
                <w:szCs w:val="19"/>
                <w:color w:val="222222"/>
              </w:rPr>
              <w:t xml:space="preserve">JVM heap / process CPU</w:t>
            </w:r>
          </w:p>
        </w:tc>
        <w:tc>
          <w:tcPr>
            <w:tcW w:w="5940" w:type="dxa"/>
            <w:vAlign w:val="center"/>
            <w:shd w:fill="FFFFFF" w:val="clear"/>
          </w:tcPr>
          <w:p>
            <w:pPr>
              <w:jc w:val="left"/>
              <w:spacing w:before="40" w:after="40" w:line="250" w:lineRule="auto"/>
            </w:pPr>
            <w:r>
              <w:rPr>
                <w:rFonts w:ascii="Times New Roman" w:hAnsi="Times New Roman" w:cs="Times New Roman" w:eastAsia="Times New Roman"/>
                <w:sz w:val="19"/>
                <w:szCs w:val="19"/>
                <w:color w:val="222222"/>
              </w:rPr>
              <w:t xml:space="preserve">49,917,728 bytes / 0.0293 process CPU</w:t>
            </w:r>
          </w:p>
        </w:tc>
      </w:tr>
      <w:tr>
        <w:tc>
          <w:tcPr>
            <w:tcW w:w="2700" w:type="dxa"/>
            <w:vAlign w:val="center"/>
            <w:shd w:fill="F3F6FA" w:val="clear"/>
          </w:tcPr>
          <w:p>
            <w:pPr>
              <w:jc w:val="left"/>
              <w:spacing w:before="40" w:after="40" w:line="250" w:lineRule="auto"/>
            </w:pPr>
            <w:r>
              <w:rPr>
                <w:rFonts w:ascii="Times New Roman" w:hAnsi="Times New Roman" w:cs="Times New Roman" w:eastAsia="Times New Roman"/>
                <w:sz w:val="19"/>
                <w:szCs w:val="19"/>
                <w:color w:val="222222"/>
              </w:rPr>
              <w:t xml:space="preserve">Node and monitoring memory</w:t>
            </w:r>
          </w:p>
        </w:tc>
        <w:tc>
          <w:tcPr>
            <w:tcW w:w="5940" w:type="dxa"/>
            <w:vAlign w:val="center"/>
            <w:shd w:fill="F3F6FA" w:val="clear"/>
          </w:tcPr>
          <w:p>
            <w:pPr>
              <w:jc w:val="left"/>
              <w:spacing w:before="40" w:after="40" w:line="250" w:lineRule="auto"/>
            </w:pPr>
            <w:r>
              <w:rPr>
                <w:rFonts w:ascii="Times New Roman" w:hAnsi="Times New Roman" w:cs="Times New Roman" w:eastAsia="Times New Roman"/>
                <w:sz w:val="19"/>
                <w:szCs w:val="19"/>
                <w:color w:val="222222"/>
              </w:rPr>
              <w:t xml:space="preserve">EC2 node 6% CPU and 70% memory used; Grafana about 140 MiB</w:t>
            </w:r>
          </w:p>
        </w:tc>
      </w:tr>
    </w:tbl>
    <w:p>
      <w:pPr>
        <w:jc w:val="center"/>
        <w:spacing w:before="120" w:after="50" w:line="240" w:lineRule="auto"/>
      </w:pPr>
      <w:r>
        <w:rPr>
          <w:rFonts w:ascii="Times New Roman" w:hAnsi="Times New Roman" w:cs="Times New Roman" w:eastAsia="Times New Roman"/>
          <w:sz w:val="20"/>
          <w:szCs w:val="20"/>
          <w:i/>
          <w:color w:val="404040"/>
        </w:rPr>
        <w:t xml:space="preserve">Table 3.4: Snapshot of live monitoring checks and Prometheus query results.</w:t>
      </w:r>
    </w:p>
    <w:p>
      <w:pPr>
        <w:jc w:val="both"/>
        <w:spacing w:before="0" w:after="150" w:line="300" w:lineRule="auto"/>
        <w:ind w:left="0" w:firstLine="360"/>
      </w:pPr>
      <w:r>
        <w:rPr>
          <w:rFonts w:ascii="Times New Roman" w:hAnsi="Times New Roman" w:cs="Times New Roman" w:eastAsia="Times New Roman"/>
          <w:sz w:val="24"/>
          <w:szCs w:val="24"/>
          <w:color w:val="222222"/>
        </w:rPr>
        <w:t xml:space="preserve">These values are a snapshot rather than a long-term performance profile. A Grafana PNG was not captured because the image-renderer endpoint was unavailable; the saved monitoring summary is reconstructed from recorded Prometheus values and is not a Grafana screenshot. A later live check returned database: ok from Grafana /api/health on version 12.4.13 and retrieved the provisioned six-panel operations dashboard by UID. During a live demo, the dashboard is available at http://localhost:3000/d/student-task-manager-ops/student-task-manager-operations while the SSM tunnel to the private ClusterIP is active. Prometheus uses temporary storage with up to six hours of retention, and Grafana's local database is temporary. Consequently, monitoring history is not durable across pod replacement.</w:t>
      </w:r>
    </w:p>
    <w:p>
      <w:pPr>
        <w:spacing w:before="240" w:after="100" w:line="300" w:lineRule="auto"/>
        <w:keepNext/>
      </w:pPr>
      <w:r>
        <w:rPr>
          <w:rFonts w:ascii="Times New Roman" w:hAnsi="Times New Roman" w:cs="Times New Roman" w:eastAsia="Times New Roman"/>
          <w:sz w:val="26"/>
          <w:szCs w:val="26"/>
          <w:b/>
          <w:color w:val="1F4E79"/>
        </w:rPr>
        <w:t xml:space="preserve">3.5 Analysis against objectives</w:t>
      </w:r>
    </w:p>
    <w:p>
      <w:pPr>
        <w:jc w:val="both"/>
        <w:spacing w:before="0" w:after="150" w:line="300" w:lineRule="auto"/>
        <w:ind w:left="0" w:firstLine="360"/>
      </w:pPr>
      <w:r>
        <w:rPr>
          <w:rFonts w:ascii="Times New Roman" w:hAnsi="Times New Roman" w:cs="Times New Roman" w:eastAsia="Times New Roman"/>
          <w:sz w:val="24"/>
          <w:szCs w:val="24"/>
          <w:color w:val="222222"/>
        </w:rPr>
        <w:t xml:space="preserve">The application, container, Terraform, and Kubernetes objectives were met for the current demonstration. The load run showed HPA scale-up and subsequent scale-down, while the deletion and liveness tests showed two distinct pod-level recovery mechanisms. Prometheus and Grafana provided application and Kubernetes signals that can be inspected during a demonstration. These observations support the project's learning objectives, but the single EC2 host remains a shared failure point. HPA pod scaling does not increase host capacity and cannot provide host-level fault tolerance.</w:t>
      </w:r>
    </w:p>
    <w:p>
      <w:pPr>
        <w:spacing w:before="240" w:after="100" w:line="300" w:lineRule="auto"/>
        <w:keepNext/>
      </w:pPr>
      <w:r>
        <w:rPr>
          <w:rFonts w:ascii="Times New Roman" w:hAnsi="Times New Roman" w:cs="Times New Roman" w:eastAsia="Times New Roman"/>
          <w:sz w:val="26"/>
          <w:szCs w:val="26"/>
          <w:b/>
          <w:color w:val="1F4E79"/>
        </w:rPr>
        <w:t xml:space="preserve">3.6 Cost analysis</w:t>
      </w:r>
    </w:p>
    <w:p>
      <w:pPr>
        <w:jc w:val="both"/>
        <w:spacing w:before="0" w:after="150" w:line="300" w:lineRule="auto"/>
        <w:ind w:left="0" w:firstLine="360"/>
      </w:pPr>
      <w:r>
        <w:rPr>
          <w:rFonts w:ascii="Times New Roman" w:hAnsi="Times New Roman" w:cs="Times New Roman" w:eastAsia="Times New Roman"/>
          <w:sz w:val="24"/>
          <w:szCs w:val="24"/>
          <w:color w:val="222222"/>
        </w:rPr>
        <w:t xml:space="preserve">The Sydney on-demand model estimates about $47.31 per month before taxes, credits, and variable charges. It assumes 730 hours, one EC2 t3.small host, one public IPv4 address, one Single-AZ RDS MySQL db.t4g.micro instance, the configured 30 GB EC2 and 20 GB RDS gp3 volumes, one Secrets Manager secret, and 1 GB of ECR image storage.</w:t>
      </w:r>
    </w:p>
    <w:p>
      <w:pPr>
        <w:jc w:val="both"/>
        <w:spacing w:before="0" w:after="150" w:line="300" w:lineRule="auto"/>
        <w:ind w:left="0" w:firstLine="360"/>
      </w:pPr>
      <w:r>
        <w:rPr>
          <w:rFonts w:ascii="Times New Roman" w:hAnsi="Times New Roman" w:cs="Times New Roman" w:eastAsia="Times New Roman"/>
          <w:sz w:val="24"/>
          <w:szCs w:val="24"/>
          <w:color w:val="222222"/>
        </w:rPr>
        <w:t xml:space="preserve">Estimated monthly line items are EC2 compute $19.27; EC2 gp3 disk $2.88; public IPv4 $3.65; RDS compute $18.25; RDS gp3 storage $2.76; Secrets Manager $0.40; and assumed ECR storage $0.10. The calculation and assumptions are in COST_ANALYSIS.md; AWS pricing sources [11]–[15] are listed in References.</w:t>
      </w:r>
    </w:p>
    <w:p>
      <w:pPr>
        <w:jc w:val="both"/>
        <w:spacing w:before="0" w:after="150" w:line="300" w:lineRule="auto"/>
        <w:ind w:left="0" w:firstLine="360"/>
      </w:pPr>
      <w:r>
        <w:rPr>
          <w:rFonts w:ascii="Times New Roman" w:hAnsi="Times New Roman" w:cs="Times New Roman" w:eastAsia="Times New Roman"/>
          <w:sz w:val="24"/>
          <w:szCs w:val="24"/>
          <w:color w:val="222222"/>
        </w:rPr>
        <w:t xml:space="preserve">The HPA changes API pod count on the same fixed EC2 and RDS resources, so pod scale-up or scale-down has approximately $0 effect on these provisioned hourly charges. A hypothetical additional worker node used for 146 hours per month would have $3.85 compute cost versus $19.27 if kept on for 730 hours; the $15.42 difference is compute-only, projected, and not implemented.</w:t>
      </w:r>
    </w:p>
    <w:p>
      <w:pPr>
        <w:jc w:val="both"/>
        <w:spacing w:before="0" w:after="150" w:line="300" w:lineRule="auto"/>
        <w:ind w:left="0" w:firstLine="360"/>
      </w:pPr>
      <w:r>
        <w:rPr>
          <w:rFonts w:ascii="Times New Roman" w:hAnsi="Times New Roman" w:cs="Times New Roman" w:eastAsia="Times New Roman"/>
          <w:sz w:val="24"/>
          <w:szCs w:val="24"/>
          <w:color w:val="222222"/>
        </w:rPr>
        <w:t xml:space="preserve">This is a list-price model, not the AWS account bill. Cost Explorer was not queried, so actual usage, remaining credits, and free-plan eligibility have not been verified. The estimate excludes taxes, variable data transfer, backup/snapshot amounts beyond included allowances, any RDS CPU-credit surplus, and other account resources. Confirm current regional rates and free-plan eligibility in the AWS billing console and Pricing Calculator.</w:t>
      </w:r>
    </w:p>
    <w:p>
      <w:pPr>
        <w:jc w:val="center"/>
        <w:spacing w:before="0" w:after="80" w:line="360" w:lineRule="auto"/>
        <w:keepNext/>
        <w:pageBreakBefore/>
      </w:pPr>
      <w:r>
        <w:rPr>
          <w:rFonts w:ascii="Times New Roman" w:hAnsi="Times New Roman" w:cs="Times New Roman" w:eastAsia="Times New Roman"/>
          <w:sz w:val="30"/>
          <w:szCs w:val="30"/>
          <w:b/>
          <w:color w:val="17365D"/>
        </w:rPr>
        <w:t xml:space="preserve">CHAPTER 4</w:t>
      </w:r>
    </w:p>
    <w:p>
      <w:pPr>
        <w:jc w:val="center"/>
        <w:spacing w:before="0" w:after="260" w:line="330" w:lineRule="auto"/>
      </w:pPr>
      <w:r>
        <w:rPr>
          <w:rFonts w:ascii="Times New Roman" w:hAnsi="Times New Roman" w:cs="Times New Roman" w:eastAsia="Times New Roman"/>
          <w:sz w:val="28"/>
          <w:szCs w:val="28"/>
          <w:b/>
          <w:color w:val="17365D"/>
        </w:rPr>
        <w:t xml:space="preserve">CONCLUSION</w:t>
      </w:r>
    </w:p>
    <w:p>
      <w:pPr>
        <w:jc w:val="both"/>
        <w:spacing w:before="0" w:after="150" w:line="300" w:lineRule="auto"/>
        <w:ind w:left="0" w:firstLine="360"/>
      </w:pPr>
      <w:r>
        <w:rPr>
          <w:rFonts w:ascii="Times New Roman" w:hAnsi="Times New Roman" w:cs="Times New Roman" w:eastAsia="Times New Roman"/>
          <w:sz w:val="24"/>
          <w:szCs w:val="24"/>
          <w:color w:val="222222"/>
        </w:rPr>
        <w:t xml:space="preserve">The project delivered a browser-based Student Task Manager backed by MySQL and deployed it as a Docker container on Kubernetes running in AWS. Terraform defines the cloud foundation, Amazon ECR stores the application image, and Systems Manager provides administrative access without opening SSH. Kubernetes health probes and a Deployment maintain application pods, while a CPU-based HPA adjusts replicas from one to two. Prometheus, kube-state-metrics, and Grafana provide a private monitoring path for application and cluster behavior; the six-panel Grafana dashboard was verified live through the private SSM port-forward.</w:t>
      </w:r>
    </w:p>
    <w:p>
      <w:pPr>
        <w:jc w:val="both"/>
        <w:spacing w:before="0" w:after="150" w:line="300" w:lineRule="auto"/>
        <w:ind w:left="0" w:firstLine="360"/>
      </w:pPr>
      <w:r>
        <w:rPr>
          <w:rFonts w:ascii="Times New Roman" w:hAnsi="Times New Roman" w:cs="Times New Roman" w:eastAsia="Times New Roman"/>
          <w:sz w:val="24"/>
          <w:szCs w:val="24"/>
          <w:color w:val="222222"/>
        </w:rPr>
        <w:t xml:space="preserve">The recorded 30-VU read-only load run generated 5,699 successful requests at about 43.7 requests per second, with zero failures and a p95 latency of 403.98 ms. HPA increased the API deployment from one pod to two under CPU pressure and later returned it to one. A deleted pod was replaced after the ECR pull credential was refreshed, and a controlled process pause caused a liveness-probe restart followed by a healthy readiness result. Together these results demonstrate pod-level autoscaling and self-healing behavior for this lab deployment.</w:t>
      </w:r>
    </w:p>
    <w:p>
      <w:pPr>
        <w:jc w:val="both"/>
        <w:spacing w:before="0" w:after="150" w:line="300" w:lineRule="auto"/>
        <w:ind w:left="0" w:firstLine="360"/>
      </w:pPr>
      <w:r>
        <w:rPr>
          <w:rFonts w:ascii="Times New Roman" w:hAnsi="Times New Roman" w:cs="Times New Roman" w:eastAsia="Times New Roman"/>
          <w:sz w:val="24"/>
          <w:szCs w:val="24"/>
          <w:color w:val="222222"/>
        </w:rPr>
        <w:t xml:space="preserve">The main limitations are the single EC2 node, the HPA maximum of two pods, temporary Prometheus and Grafana storage, expiring ECR pull credentials, and the manual AWS release workflow. That workflow remains inactive because AWS Organizations SCP p-dz3d6hmi denied GitHub OIDC provider creation; an Organizations administrator must resolve the restriction, and the GitHub environment and repository variables still need configuration. Authentication and per-student task ownership are also outside the current application scope. The experiments do not prove host-level availability, multi-node resilience, production security, or lower AWS costs from pod scaling; the underlying EC2 and RDS remain provisioned at fixed capacity.</w:t>
      </w:r>
    </w:p>
    <w:p>
      <w:pPr>
        <w:jc w:val="both"/>
        <w:spacing w:before="0" w:after="150" w:line="300" w:lineRule="auto"/>
        <w:ind w:left="0" w:firstLine="360"/>
      </w:pPr>
      <w:r>
        <w:rPr>
          <w:rFonts w:ascii="Times New Roman" w:hAnsi="Times New Roman" w:cs="Times New Roman" w:eastAsia="Times New Roman"/>
          <w:sz w:val="24"/>
          <w:szCs w:val="24"/>
          <w:color w:val="222222"/>
        </w:rPr>
        <w:t xml:space="preserve">Future work should add a multi-node cluster or managed Kubernetes option, configure and exercise the prepared manual image-publishing and deployment workflow, rotate ECR access automatically, persist monitoring data, and add authentication with per-user authorization. The team should also test write workloads, longer runs, database failure/recovery, and host-level disruption. Before any extended deployment, monitor the AWS bill and remove demonstration resources when they are no longer needed.</w:t>
      </w:r>
    </w:p>
    <w:p>
      <w:pPr>
        <w:jc w:val="center"/>
        <w:spacing w:before="0" w:after="80" w:line="360" w:lineRule="auto"/>
        <w:keepNext/>
        <w:pageBreakBefore/>
      </w:pPr>
      <w:r>
        <w:rPr>
          <w:rFonts w:ascii="Times New Roman" w:hAnsi="Times New Roman" w:cs="Times New Roman" w:eastAsia="Times New Roman"/>
          <w:sz w:val="30"/>
          <w:szCs w:val="30"/>
          <w:b/>
          <w:color w:val="17365D"/>
        </w:rPr>
        <w:t xml:space="preserve">REFERENCES</w:t>
      </w:r>
    </w:p>
    <w:p>
      <w:pPr>
        <w:jc w:val="both"/>
        <w:spacing w:before="30" w:after="150" w:line="260" w:lineRule="auto"/>
        <w:ind w:left="420" w:firstLine="-420"/>
      </w:pPr>
      <w:r>
        <w:rPr>
          <w:rFonts w:ascii="Times New Roman" w:hAnsi="Times New Roman" w:cs="Times New Roman" w:eastAsia="Times New Roman"/>
          <w:sz w:val="20"/>
          <w:szCs w:val="20"/>
          <w:color w:val="222222"/>
        </w:rPr>
        <w:t xml:space="preserve">[1] Docker, “What is a container?” Docker Documentation. [Online]. Available: https://docs.docker.com/get-started/docker-concepts/the-basics/what-is-a-container/. [Accessed: Oct. 25, 2026].</w:t>
      </w:r>
    </w:p>
    <w:p>
      <w:pPr>
        <w:jc w:val="both"/>
        <w:spacing w:before="30" w:after="150" w:line="260" w:lineRule="auto"/>
        <w:ind w:left="420" w:firstLine="-420"/>
      </w:pPr>
      <w:r>
        <w:rPr>
          <w:rFonts w:ascii="Times New Roman" w:hAnsi="Times New Roman" w:cs="Times New Roman" w:eastAsia="Times New Roman"/>
          <w:sz w:val="20"/>
          <w:szCs w:val="20"/>
          <w:color w:val="222222"/>
        </w:rPr>
        <w:t xml:space="preserve">[2] HashiCorp, “What is Terraform?” Terraform Documentation. [Online]. Available: https://developer.hashicorp.com/terraform/intro. [Accessed: Oct. 25, 2026].</w:t>
      </w:r>
    </w:p>
    <w:p>
      <w:pPr>
        <w:jc w:val="both"/>
        <w:spacing w:before="30" w:after="150" w:line="260" w:lineRule="auto"/>
        <w:ind w:left="420" w:firstLine="-420"/>
      </w:pPr>
      <w:r>
        <w:rPr>
          <w:rFonts w:ascii="Times New Roman" w:hAnsi="Times New Roman" w:cs="Times New Roman" w:eastAsia="Times New Roman"/>
          <w:sz w:val="20"/>
          <w:szCs w:val="20"/>
          <w:color w:val="222222"/>
        </w:rPr>
        <w:t xml:space="preserve">[3] Amazon Web Services, “Working with MySQL on Amazon RDS,” Amazon RDS User Guide. [Online]. Available: https://docs.aws.amazon.com/AmazonRDS/latest/UserGuide/CHAP_MySQL.html. [Accessed: Oct. 25, 2026].</w:t>
      </w:r>
    </w:p>
    <w:p>
      <w:pPr>
        <w:jc w:val="both"/>
        <w:spacing w:before="30" w:after="150" w:line="260" w:lineRule="auto"/>
        <w:ind w:left="420" w:firstLine="-420"/>
      </w:pPr>
      <w:r>
        <w:rPr>
          <w:rFonts w:ascii="Times New Roman" w:hAnsi="Times New Roman" w:cs="Times New Roman" w:eastAsia="Times New Roman"/>
          <w:sz w:val="20"/>
          <w:szCs w:val="20"/>
          <w:color w:val="222222"/>
        </w:rPr>
        <w:t xml:space="preserve">[4] Kubernetes Authors, “Horizontal Pod Autoscaling,” Kubernetes Documentation. [Online]. Available: https://kubernetes.io/docs/concepts/workloads/autoscaling/horizontal-pod-autoscale/. [Accessed: Oct. 25, 2026].</w:t>
      </w:r>
    </w:p>
    <w:p>
      <w:pPr>
        <w:jc w:val="both"/>
        <w:spacing w:before="30" w:after="150" w:line="260" w:lineRule="auto"/>
        <w:ind w:left="420" w:firstLine="-420"/>
      </w:pPr>
      <w:r>
        <w:rPr>
          <w:rFonts w:ascii="Times New Roman" w:hAnsi="Times New Roman" w:cs="Times New Roman" w:eastAsia="Times New Roman"/>
          <w:sz w:val="20"/>
          <w:szCs w:val="20"/>
          <w:color w:val="222222"/>
        </w:rPr>
        <w:t xml:space="preserve">[5] K3s, “Quick-Start Guide,” K3s Documentation. [Online]. Available: https://docs.k3s.io/quick-start. [Accessed: Oct. 25, 2026].</w:t>
      </w:r>
    </w:p>
    <w:p>
      <w:pPr>
        <w:jc w:val="both"/>
        <w:spacing w:before="30" w:after="150" w:line="260" w:lineRule="auto"/>
        <w:ind w:left="420" w:firstLine="-420"/>
      </w:pPr>
      <w:r>
        <w:rPr>
          <w:rFonts w:ascii="Times New Roman" w:hAnsi="Times New Roman" w:cs="Times New Roman" w:eastAsia="Times New Roman"/>
          <w:sz w:val="20"/>
          <w:szCs w:val="20"/>
          <w:color w:val="222222"/>
        </w:rPr>
        <w:t xml:space="preserve">[6] Prometheus Authors, “Getting started,” Prometheus Documentation. [Online]. Available: https://prometheus.io/docs/introduction/first_steps/. [Accessed: Oct. 25, 2026].</w:t>
      </w:r>
    </w:p>
    <w:p>
      <w:pPr>
        <w:jc w:val="both"/>
        <w:spacing w:before="30" w:after="150" w:line="260" w:lineRule="auto"/>
        <w:ind w:left="420" w:firstLine="-420"/>
      </w:pPr>
      <w:r>
        <w:rPr>
          <w:rFonts w:ascii="Times New Roman" w:hAnsi="Times New Roman" w:cs="Times New Roman" w:eastAsia="Times New Roman"/>
          <w:sz w:val="20"/>
          <w:szCs w:val="20"/>
          <w:color w:val="222222"/>
        </w:rPr>
        <w:t xml:space="preserve">[7] VMware, Inc., “Metrics,” Spring Boot Reference Documentation. [Online]. Available: https://docs.spring.io/spring-boot/reference/actuator/metrics.html. [Accessed: Oct. 25, 2026].</w:t>
      </w:r>
    </w:p>
    <w:p>
      <w:pPr>
        <w:jc w:val="both"/>
        <w:spacing w:before="30" w:after="150" w:line="260" w:lineRule="auto"/>
        <w:ind w:left="420" w:firstLine="-420"/>
      </w:pPr>
      <w:r>
        <w:rPr>
          <w:rFonts w:ascii="Times New Roman" w:hAnsi="Times New Roman" w:cs="Times New Roman" w:eastAsia="Times New Roman"/>
          <w:sz w:val="20"/>
          <w:szCs w:val="20"/>
          <w:color w:val="222222"/>
        </w:rPr>
        <w:t xml:space="preserve">[8] Grafana Labs, “Dashboards,” Grafana Documentation. [Online]. Available: https://grafana.com/docs/grafana/latest/dashboards/. [Accessed: Oct. 25, 2026].</w:t>
      </w:r>
    </w:p>
    <w:p>
      <w:pPr>
        <w:jc w:val="both"/>
        <w:spacing w:before="30" w:after="150" w:line="260" w:lineRule="auto"/>
        <w:ind w:left="420" w:firstLine="-420"/>
      </w:pPr>
      <w:r>
        <w:rPr>
          <w:rFonts w:ascii="Times New Roman" w:hAnsi="Times New Roman" w:cs="Times New Roman" w:eastAsia="Times New Roman"/>
          <w:sz w:val="20"/>
          <w:szCs w:val="20"/>
          <w:color w:val="222222"/>
        </w:rPr>
        <w:t xml:space="preserve">[9] Myishaa Siddiqui, “Student Task Manager: GitHub Actions run 33,” GitHub Actions, 2026. [Online]. Available: https://github.com/myishaa/student-task-manager/actions/runs/40094738509. [Accessed: Oct. 25, 2026].</w:t>
      </w:r>
    </w:p>
    <w:p>
      <w:pPr>
        <w:jc w:val="both"/>
        <w:spacing w:before="30" w:after="150" w:line="260" w:lineRule="auto"/>
        <w:ind w:left="420" w:firstLine="-420"/>
      </w:pPr>
      <w:r>
        <w:rPr>
          <w:rFonts w:ascii="Times New Roman" w:hAnsi="Times New Roman" w:cs="Times New Roman" w:eastAsia="Times New Roman"/>
          <w:sz w:val="20"/>
          <w:szCs w:val="20"/>
          <w:color w:val="222222"/>
        </w:rPr>
        <w:t xml:space="preserve">[10] Myisha Siddiqui, Manan Bhasin, and Rishabh Raj, “Student Task Manager: implementation, manifests, and demo evidence,” project repository and internal test record, Oct. 2026.</w:t>
      </w:r>
    </w:p>
    <w:p>
      <w:pPr>
        <w:jc w:val="both"/>
        <w:spacing w:before="30" w:after="150" w:line="260" w:lineRule="auto"/>
        <w:ind w:left="420" w:firstLine="-420"/>
      </w:pPr>
      <w:r>
        <w:rPr>
          <w:rFonts w:ascii="Times New Roman" w:hAnsi="Times New Roman" w:cs="Times New Roman" w:eastAsia="Times New Roman"/>
          <w:sz w:val="20"/>
          <w:szCs w:val="20"/>
          <w:color w:val="222222"/>
        </w:rPr>
        <w:t xml:space="preserve">[11] Amazon Web Services, “Amazon EC2 T3 Instances,” AWS. [Online]. Available: https://aws.amazon.com/ec2/instance-types/t3/. [Accessed: Oct. 25, 2026].</w:t>
      </w:r>
    </w:p>
    <w:p>
      <w:pPr>
        <w:jc w:val="both"/>
        <w:spacing w:before="30" w:after="150" w:line="260" w:lineRule="auto"/>
        <w:ind w:left="420" w:firstLine="-420"/>
      </w:pPr>
      <w:r>
        <w:rPr>
          <w:rFonts w:ascii="Times New Roman" w:hAnsi="Times New Roman" w:cs="Times New Roman" w:eastAsia="Times New Roman"/>
          <w:sz w:val="20"/>
          <w:szCs w:val="20"/>
          <w:color w:val="222222"/>
        </w:rPr>
        <w:t xml:space="preserve">[12] Amazon Web Services, “Amazon RDS for MySQL Pricing,” AWS. [Online]. Available: https://aws.amazon.com/rds/mysql/pricing/. [Accessed: Oct. 25, 2026].</w:t>
      </w:r>
    </w:p>
    <w:p>
      <w:pPr>
        <w:jc w:val="both"/>
        <w:spacing w:before="30" w:after="150" w:line="260" w:lineRule="auto"/>
        <w:ind w:left="420" w:firstLine="-420"/>
      </w:pPr>
      <w:r>
        <w:rPr>
          <w:rFonts w:ascii="Times New Roman" w:hAnsi="Times New Roman" w:cs="Times New Roman" w:eastAsia="Times New Roman"/>
          <w:sz w:val="20"/>
          <w:szCs w:val="20"/>
          <w:color w:val="222222"/>
        </w:rPr>
        <w:t xml:space="preserve">[13] Amazon Web Services, “Amazon EBS Pricing,” AWS. [Online]. Available: https://aws.amazon.com/ebs/pricing/. [Accessed: Oct. 25, 2026].</w:t>
      </w:r>
    </w:p>
    <w:p>
      <w:pPr>
        <w:jc w:val="both"/>
        <w:spacing w:before="30" w:after="150" w:line="260" w:lineRule="auto"/>
        <w:ind w:left="420" w:firstLine="-420"/>
      </w:pPr>
      <w:r>
        <w:rPr>
          <w:rFonts w:ascii="Times New Roman" w:hAnsi="Times New Roman" w:cs="Times New Roman" w:eastAsia="Times New Roman"/>
          <w:sz w:val="20"/>
          <w:szCs w:val="20"/>
          <w:color w:val="222222"/>
        </w:rPr>
        <w:t xml:space="preserve">[14] Jeff Barr, “New – AWS Public IPv4 Address Charge + Public IP Insights,” AWS News Blog, Jul. 28, 2023. [Online]. Available: https://aws.amazon.com/blogs/aws/new-aws-public-ipv4-address-charge-public-ip-insights/. [Accessed: Oct. 25, 2026].</w:t>
      </w:r>
    </w:p>
    <w:p>
      <w:pPr>
        <w:jc w:val="both"/>
        <w:spacing w:before="30" w:after="150" w:line="260" w:lineRule="auto"/>
        <w:ind w:left="420" w:firstLine="-420"/>
      </w:pPr>
      <w:r>
        <w:rPr>
          <w:rFonts w:ascii="Times New Roman" w:hAnsi="Times New Roman" w:cs="Times New Roman" w:eastAsia="Times New Roman"/>
          <w:sz w:val="20"/>
          <w:szCs w:val="20"/>
          <w:color w:val="222222"/>
        </w:rPr>
        <w:t xml:space="preserve">[15] Amazon Web Services, “Amazon ECR Pricing” and “AWS Secrets Manager Pricing,” AWS. [Online]. Available: https://aws.amazon.com/ecr/pricing/ and https://aws.amazon.com/secrets-manager/pricing/. [Accessed: Oct. 25, 2026].</w:t>
      </w:r>
    </w:p>
    <w:sectPr>
      <w:footerReference w:type="default" r:id="rId3"/>
      <w:pgSz w:w="12240" w:h="15840"/>
      <w:pgMar w:top="1440" w:right="1800" w:bottom="1440" w:left="1800"/>
    </w:sectPr>
  </w:body>
</w:document>
</file>

<file path=word/footer1.xml><?xml version="1.0" encoding="utf-8"?>
<w:ftr xmlns:w="http://schemas.openxmlformats.org/wordprocessingml/2006/main">
  <w:p>
    <w:pPr>
      <w:jc w:val="center"/>
      <w:pBdr/>
    </w:pPr>
    <w:r>
      <w:rPr>
        <w:rFonts w:ascii="Times New Roman" w:hAnsi="Times New Roman"/>
        <w:sz w:val="18"/>
        <w:color w:val="666666"/>
      </w:rPr>
      <w:t>Cloud Computing and DevOps Lab  •  </w:t>
    </w:r>
    <w:fldSimple w:instr="PAGE">
      <w:r>
        <w:t>1</w:t>
      </w:r>
    </w:fldSimple>
  </w:p>
</w:ftr>
</file>

<file path=word/_rels/document.xml.rels><?xml version='1.0' encoding='UTF-8'?>
<ns0:Relationships xmlns:ns0="http://schemas.openxmlformats.org/package/2006/relationships"><ns0:Relationship Id="rId1" Type="http://schemas.openxmlformats.org/officeDocument/2006/relationships/customXml" Target="../docProps/meta.xml" /><ns0:Relationship Id="rId2" Type="http://schemas.openxmlformats.org/officeDocument/2006/relationships/theme" Target="theme/theme1.xml" /><ns0:Relationship Id="rId3" Type="http://schemas.openxmlformats.org/officeDocument/2006/relationships/footer" Target="footer1.xml" /><ns0:Relationship Id="rIdImg1" Type="http://schemas.openxmlformats.org/officeDocument/2006/relationships/image" Target="media/student-task-manager-ui.png" /><ns0:Relationship Id="rIdImg2" Type="http://schemas.openxmlformats.org/officeDocument/2006/relationships/image" Target="media/task-created.png" /><ns0:Relationship Id="rIdImg3" Type="http://schemas.openxmlformats.org/officeDocument/2006/relationships/image" Target="media/task-completed.png" /></ns0: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MIT</Company>
</Properties>
</file>

<file path=docProps/core.xml><?xml version="1.0" encoding="utf-8"?>
<ns0:coreProperties xmlns:dc="http://purl.org/dc/elements/1.1/" xmlns:ns0="http://schemas.openxmlformats.org/package/2006/metadata/core-properties" xmlns:ns2="http://purl.org/dc/terms/">
  <dc:title>Auto-Scaling and Self-Healing Cloud-Native Student Task Manager</dc:title>
  <dc:subject/>
  <dc:creator>Myisha Siddiqui, Manan Bhasin, Rishabh Raj</dc:creator>
  <ns0:keywords/>
  <dc:description/>
  <ns0:lastModifiedBy>Project team</ns0:lastModifiedBy>
  <ns2:created>2025-09-25T10:44:00Z</ns2:created>
  <ns2:modified>2026-10-25T00:00:00Z</ns2:modified>
</ns0:coreProperties>
</file>

<file path=docProps/meta.xml><?xml version="1.0" encoding="utf-8"?>
<meta xmlns="http://schemas.apple.com/cocoa/2006/metadata">
  <generator>CocoaOOXMLWriter/2685.7</generator>
</meta>
</file>