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202124"/>
          <w:sz w:val="52"/>
          <w:szCs w:val="52"/>
        </w:rPr>
        <w:t xml:space="preserve">Artificial intelligence — key</w:t>
      </w:r>
    </w:p>
    <w:p>
      <w:pPr>
        <w:spacing w:after="200"/>
      </w:pPr>
      <w:r>
        <w:rPr>
          <w:color w:val="666666"/>
          <w:sz w:val="24"/>
          <w:szCs w:val="24"/>
        </w:rPr>
        <w:t xml:space="preserve">IGCSE Computer Science 0478 | 6.3 Artificial intelligence | Teacher copy</w:t>
      </w:r>
    </w:p>
    <w:p>
      <w:pPr>
        <w:shd w:fill="FBE9E7" w:color="auto" w:val="clear"/>
        <w:spacing w:after="200"/>
      </w:pPr>
      <w:r>
        <w:rPr>
          <w:b/>
          <w:bCs/>
          <w:color w:val="C0392B"/>
          <w:sz w:val="22"/>
          <w:szCs w:val="22"/>
        </w:rPr>
        <w:t xml:space="preserve">ANSWER KEY - TEACHER COPY   </w:t>
      </w:r>
      <w:r>
        <w:rPr>
          <w:color w:val="202124"/>
          <w:sz w:val="20"/>
          <w:szCs w:val="20"/>
        </w:rPr>
        <w:t xml:space="preserve">Covers the worksheet and booklet. Keep this file separate from student materials.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Source: teacher-supplied Hodder Cambridge IGCSE Computer Science extract, section 6.3, printed pp. 241–249. Original diagrams and activities. Questions and marking points are suggested, not verified official Cambridge questions.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Suggested 60-minute plan: Task 1 (6 min); AI concepts/Task 2 (7 min); expert systems/Tasks 3–4 (18 min); machine learning/Task 5 (16 min); comparison/exit (8 min); discussion buffer (5 min). Set Task 6 as extension/homework.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Do not teach the book’s narrow/general/strong AI taxonomy or deep-learning appendix as required 0478 content. Avoid implying all AI learns continuously, that predictions prove a fact, or that human cognition has been fully replicated.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Task 1 — robotics recall [15]</w:t>
      </w:r>
    </w:p>
    <w:p>
      <w:pPr>
        <w:keepNext/>
        <w:spacing w:before="120" w:after="60"/>
      </w:pPr>
      <w:r>
        <w:rPr>
          <w:b/>
          <w:bCs/>
          <w:color w:val="494985"/>
          <w:sz w:val="20"/>
          <w:szCs w:val="20"/>
        </w:rPr>
        <w:t xml:space="preserve">Suggested answers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3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(a) Mechanical structure/framework; electrical components (e.g. sensors/motors); programmable. 1 each. “Can move” alone is not enough.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3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(b) Sensor; microprocessor; actuator. 1 each.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(c) Workers avoid heavy lifting (1), so fewer lifting injuries/less physical strain (1). Accept another applied worker benefit.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(c) High purchase/maintenance cost (1), reducing owner profit or requiring significant investment (1). Accept a different applied owner drawback.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4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(d) Distance sensor takes readings (1); readings sent to microprocessor (1); compares to 1 m threshold (1); sends signal to motor/actuator to stop when distance is at or below threshold (1). Accept digitisation where the chosen sensor is analogue.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(e) Can operate without human intervention.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Re-teaching threshold: fewer than 2/3 for (a) or 2/4 for (d) → recap robot characteristics / sensor–processor–actuator chain. These are original questions; no official mark allocation is claimed.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Task 2 — AI [6]</w:t>
      </w:r>
    </w:p>
    <w:p>
      <w:pPr>
        <w:keepNext/>
        <w:spacing w:before="120" w:after="60"/>
      </w:pPr>
      <w:r>
        <w:rPr>
          <w:b/>
          <w:bCs/>
          <w:color w:val="494985"/>
          <w:sz w:val="20"/>
          <w:szCs w:val="20"/>
        </w:rPr>
        <w:t xml:space="preserve">Suggested answers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(a) A computer/system (1) simulates intelligent human behaviour (1). Accept equivalent reference to performing tasks requiring human intelligence.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4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(b) In order: adapting; learning; rules and data; reasoning. 1 each.</w:t>
            </w:r>
          </w:p>
        </w:tc>
      </w:tr>
    </w:tbl>
    <w:p>
      <w:pPr>
        <w:spacing w:after="120"/>
      </w:pP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Task 3 — expert-system components and trace [9]</w:t>
      </w:r>
    </w:p>
    <w:p>
      <w:pPr>
        <w:keepNext/>
        <w:spacing w:before="120" w:after="60"/>
      </w:pPr>
      <w:r>
        <w:rPr>
          <w:b/>
          <w:bCs/>
          <w:color w:val="494985"/>
          <w:sz w:val="20"/>
          <w:szCs w:val="20"/>
        </w:rPr>
        <w:t xml:space="preserve">Suggested answers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4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(a) A user interface; B inference engine; C knowledge base; D rules base. 1 each.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(b) Case A: R3 (1); check sound settings (1).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Case B: R3 requires the screen to be visible, but it is blank. R2 matches instead. Credit the failed condition; do not credit “because sound is off”.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(c) No match only means the rules do not cover the evidence (1); the keyboard fault may be outside the system’s knowledge, so seek expert advice/add a tested rule (1).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Check by evaluating every conjunction: Case A → R3; Case B → R2; Case C → no match. The rules are simplified classroom examples, not technical repair instructions.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Task 4 — expert-system operation/evaluation [8]</w:t>
      </w:r>
    </w:p>
    <w:p>
      <w:pPr>
        <w:keepNext/>
        <w:spacing w:before="120" w:after="60"/>
      </w:pPr>
      <w:r>
        <w:rPr>
          <w:b/>
          <w:bCs/>
          <w:color w:val="494985"/>
          <w:sz w:val="20"/>
          <w:szCs w:val="20"/>
        </w:rPr>
        <w:t xml:space="preserve">Suggested answers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4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(a) UI presents questions/accepts answers (1); knowledge base stores expert facts about engine faults (1); rules base stores IF–THEN rules (1); inference engine matches evidence and applies those rules to derive advice (1). Naming components without their roles is not sufficient.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(b) Advice remains available without the senior mechanic (1), so work can continue outside their working hours / fewer waits (1). Accept consistent advice + applied consequence.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Missing/outdated facts/rules or incorrect answers (1) can cause a wrong recommendation for an unfamiliar engine fault (1). Accept another valid limitation with an applied explanation.</w:t>
            </w:r>
          </w:p>
        </w:tc>
      </w:tr>
    </w:tbl>
    <w:p>
      <w:pPr>
        <w:spacing w:after="120"/>
      </w:pP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Task 5 — machine learning [10]</w:t>
      </w:r>
    </w:p>
    <w:p>
      <w:pPr>
        <w:keepNext/>
        <w:spacing w:before="120" w:after="60"/>
      </w:pPr>
      <w:r>
        <w:rPr>
          <w:b/>
          <w:bCs/>
          <w:color w:val="494985"/>
          <w:sz w:val="20"/>
          <w:szCs w:val="20"/>
        </w:rPr>
        <w:t xml:space="preserve">Suggested answers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(a) A subset/approach within AI trained using examples/past data (1) to learn patterns and make predictions/decisions about new data (1). Do not require labelled data as a definition of all machine learning.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(b) Unseen test images check how well it generalises beyond training examples (1); using the same photos could reward memorisation/overstate performance (1).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3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(c) A incorrect; B correct; C incorrect. 1 each. Only 1/3 correct in this small test; do not infer a reliable overall accuracy from three photos.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(d) Training data does not represent the new species/lighting (1); learned patterns may not transfer, causing misclassification (1).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(e) Add correctly labelled, varied examples from multiple species and lighting conditions. A specific change is required; “more data” alone is insufficient.</w:t>
            </w:r>
          </w:p>
        </w:tc>
      </w:tr>
    </w:tbl>
    <w:p>
      <w:pPr>
        <w:spacing w:after="120"/>
      </w:pP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Task 6 — choose and justify [6]</w:t>
      </w:r>
    </w:p>
    <w:p>
      <w:pPr>
        <w:keepNext/>
        <w:spacing w:before="120" w:after="60"/>
      </w:pPr>
      <w:r>
        <w:rPr>
          <w:b/>
          <w:bCs/>
          <w:color w:val="494985"/>
          <w:sz w:val="20"/>
          <w:szCs w:val="20"/>
        </w:rPr>
        <w:t xml:space="preserve">Suggested answers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3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Repair centre: expert system (1); clear manufacturer conditions can be encoded as facts and IF–THEN rules (1); maintain rules / refer unfamiliar faults to a technician / test known cases (1).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3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Recycling centre: machine learning (1); learns visual patterns from labelled waste images to classify new ones (1); use varied representative training and separate tests / human review of uncertain results (1).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Accept an alternative or hybrid only if its reasoning meets the scenario. Stretch example: ML classifies an image, then expert rules determine handling precautions; uncertain cases go to a human.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Exit ticket — suggested responses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1. Inference engine. 2. It learns patterns from training examples and uses the trained model to predict a class for an unseen photo. 3. Wrong or missing rules/input; unrepresentative/incorrectly labelled training data; unfamiliar conditions.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Verification and source notes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Checked against the supplied extract: AI characteristics (pp. 241–242), expert systems and setup (pp. 243–246), ML and examples (pp. 246–249). Official Cambridge question papers/mark schemes were not accessible during preparation; all questions and mark allocations above are original and suggested. No textbook artwork or uploaded source PDF is redistributed. Illustrations are original; line icons are Lucide (ISC licence), with source assets and licence in scripts/lessons/assets/ai. The leaf pictures are schematic illustrations, not diagnostic photographs.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Optional textbook extension: deep learning, printed pp. 250–251. This lesson does not require neural-network layers, narrow/general/strong AI categories, or calculation of model-training parameters.</w:t>
      </w:r>
    </w:p>
    <w:sectPr>
      <w:pgSz w:w="12240" w:h="15840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2026-10-11T16:38:25.642Z</dcterms:created>
  <dcterms:modified xsi:type="dcterms:W3CDTF">2026-10-11T16:38:25.642Z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