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Binary trees follow up answer key</w:t>
      </w:r>
    </w:p>
    <w:p>
      <w:r>
        <w:t>TEACHER COPY • Covers the worksheet and student booklet</w:t>
      </w:r>
    </w:p>
    <w:p>
      <w:pPr>
        <w:pStyle w:val="Heading1"/>
      </w:pPr>
      <w:r>
        <w:t>Teaching sequence and checkpoints</w:t>
      </w:r>
    </w:p>
    <w:p>
      <w:r>
        <w:t>Allow 70–80 minutes, or split after Task 3. Tasks 1–2: 15–20 min. Task 3: 20 min. Task 4: 10 min. Task 5A: 5 min. Task 6 and exit: 15–20 min. Extensions can become a later lesson. All tasks are original formative practice; no official marks are claimed.</w:t>
      </w:r>
    </w:p>
    <w:p>
      <w:r>
        <w:t>Scope: retain VB.NET and columns left=0, data=1, right=2. Use integer indexes throughout. No classes, constructors, getters or object references. Supply the table so insertion does not compete with learning recursion. Records are optional and use fields only.</w:t>
      </w:r>
    </w:p>
    <w:p>
      <w:r>
        <w:t>Important change from the original lesson: this traversal checks p=-1 on entry and calls both child subtrees unconditionally. The old lesson checked each child pointer before making a call. Explain that both designs can work; use only the entry-check version here because it also safely accepts an empty starting tree.</w:t>
      </w:r>
    </w:p>
    <w:tbl>
      <w:tblPr>
        <w:tblStyle w:val="TableGrid"/>
        <w:tblW w:type="auto" w:w="0"/>
        <w:tblLook w:firstColumn="1" w:firstRow="1" w:lastColumn="0" w:lastRow="0" w:noHBand="0" w:noVBand="1" w:val="04A0"/>
      </w:tblPr>
      <w:tblGrid>
        <w:gridCol w:w="3408"/>
        <w:gridCol w:w="3408"/>
        <w:gridCol w:w="3408"/>
      </w:tblGrid>
      <w:tr>
        <w:trPr>
          <w:cantSplit/>
          <w:tblHeader/>
        </w:trPr>
        <w:tc>
          <w:tcPr>
            <w:tcW w:type="dxa" w:w="3408"/>
            <w:shd w:fill="494985"/>
          </w:tcPr>
          <w:p>
            <w:pPr>
              <w:spacing w:after="100" w:before="100"/>
            </w:pPr>
            <w:r>
              <w:rPr>
                <w:b/>
                <w:color w:val="FFFFFF"/>
                <w:sz w:val="20"/>
              </w:rPr>
              <w:t>Checkpoint</w:t>
            </w:r>
          </w:p>
        </w:tc>
        <w:tc>
          <w:tcPr>
            <w:tcW w:type="dxa" w:w="3408"/>
            <w:shd w:fill="494985"/>
          </w:tcPr>
          <w:p>
            <w:pPr>
              <w:spacing w:after="100" w:before="100"/>
            </w:pPr>
            <w:r>
              <w:rPr>
                <w:b/>
                <w:color w:val="FFFFFF"/>
                <w:sz w:val="20"/>
              </w:rPr>
              <w:t>Ready to move on when…</w:t>
            </w:r>
          </w:p>
        </w:tc>
        <w:tc>
          <w:tcPr>
            <w:tcW w:type="dxa" w:w="3408"/>
            <w:shd w:fill="494985"/>
          </w:tcPr>
          <w:p>
            <w:pPr>
              <w:spacing w:after="100" w:before="100"/>
            </w:pPr>
            <w:r>
              <w:rPr>
                <w:b/>
                <w:color w:val="FFFFFF"/>
                <w:sz w:val="20"/>
              </w:rPr>
              <w:t>If not yet secure…</w:t>
            </w:r>
          </w:p>
        </w:tc>
      </w:tr>
      <w:tr>
        <w:trPr>
          <w:cantSplit/>
        </w:trPr>
        <w:tc>
          <w:tcPr>
            <w:tcW w:type="dxa" w:w="3408"/>
          </w:tcPr>
          <w:p>
            <w:pPr>
              <w:spacing w:after="100" w:before="100"/>
            </w:pPr>
            <w:r>
              <w:rPr>
                <w:sz w:val="20"/>
              </w:rPr>
              <w:t>After Task 2</w:t>
            </w:r>
          </w:p>
        </w:tc>
        <w:tc>
          <w:tcPr>
            <w:tcW w:type="dxa" w:w="3408"/>
          </w:tcPr>
          <w:p>
            <w:pPr>
              <w:spacing w:after="100" w:before="100"/>
            </w:pPr>
            <w:r>
              <w:rPr>
                <w:sz w:val="20"/>
              </w:rPr>
              <w:t>Pupil distinguishes index 3 from data 30</w:t>
            </w:r>
          </w:p>
        </w:tc>
        <w:tc>
          <w:tcPr>
            <w:tcW w:type="dxa" w:w="3408"/>
          </w:tcPr>
          <w:p>
            <w:pPr>
              <w:spacing w:after="100" w:before="100"/>
            </w:pPr>
            <w:r>
              <w:rPr>
                <w:sz w:val="20"/>
              </w:rPr>
              <w:t>Point to pointer cell, row index, then data</w:t>
            </w:r>
          </w:p>
        </w:tc>
      </w:tr>
      <w:tr>
        <w:trPr>
          <w:cantSplit/>
        </w:trPr>
        <w:tc>
          <w:tcPr>
            <w:tcW w:type="dxa" w:w="3408"/>
          </w:tcPr>
          <w:p>
            <w:pPr>
              <w:spacing w:after="100" w:before="100"/>
            </w:pPr>
            <w:r>
              <w:rPr>
                <w:sz w:val="20"/>
              </w:rPr>
              <w:t>After Task 3</w:t>
            </w:r>
          </w:p>
        </w:tc>
        <w:tc>
          <w:tcPr>
            <w:tcW w:type="dxa" w:w="3408"/>
          </w:tcPr>
          <w:p>
            <w:pPr>
              <w:spacing w:after="100" w:before="100"/>
            </w:pPr>
            <w:r>
              <w:rPr>
                <w:sz w:val="20"/>
              </w:rPr>
              <w:t>Pupil names the waiting call and resume rule</w:t>
            </w:r>
          </w:p>
        </w:tc>
        <w:tc>
          <w:tcPr>
            <w:tcW w:type="dxa" w:w="3408"/>
          </w:tcPr>
          <w:p>
            <w:pPr>
              <w:spacing w:after="100" w:before="100"/>
            </w:pPr>
            <w:r>
              <w:rPr>
                <w:sz w:val="20"/>
              </w:rPr>
              <w:t>Repeat a leaf and a three-node tree with paper frames</w:t>
            </w:r>
          </w:p>
        </w:tc>
      </w:tr>
      <w:tr>
        <w:trPr>
          <w:cantSplit/>
        </w:trPr>
        <w:tc>
          <w:tcPr>
            <w:tcW w:type="dxa" w:w="3408"/>
          </w:tcPr>
          <w:p>
            <w:pPr>
              <w:spacing w:after="100" w:before="100"/>
            </w:pPr>
            <w:r>
              <w:rPr>
                <w:sz w:val="20"/>
              </w:rPr>
              <w:t>After Task 4</w:t>
            </w:r>
          </w:p>
        </w:tc>
        <w:tc>
          <w:tcPr>
            <w:tcW w:type="dxa" w:w="3408"/>
          </w:tcPr>
          <w:p>
            <w:pPr>
              <w:spacing w:after="100" w:before="100"/>
            </w:pPr>
            <w:r>
              <w:rPr>
                <w:sz w:val="20"/>
              </w:rPr>
              <w:t>Pupil explains the guard and the two child arguments</w:t>
            </w:r>
          </w:p>
        </w:tc>
        <w:tc>
          <w:tcPr>
            <w:tcW w:type="dxa" w:w="3408"/>
          </w:tcPr>
          <w:p>
            <w:pPr>
              <w:spacing w:after="100" w:before="100"/>
            </w:pPr>
            <w:r>
              <w:rPr>
                <w:sz w:val="20"/>
              </w:rPr>
              <w:t>Keep using the recipe before completing code</w:t>
            </w:r>
          </w:p>
        </w:tc>
      </w:tr>
    </w:tbl>
    <w:p>
      <w:pPr>
        <w:spacing w:after="0"/>
      </w:pPr>
    </w:p>
    <w:p>
      <w:pPr>
        <w:pStyle w:val="Heading1"/>
      </w:pPr>
      <w:r>
        <w:t>Task 1</w:t>
      </w:r>
    </w:p>
    <w:p>
      <w:r>
        <w:t>A. After 40: root only. After 20: left child of 40. After 60: right child of 40. After 30: right child of 20. Accept correct incremental sketches; preserve left/right placement.</w:t>
      </w:r>
    </w:p>
    <w:p>
      <w:pPr>
        <w:spacing w:after="180"/>
      </w:pPr>
      <w:r>
        <w:rPr>
          <w:rFonts w:ascii="Consolas" w:hAnsi="Consolas"/>
          <w:sz w:val="20"/>
        </w:rPr>
        <w:t xml:space="preserve">      40</w:t>
      </w:r>
      <w:r>
        <w:rPr>
          <w:rFonts w:ascii="Consolas" w:hAnsi="Consolas"/>
          <w:sz w:val="20"/>
        </w:rPr>
        <w:br/>
        <w:t xml:space="preserve">     /  \</w:t>
      </w:r>
      <w:r>
        <w:rPr>
          <w:rFonts w:ascii="Consolas" w:hAnsi="Consolas"/>
          <w:sz w:val="20"/>
        </w:rPr>
        <w:br/>
        <w:t xml:space="preserve">   20    60</w:t>
      </w:r>
      <w:r>
        <w:rPr>
          <w:rFonts w:ascii="Consolas" w:hAnsi="Consolas"/>
          <w:sz w:val="20"/>
        </w:rPr>
        <w:br/>
        <w:t xml:space="preserve">     \</w:t>
      </w:r>
      <w:r>
        <w:rPr>
          <w:rFonts w:ascii="Consolas" w:hAnsi="Consolas"/>
          <w:sz w:val="20"/>
        </w:rPr>
        <w:br/>
        <w:t xml:space="preserve">      30</w:t>
      </w:r>
    </w:p>
    <w:p>
      <w:r>
        <w:t>B. Root 40; leaves 30 and 60; subtree at 20 contains 20 and 30. C. 30 &lt; 40, but 30 &gt; 20. Binary trees have at most two children; only an ordered binary tree adds the ordering rule.</w:t>
      </w:r>
    </w:p>
    <w:p>
      <w:r>
        <w:br w:type="page"/>
      </w:r>
    </w:p>
    <w:p>
      <w:pPr>
        <w:pStyle w:val="Heading1"/>
      </w:pPr>
      <w:r>
        <w:t>Task 2</w:t>
      </w:r>
    </w:p>
    <w:tbl>
      <w:tblPr>
        <w:tblStyle w:val="TableGrid"/>
        <w:tblW w:type="auto" w:w="0"/>
        <w:tblLook w:firstColumn="1" w:firstRow="1" w:lastColumn="0" w:lastRow="0" w:noHBand="0" w:noVBand="1" w:val="04A0"/>
      </w:tblPr>
      <w:tblGrid>
        <w:gridCol w:w="2556"/>
        <w:gridCol w:w="2556"/>
        <w:gridCol w:w="2556"/>
        <w:gridCol w:w="2556"/>
      </w:tblGrid>
      <w:tr>
        <w:trPr>
          <w:cantSplit/>
          <w:tblHeader/>
        </w:trPr>
        <w:tc>
          <w:tcPr>
            <w:tcW w:type="dxa" w:w="2556"/>
            <w:shd w:fill="494985"/>
          </w:tcPr>
          <w:p>
            <w:pPr>
              <w:spacing w:after="100" w:before="100"/>
            </w:pPr>
            <w:r>
              <w:rPr>
                <w:b/>
                <w:color w:val="FFFFFF"/>
                <w:sz w:val="20"/>
              </w:rPr>
              <w:t>Index</w:t>
            </w:r>
          </w:p>
        </w:tc>
        <w:tc>
          <w:tcPr>
            <w:tcW w:type="dxa" w:w="2556"/>
            <w:shd w:fill="494985"/>
          </w:tcPr>
          <w:p>
            <w:pPr>
              <w:spacing w:after="100" w:before="100"/>
            </w:pPr>
            <w:r>
              <w:rPr>
                <w:b/>
                <w:color w:val="FFFFFF"/>
                <w:sz w:val="20"/>
              </w:rPr>
              <w:t>Left (0)</w:t>
            </w:r>
          </w:p>
        </w:tc>
        <w:tc>
          <w:tcPr>
            <w:tcW w:type="dxa" w:w="2556"/>
            <w:shd w:fill="494985"/>
          </w:tcPr>
          <w:p>
            <w:pPr>
              <w:spacing w:after="100" w:before="100"/>
            </w:pPr>
            <w:r>
              <w:rPr>
                <w:b/>
                <w:color w:val="FFFFFF"/>
                <w:sz w:val="20"/>
              </w:rPr>
              <w:t>Data (1)</w:t>
            </w:r>
          </w:p>
        </w:tc>
        <w:tc>
          <w:tcPr>
            <w:tcW w:type="dxa" w:w="2556"/>
            <w:shd w:fill="494985"/>
          </w:tcPr>
          <w:p>
            <w:pPr>
              <w:spacing w:after="100" w:before="100"/>
            </w:pPr>
            <w:r>
              <w:rPr>
                <w:b/>
                <w:color w:val="FFFFFF"/>
                <w:sz w:val="20"/>
              </w:rPr>
              <w:t>Right (2)</w:t>
            </w:r>
          </w:p>
        </w:tc>
      </w:tr>
      <w:tr>
        <w:trPr>
          <w:cantSplit/>
        </w:trPr>
        <w:tc>
          <w:tcPr>
            <w:tcW w:type="dxa" w:w="2556"/>
          </w:tcPr>
          <w:p>
            <w:pPr>
              <w:spacing w:after="100" w:before="100"/>
            </w:pPr>
            <w:r>
              <w:rPr>
                <w:sz w:val="20"/>
              </w:rPr>
              <w:t>0</w:t>
            </w:r>
          </w:p>
        </w:tc>
        <w:tc>
          <w:tcPr>
            <w:tcW w:type="dxa" w:w="2556"/>
          </w:tcPr>
          <w:p>
            <w:pPr>
              <w:spacing w:after="100" w:before="100"/>
            </w:pPr>
            <w:r>
              <w:rPr>
                <w:sz w:val="20"/>
              </w:rPr>
              <w:t>1</w:t>
            </w:r>
          </w:p>
        </w:tc>
        <w:tc>
          <w:tcPr>
            <w:tcW w:type="dxa" w:w="2556"/>
          </w:tcPr>
          <w:p>
            <w:pPr>
              <w:spacing w:after="100" w:before="100"/>
            </w:pPr>
            <w:r>
              <w:rPr>
                <w:sz w:val="20"/>
              </w:rPr>
              <w:t>40</w:t>
            </w:r>
          </w:p>
        </w:tc>
        <w:tc>
          <w:tcPr>
            <w:tcW w:type="dxa" w:w="2556"/>
          </w:tcPr>
          <w:p>
            <w:pPr>
              <w:spacing w:after="100" w:before="100"/>
            </w:pPr>
            <w:r>
              <w:rPr>
                <w:sz w:val="20"/>
              </w:rPr>
              <w:t>2</w:t>
            </w:r>
          </w:p>
        </w:tc>
      </w:tr>
      <w:tr>
        <w:trPr>
          <w:cantSplit/>
        </w:trPr>
        <w:tc>
          <w:tcPr>
            <w:tcW w:type="dxa" w:w="2556"/>
          </w:tcPr>
          <w:p>
            <w:pPr>
              <w:spacing w:after="100" w:before="100"/>
            </w:pPr>
            <w:r>
              <w:rPr>
                <w:sz w:val="20"/>
              </w:rPr>
              <w:t>1</w:t>
            </w:r>
          </w:p>
        </w:tc>
        <w:tc>
          <w:tcPr>
            <w:tcW w:type="dxa" w:w="2556"/>
          </w:tcPr>
          <w:p>
            <w:pPr>
              <w:spacing w:after="100" w:before="100"/>
            </w:pPr>
            <w:r>
              <w:rPr>
                <w:sz w:val="20"/>
              </w:rPr>
              <w:t>-1</w:t>
            </w:r>
          </w:p>
        </w:tc>
        <w:tc>
          <w:tcPr>
            <w:tcW w:type="dxa" w:w="2556"/>
          </w:tcPr>
          <w:p>
            <w:pPr>
              <w:spacing w:after="100" w:before="100"/>
            </w:pPr>
            <w:r>
              <w:rPr>
                <w:sz w:val="20"/>
              </w:rPr>
              <w:t>20</w:t>
            </w:r>
          </w:p>
        </w:tc>
        <w:tc>
          <w:tcPr>
            <w:tcW w:type="dxa" w:w="2556"/>
          </w:tcPr>
          <w:p>
            <w:pPr>
              <w:spacing w:after="100" w:before="100"/>
            </w:pPr>
            <w:r>
              <w:rPr>
                <w:sz w:val="20"/>
              </w:rPr>
              <w:t>3</w:t>
            </w:r>
          </w:p>
        </w:tc>
      </w:tr>
      <w:tr>
        <w:trPr>
          <w:cantSplit/>
        </w:trPr>
        <w:tc>
          <w:tcPr>
            <w:tcW w:type="dxa" w:w="2556"/>
          </w:tcPr>
          <w:p>
            <w:pPr>
              <w:spacing w:after="100" w:before="100"/>
            </w:pPr>
            <w:r>
              <w:rPr>
                <w:sz w:val="20"/>
              </w:rPr>
              <w:t>2</w:t>
            </w:r>
          </w:p>
        </w:tc>
        <w:tc>
          <w:tcPr>
            <w:tcW w:type="dxa" w:w="2556"/>
          </w:tcPr>
          <w:p>
            <w:pPr>
              <w:spacing w:after="100" w:before="100"/>
            </w:pPr>
            <w:r>
              <w:rPr>
                <w:sz w:val="20"/>
              </w:rPr>
              <w:t>-1</w:t>
            </w:r>
          </w:p>
        </w:tc>
        <w:tc>
          <w:tcPr>
            <w:tcW w:type="dxa" w:w="2556"/>
          </w:tcPr>
          <w:p>
            <w:pPr>
              <w:spacing w:after="100" w:before="100"/>
            </w:pPr>
            <w:r>
              <w:rPr>
                <w:sz w:val="20"/>
              </w:rPr>
              <w:t>60</w:t>
            </w:r>
          </w:p>
        </w:tc>
        <w:tc>
          <w:tcPr>
            <w:tcW w:type="dxa" w:w="2556"/>
          </w:tcPr>
          <w:p>
            <w:pPr>
              <w:spacing w:after="100" w:before="100"/>
            </w:pPr>
            <w:r>
              <w:rPr>
                <w:sz w:val="20"/>
              </w:rPr>
              <w:t>-1</w:t>
            </w:r>
          </w:p>
        </w:tc>
      </w:tr>
      <w:tr>
        <w:trPr>
          <w:cantSplit/>
        </w:trPr>
        <w:tc>
          <w:tcPr>
            <w:tcW w:type="dxa" w:w="2556"/>
          </w:tcPr>
          <w:p>
            <w:pPr>
              <w:spacing w:after="100" w:before="100"/>
            </w:pPr>
            <w:r>
              <w:rPr>
                <w:sz w:val="20"/>
              </w:rPr>
              <w:t>3</w:t>
            </w:r>
          </w:p>
        </w:tc>
        <w:tc>
          <w:tcPr>
            <w:tcW w:type="dxa" w:w="2556"/>
          </w:tcPr>
          <w:p>
            <w:pPr>
              <w:spacing w:after="100" w:before="100"/>
            </w:pPr>
            <w:r>
              <w:rPr>
                <w:sz w:val="20"/>
              </w:rPr>
              <w:t>-1</w:t>
            </w:r>
          </w:p>
        </w:tc>
        <w:tc>
          <w:tcPr>
            <w:tcW w:type="dxa" w:w="2556"/>
          </w:tcPr>
          <w:p>
            <w:pPr>
              <w:spacing w:after="100" w:before="100"/>
            </w:pPr>
            <w:r>
              <w:rPr>
                <w:sz w:val="20"/>
              </w:rPr>
              <w:t>30</w:t>
            </w:r>
          </w:p>
        </w:tc>
        <w:tc>
          <w:tcPr>
            <w:tcW w:type="dxa" w:w="2556"/>
          </w:tcPr>
          <w:p>
            <w:pPr>
              <w:spacing w:after="100" w:before="100"/>
            </w:pPr>
            <w:r>
              <w:rPr>
                <w:sz w:val="20"/>
              </w:rPr>
              <w:t>-1</w:t>
            </w:r>
          </w:p>
        </w:tc>
      </w:tr>
    </w:tbl>
    <w:p>
      <w:pPr>
        <w:spacing w:after="0"/>
      </w:pPr>
    </w:p>
    <w:p>
      <w:r>
        <w:t>A. RootPointer=0. B. Indexes 0,1,3; data 40,20,30. C. TreeArray(1,2)=3 is a pointer; TreeArray(3,1)=30 is the child’s data. D. Root is 2:7, left child 1:4, right child 0:9. Both children are leaves.</w:t>
      </w:r>
    </w:p>
    <w:p>
      <w:pPr>
        <w:pStyle w:val="Heading1"/>
      </w:pPr>
      <w:r>
        <w:t>Task 3</w:t>
      </w:r>
    </w:p>
    <w:p>
      <w:r>
        <w:t>Drawing: root 1:25; left leaf 2:10; right leaf 0:15. It is not a BST because right child 15 is less than 25. In-order still means left, node, right.</w:t>
      </w:r>
    </w:p>
    <w:tbl>
      <w:tblPr>
        <w:tblStyle w:val="TableGrid"/>
        <w:tblW w:type="auto" w:w="0"/>
        <w:tblLayout w:type="fixed"/>
        <w:tblLook w:firstColumn="1" w:firstRow="1" w:lastColumn="0" w:lastRow="0" w:noHBand="0" w:noVBand="1" w:val="04A0"/>
      </w:tblPr>
      <w:tblGrid>
        <w:gridCol w:w="864"/>
        <w:gridCol w:w="1080"/>
        <w:gridCol w:w="6120"/>
        <w:gridCol w:w="2160"/>
      </w:tblGrid>
      <w:tr>
        <w:trPr>
          <w:cantSplit/>
          <w:tblHeader/>
        </w:trPr>
        <w:tc>
          <w:tcPr>
            <w:tcW w:type="dxa" w:w="864"/>
            <w:shd w:fill="494985"/>
          </w:tcPr>
          <w:p>
            <w:pPr>
              <w:spacing w:after="60" w:before="60"/>
            </w:pPr>
            <w:r>
              <w:rPr>
                <w:b/>
                <w:color w:val="FFFFFF"/>
                <w:sz w:val="20"/>
              </w:rPr>
              <w:t>Event</w:t>
            </w:r>
          </w:p>
        </w:tc>
        <w:tc>
          <w:tcPr>
            <w:tcW w:type="dxa" w:w="1080"/>
            <w:shd w:fill="494985"/>
          </w:tcPr>
          <w:p>
            <w:pPr>
              <w:spacing w:after="60" w:before="60"/>
            </w:pPr>
            <w:r>
              <w:rPr>
                <w:b/>
                <w:color w:val="FFFFFF"/>
                <w:sz w:val="20"/>
              </w:rPr>
              <w:t>Active p</w:t>
            </w:r>
          </w:p>
        </w:tc>
        <w:tc>
          <w:tcPr>
            <w:tcW w:type="dxa" w:w="6120"/>
            <w:shd w:fill="494985"/>
          </w:tcPr>
          <w:p>
            <w:pPr>
              <w:spacing w:after="60" w:before="60"/>
            </w:pPr>
            <w:r>
              <w:rPr>
                <w:b/>
                <w:color w:val="FFFFFF"/>
                <w:sz w:val="20"/>
              </w:rPr>
              <w:t>What happens / where next?</w:t>
            </w:r>
          </w:p>
        </w:tc>
        <w:tc>
          <w:tcPr>
            <w:tcW w:type="dxa" w:w="2160"/>
            <w:shd w:fill="494985"/>
          </w:tcPr>
          <w:p>
            <w:pPr>
              <w:spacing w:after="60" w:before="60"/>
            </w:pPr>
            <w:r>
              <w:rPr>
                <w:b/>
                <w:color w:val="FFFFFF"/>
                <w:sz w:val="20"/>
              </w:rPr>
              <w:t>Output added</w:t>
            </w:r>
          </w:p>
        </w:tc>
      </w:tr>
      <w:tr>
        <w:trPr>
          <w:cantSplit/>
        </w:trPr>
        <w:tc>
          <w:tcPr>
            <w:tcW w:type="dxa" w:w="864"/>
          </w:tcPr>
          <w:p>
            <w:pPr>
              <w:spacing w:after="60" w:before="60"/>
            </w:pPr>
            <w:r>
              <w:rPr>
                <w:sz w:val="20"/>
              </w:rPr>
              <w:t>1</w:t>
            </w:r>
          </w:p>
        </w:tc>
        <w:tc>
          <w:tcPr>
            <w:tcW w:type="dxa" w:w="1080"/>
          </w:tcPr>
          <w:p>
            <w:pPr>
              <w:spacing w:after="60" w:before="60"/>
            </w:pPr>
            <w:r>
              <w:rPr>
                <w:sz w:val="20"/>
              </w:rPr>
              <w:t>1</w:t>
            </w:r>
          </w:p>
        </w:tc>
        <w:tc>
          <w:tcPr>
            <w:tcW w:type="dxa" w:w="6120"/>
          </w:tcPr>
          <w:p>
            <w:pPr>
              <w:spacing w:after="60" w:before="60"/>
            </w:pPr>
            <w:r>
              <w:rPr>
                <w:sz w:val="20"/>
              </w:rPr>
              <w:t>Call InOrder(2); wait at rule 3</w:t>
            </w:r>
          </w:p>
        </w:tc>
        <w:tc>
          <w:tcPr>
            <w:tcW w:type="dxa" w:w="2160"/>
          </w:tcPr>
          <w:p>
            <w:pPr>
              <w:spacing w:after="60" w:before="60"/>
            </w:pPr>
            <w:r>
              <w:rPr>
                <w:sz w:val="20"/>
              </w:rPr>
              <w:t>—</w:t>
            </w:r>
          </w:p>
        </w:tc>
      </w:tr>
      <w:tr>
        <w:trPr>
          <w:cantSplit/>
        </w:trPr>
        <w:tc>
          <w:tcPr>
            <w:tcW w:type="dxa" w:w="864"/>
          </w:tcPr>
          <w:p>
            <w:pPr>
              <w:spacing w:after="60" w:before="60"/>
            </w:pPr>
            <w:r>
              <w:rPr>
                <w:sz w:val="20"/>
              </w:rPr>
              <w:t>2</w:t>
            </w:r>
          </w:p>
        </w:tc>
        <w:tc>
          <w:tcPr>
            <w:tcW w:type="dxa" w:w="1080"/>
          </w:tcPr>
          <w:p>
            <w:pPr>
              <w:spacing w:after="60" w:before="60"/>
            </w:pPr>
            <w:r>
              <w:rPr>
                <w:sz w:val="20"/>
              </w:rPr>
              <w:t>2</w:t>
            </w:r>
          </w:p>
        </w:tc>
        <w:tc>
          <w:tcPr>
            <w:tcW w:type="dxa" w:w="6120"/>
          </w:tcPr>
          <w:p>
            <w:pPr>
              <w:spacing w:after="60" w:before="60"/>
            </w:pPr>
            <w:r>
              <w:rPr>
                <w:sz w:val="20"/>
              </w:rPr>
              <w:t>Call InOrder(-1); wait at rule 3</w:t>
            </w:r>
          </w:p>
        </w:tc>
        <w:tc>
          <w:tcPr>
            <w:tcW w:type="dxa" w:w="2160"/>
          </w:tcPr>
          <w:p>
            <w:pPr>
              <w:spacing w:after="60" w:before="60"/>
            </w:pPr>
            <w:r>
              <w:rPr>
                <w:sz w:val="20"/>
              </w:rPr>
              <w:t>—</w:t>
            </w:r>
          </w:p>
        </w:tc>
      </w:tr>
      <w:tr>
        <w:trPr>
          <w:cantSplit/>
        </w:trPr>
        <w:tc>
          <w:tcPr>
            <w:tcW w:type="dxa" w:w="864"/>
          </w:tcPr>
          <w:p>
            <w:pPr>
              <w:spacing w:after="60" w:before="60"/>
            </w:pPr>
            <w:r>
              <w:rPr>
                <w:sz w:val="20"/>
              </w:rPr>
              <w:t>3</w:t>
            </w:r>
          </w:p>
        </w:tc>
        <w:tc>
          <w:tcPr>
            <w:tcW w:type="dxa" w:w="1080"/>
          </w:tcPr>
          <w:p>
            <w:pPr>
              <w:spacing w:after="60" w:before="60"/>
            </w:pPr>
            <w:r>
              <w:rPr>
                <w:sz w:val="20"/>
              </w:rPr>
              <w:t>-1</w:t>
            </w:r>
          </w:p>
        </w:tc>
        <w:tc>
          <w:tcPr>
            <w:tcW w:type="dxa" w:w="6120"/>
          </w:tcPr>
          <w:p>
            <w:pPr>
              <w:spacing w:after="60" w:before="60"/>
            </w:pPr>
            <w:r>
              <w:rPr>
                <w:sz w:val="20"/>
              </w:rPr>
              <w:t>Return to p=2, rule 3</w:t>
            </w:r>
          </w:p>
        </w:tc>
        <w:tc>
          <w:tcPr>
            <w:tcW w:type="dxa" w:w="2160"/>
          </w:tcPr>
          <w:p>
            <w:pPr>
              <w:spacing w:after="60" w:before="60"/>
            </w:pPr>
            <w:r>
              <w:rPr>
                <w:sz w:val="20"/>
              </w:rPr>
              <w:t>—</w:t>
            </w:r>
          </w:p>
        </w:tc>
      </w:tr>
      <w:tr>
        <w:trPr>
          <w:cantSplit/>
        </w:trPr>
        <w:tc>
          <w:tcPr>
            <w:tcW w:type="dxa" w:w="864"/>
          </w:tcPr>
          <w:p>
            <w:pPr>
              <w:spacing w:after="60" w:before="60"/>
            </w:pPr>
            <w:r>
              <w:rPr>
                <w:sz w:val="20"/>
              </w:rPr>
              <w:t>4</w:t>
            </w:r>
          </w:p>
        </w:tc>
        <w:tc>
          <w:tcPr>
            <w:tcW w:type="dxa" w:w="1080"/>
          </w:tcPr>
          <w:p>
            <w:pPr>
              <w:spacing w:after="60" w:before="60"/>
            </w:pPr>
            <w:r>
              <w:rPr>
                <w:sz w:val="20"/>
              </w:rPr>
              <w:t>2</w:t>
            </w:r>
          </w:p>
        </w:tc>
        <w:tc>
          <w:tcPr>
            <w:tcW w:type="dxa" w:w="6120"/>
          </w:tcPr>
          <w:p>
            <w:pPr>
              <w:spacing w:after="60" w:before="60"/>
            </w:pPr>
            <w:r>
              <w:rPr>
                <w:sz w:val="20"/>
              </w:rPr>
              <w:t>Output data</w:t>
            </w:r>
          </w:p>
        </w:tc>
        <w:tc>
          <w:tcPr>
            <w:tcW w:type="dxa" w:w="2160"/>
          </w:tcPr>
          <w:p>
            <w:pPr>
              <w:spacing w:after="60" w:before="60"/>
            </w:pPr>
            <w:r>
              <w:rPr>
                <w:sz w:val="20"/>
              </w:rPr>
              <w:t>10</w:t>
            </w:r>
          </w:p>
        </w:tc>
      </w:tr>
      <w:tr>
        <w:trPr>
          <w:cantSplit/>
        </w:trPr>
        <w:tc>
          <w:tcPr>
            <w:tcW w:type="dxa" w:w="864"/>
          </w:tcPr>
          <w:p>
            <w:pPr>
              <w:spacing w:after="60" w:before="60"/>
            </w:pPr>
            <w:r>
              <w:rPr>
                <w:sz w:val="20"/>
              </w:rPr>
              <w:t>5</w:t>
            </w:r>
          </w:p>
        </w:tc>
        <w:tc>
          <w:tcPr>
            <w:tcW w:type="dxa" w:w="1080"/>
          </w:tcPr>
          <w:p>
            <w:pPr>
              <w:spacing w:after="60" w:before="60"/>
            </w:pPr>
            <w:r>
              <w:rPr>
                <w:sz w:val="20"/>
              </w:rPr>
              <w:t>2</w:t>
            </w:r>
          </w:p>
        </w:tc>
        <w:tc>
          <w:tcPr>
            <w:tcW w:type="dxa" w:w="6120"/>
          </w:tcPr>
          <w:p>
            <w:pPr>
              <w:spacing w:after="60" w:before="60"/>
            </w:pPr>
            <w:r>
              <w:rPr>
                <w:sz w:val="20"/>
              </w:rPr>
              <w:t>Call InOrder(-1); wait at rule 5</w:t>
            </w:r>
          </w:p>
        </w:tc>
        <w:tc>
          <w:tcPr>
            <w:tcW w:type="dxa" w:w="2160"/>
          </w:tcPr>
          <w:p>
            <w:pPr>
              <w:spacing w:after="60" w:before="60"/>
            </w:pPr>
            <w:r>
              <w:rPr>
                <w:sz w:val="20"/>
              </w:rPr>
              <w:t>—</w:t>
            </w:r>
          </w:p>
        </w:tc>
      </w:tr>
      <w:tr>
        <w:trPr>
          <w:cantSplit/>
        </w:trPr>
        <w:tc>
          <w:tcPr>
            <w:tcW w:type="dxa" w:w="864"/>
          </w:tcPr>
          <w:p>
            <w:pPr>
              <w:spacing w:after="60" w:before="60"/>
            </w:pPr>
            <w:r>
              <w:rPr>
                <w:sz w:val="20"/>
              </w:rPr>
              <w:t>6</w:t>
            </w:r>
          </w:p>
        </w:tc>
        <w:tc>
          <w:tcPr>
            <w:tcW w:type="dxa" w:w="1080"/>
          </w:tcPr>
          <w:p>
            <w:pPr>
              <w:spacing w:after="60" w:before="60"/>
            </w:pPr>
            <w:r>
              <w:rPr>
                <w:sz w:val="20"/>
              </w:rPr>
              <w:t>-1</w:t>
            </w:r>
          </w:p>
        </w:tc>
        <w:tc>
          <w:tcPr>
            <w:tcW w:type="dxa" w:w="6120"/>
          </w:tcPr>
          <w:p>
            <w:pPr>
              <w:spacing w:after="60" w:before="60"/>
            </w:pPr>
            <w:r>
              <w:rPr>
                <w:sz w:val="20"/>
              </w:rPr>
              <w:t>Return to p=2, rule 5</w:t>
            </w:r>
          </w:p>
        </w:tc>
        <w:tc>
          <w:tcPr>
            <w:tcW w:type="dxa" w:w="2160"/>
          </w:tcPr>
          <w:p>
            <w:pPr>
              <w:spacing w:after="60" w:before="60"/>
            </w:pPr>
            <w:r>
              <w:rPr>
                <w:sz w:val="20"/>
              </w:rPr>
              <w:t>—</w:t>
            </w:r>
          </w:p>
        </w:tc>
      </w:tr>
      <w:tr>
        <w:trPr>
          <w:cantSplit/>
        </w:trPr>
        <w:tc>
          <w:tcPr>
            <w:tcW w:type="dxa" w:w="864"/>
          </w:tcPr>
          <w:p>
            <w:pPr>
              <w:spacing w:after="60" w:before="60"/>
            </w:pPr>
            <w:r>
              <w:rPr>
                <w:sz w:val="20"/>
              </w:rPr>
              <w:t>7</w:t>
            </w:r>
          </w:p>
        </w:tc>
        <w:tc>
          <w:tcPr>
            <w:tcW w:type="dxa" w:w="1080"/>
          </w:tcPr>
          <w:p>
            <w:pPr>
              <w:spacing w:after="60" w:before="60"/>
            </w:pPr>
            <w:r>
              <w:rPr>
                <w:sz w:val="20"/>
              </w:rPr>
              <w:t>2</w:t>
            </w:r>
          </w:p>
        </w:tc>
        <w:tc>
          <w:tcPr>
            <w:tcW w:type="dxa" w:w="6120"/>
          </w:tcPr>
          <w:p>
            <w:pPr>
              <w:spacing w:after="60" w:before="60"/>
            </w:pPr>
            <w:r>
              <w:rPr>
                <w:sz w:val="20"/>
              </w:rPr>
              <w:t>Return to p=1, rule 3</w:t>
            </w:r>
          </w:p>
        </w:tc>
        <w:tc>
          <w:tcPr>
            <w:tcW w:type="dxa" w:w="2160"/>
          </w:tcPr>
          <w:p>
            <w:pPr>
              <w:spacing w:after="60" w:before="60"/>
            </w:pPr>
            <w:r>
              <w:rPr>
                <w:sz w:val="20"/>
              </w:rPr>
              <w:t>—</w:t>
            </w:r>
          </w:p>
        </w:tc>
      </w:tr>
      <w:tr>
        <w:trPr>
          <w:cantSplit/>
        </w:trPr>
        <w:tc>
          <w:tcPr>
            <w:tcW w:type="dxa" w:w="864"/>
          </w:tcPr>
          <w:p>
            <w:pPr>
              <w:spacing w:after="60" w:before="60"/>
            </w:pPr>
            <w:r>
              <w:rPr>
                <w:sz w:val="20"/>
              </w:rPr>
              <w:t>8</w:t>
            </w:r>
          </w:p>
        </w:tc>
        <w:tc>
          <w:tcPr>
            <w:tcW w:type="dxa" w:w="1080"/>
          </w:tcPr>
          <w:p>
            <w:pPr>
              <w:spacing w:after="60" w:before="60"/>
            </w:pPr>
            <w:r>
              <w:rPr>
                <w:sz w:val="20"/>
              </w:rPr>
              <w:t>1</w:t>
            </w:r>
          </w:p>
        </w:tc>
        <w:tc>
          <w:tcPr>
            <w:tcW w:type="dxa" w:w="6120"/>
          </w:tcPr>
          <w:p>
            <w:pPr>
              <w:spacing w:after="60" w:before="60"/>
            </w:pPr>
            <w:r>
              <w:rPr>
                <w:sz w:val="20"/>
              </w:rPr>
              <w:t>Output data</w:t>
            </w:r>
          </w:p>
        </w:tc>
        <w:tc>
          <w:tcPr>
            <w:tcW w:type="dxa" w:w="2160"/>
          </w:tcPr>
          <w:p>
            <w:pPr>
              <w:spacing w:after="60" w:before="60"/>
            </w:pPr>
            <w:r>
              <w:rPr>
                <w:sz w:val="20"/>
              </w:rPr>
              <w:t>25</w:t>
            </w:r>
          </w:p>
        </w:tc>
      </w:tr>
      <w:tr>
        <w:trPr>
          <w:cantSplit/>
        </w:trPr>
        <w:tc>
          <w:tcPr>
            <w:tcW w:type="dxa" w:w="864"/>
          </w:tcPr>
          <w:p>
            <w:pPr>
              <w:spacing w:after="60" w:before="60"/>
            </w:pPr>
            <w:r>
              <w:rPr>
                <w:sz w:val="20"/>
              </w:rPr>
              <w:t>9</w:t>
            </w:r>
          </w:p>
        </w:tc>
        <w:tc>
          <w:tcPr>
            <w:tcW w:type="dxa" w:w="1080"/>
          </w:tcPr>
          <w:p>
            <w:pPr>
              <w:spacing w:after="60" w:before="60"/>
            </w:pPr>
            <w:r>
              <w:rPr>
                <w:sz w:val="20"/>
              </w:rPr>
              <w:t>1</w:t>
            </w:r>
          </w:p>
        </w:tc>
        <w:tc>
          <w:tcPr>
            <w:tcW w:type="dxa" w:w="6120"/>
          </w:tcPr>
          <w:p>
            <w:pPr>
              <w:spacing w:after="60" w:before="60"/>
            </w:pPr>
            <w:r>
              <w:rPr>
                <w:sz w:val="20"/>
              </w:rPr>
              <w:t>Call InOrder(0); wait at rule 5</w:t>
            </w:r>
          </w:p>
        </w:tc>
        <w:tc>
          <w:tcPr>
            <w:tcW w:type="dxa" w:w="2160"/>
          </w:tcPr>
          <w:p>
            <w:pPr>
              <w:spacing w:after="60" w:before="60"/>
            </w:pPr>
            <w:r>
              <w:rPr>
                <w:sz w:val="20"/>
              </w:rPr>
              <w:t>—</w:t>
            </w:r>
          </w:p>
        </w:tc>
      </w:tr>
      <w:tr>
        <w:trPr>
          <w:cantSplit/>
        </w:trPr>
        <w:tc>
          <w:tcPr>
            <w:tcW w:type="dxa" w:w="864"/>
          </w:tcPr>
          <w:p>
            <w:pPr>
              <w:spacing w:after="60" w:before="60"/>
            </w:pPr>
            <w:r>
              <w:rPr>
                <w:sz w:val="20"/>
              </w:rPr>
              <w:t>10</w:t>
            </w:r>
          </w:p>
        </w:tc>
        <w:tc>
          <w:tcPr>
            <w:tcW w:type="dxa" w:w="1080"/>
          </w:tcPr>
          <w:p>
            <w:pPr>
              <w:spacing w:after="60" w:before="60"/>
            </w:pPr>
            <w:r>
              <w:rPr>
                <w:sz w:val="20"/>
              </w:rPr>
              <w:t>0</w:t>
            </w:r>
          </w:p>
        </w:tc>
        <w:tc>
          <w:tcPr>
            <w:tcW w:type="dxa" w:w="6120"/>
          </w:tcPr>
          <w:p>
            <w:pPr>
              <w:spacing w:after="60" w:before="60"/>
            </w:pPr>
            <w:r>
              <w:rPr>
                <w:sz w:val="20"/>
              </w:rPr>
              <w:t>Call InOrder(-1); wait at rule 3</w:t>
            </w:r>
          </w:p>
        </w:tc>
        <w:tc>
          <w:tcPr>
            <w:tcW w:type="dxa" w:w="2160"/>
          </w:tcPr>
          <w:p>
            <w:pPr>
              <w:spacing w:after="60" w:before="60"/>
            </w:pPr>
            <w:r>
              <w:rPr>
                <w:sz w:val="20"/>
              </w:rPr>
              <w:t>—</w:t>
            </w:r>
          </w:p>
        </w:tc>
      </w:tr>
      <w:tr>
        <w:trPr>
          <w:cantSplit/>
        </w:trPr>
        <w:tc>
          <w:tcPr>
            <w:tcW w:type="dxa" w:w="864"/>
          </w:tcPr>
          <w:p>
            <w:pPr>
              <w:spacing w:after="60" w:before="60"/>
            </w:pPr>
            <w:r>
              <w:rPr>
                <w:sz w:val="20"/>
              </w:rPr>
              <w:t>11</w:t>
            </w:r>
          </w:p>
        </w:tc>
        <w:tc>
          <w:tcPr>
            <w:tcW w:type="dxa" w:w="1080"/>
          </w:tcPr>
          <w:p>
            <w:pPr>
              <w:spacing w:after="60" w:before="60"/>
            </w:pPr>
            <w:r>
              <w:rPr>
                <w:sz w:val="20"/>
              </w:rPr>
              <w:t>-1</w:t>
            </w:r>
          </w:p>
        </w:tc>
        <w:tc>
          <w:tcPr>
            <w:tcW w:type="dxa" w:w="6120"/>
          </w:tcPr>
          <w:p>
            <w:pPr>
              <w:spacing w:after="60" w:before="60"/>
            </w:pPr>
            <w:r>
              <w:rPr>
                <w:sz w:val="20"/>
              </w:rPr>
              <w:t>Return to p=0, rule 3</w:t>
            </w:r>
          </w:p>
        </w:tc>
        <w:tc>
          <w:tcPr>
            <w:tcW w:type="dxa" w:w="2160"/>
          </w:tcPr>
          <w:p>
            <w:pPr>
              <w:spacing w:after="60" w:before="60"/>
            </w:pPr>
            <w:r>
              <w:rPr>
                <w:sz w:val="20"/>
              </w:rPr>
              <w:t>—</w:t>
            </w:r>
          </w:p>
        </w:tc>
      </w:tr>
      <w:tr>
        <w:trPr>
          <w:cantSplit/>
        </w:trPr>
        <w:tc>
          <w:tcPr>
            <w:tcW w:type="dxa" w:w="864"/>
          </w:tcPr>
          <w:p>
            <w:pPr>
              <w:spacing w:after="60" w:before="60"/>
            </w:pPr>
            <w:r>
              <w:rPr>
                <w:sz w:val="20"/>
              </w:rPr>
              <w:t>12</w:t>
            </w:r>
          </w:p>
        </w:tc>
        <w:tc>
          <w:tcPr>
            <w:tcW w:type="dxa" w:w="1080"/>
          </w:tcPr>
          <w:p>
            <w:pPr>
              <w:spacing w:after="60" w:before="60"/>
            </w:pPr>
            <w:r>
              <w:rPr>
                <w:sz w:val="20"/>
              </w:rPr>
              <w:t>0</w:t>
            </w:r>
          </w:p>
        </w:tc>
        <w:tc>
          <w:tcPr>
            <w:tcW w:type="dxa" w:w="6120"/>
          </w:tcPr>
          <w:p>
            <w:pPr>
              <w:spacing w:after="60" w:before="60"/>
            </w:pPr>
            <w:r>
              <w:rPr>
                <w:sz w:val="20"/>
              </w:rPr>
              <w:t>Output data</w:t>
            </w:r>
          </w:p>
        </w:tc>
        <w:tc>
          <w:tcPr>
            <w:tcW w:type="dxa" w:w="2160"/>
          </w:tcPr>
          <w:p>
            <w:pPr>
              <w:spacing w:after="60" w:before="60"/>
            </w:pPr>
            <w:r>
              <w:rPr>
                <w:sz w:val="20"/>
              </w:rPr>
              <w:t>15</w:t>
            </w:r>
          </w:p>
        </w:tc>
      </w:tr>
      <w:tr>
        <w:trPr>
          <w:cantSplit/>
        </w:trPr>
        <w:tc>
          <w:tcPr>
            <w:tcW w:type="dxa" w:w="864"/>
          </w:tcPr>
          <w:p>
            <w:pPr>
              <w:spacing w:after="60" w:before="60"/>
            </w:pPr>
            <w:r>
              <w:rPr>
                <w:sz w:val="20"/>
              </w:rPr>
              <w:t>13</w:t>
            </w:r>
          </w:p>
        </w:tc>
        <w:tc>
          <w:tcPr>
            <w:tcW w:type="dxa" w:w="1080"/>
          </w:tcPr>
          <w:p>
            <w:pPr>
              <w:spacing w:after="60" w:before="60"/>
            </w:pPr>
            <w:r>
              <w:rPr>
                <w:sz w:val="20"/>
              </w:rPr>
              <w:t>0</w:t>
            </w:r>
          </w:p>
        </w:tc>
        <w:tc>
          <w:tcPr>
            <w:tcW w:type="dxa" w:w="6120"/>
          </w:tcPr>
          <w:p>
            <w:pPr>
              <w:spacing w:after="60" w:before="60"/>
            </w:pPr>
            <w:r>
              <w:rPr>
                <w:sz w:val="20"/>
              </w:rPr>
              <w:t>Call InOrder(-1); wait at rule 5</w:t>
            </w:r>
          </w:p>
        </w:tc>
        <w:tc>
          <w:tcPr>
            <w:tcW w:type="dxa" w:w="2160"/>
          </w:tcPr>
          <w:p>
            <w:pPr>
              <w:spacing w:after="60" w:before="60"/>
            </w:pPr>
            <w:r>
              <w:rPr>
                <w:sz w:val="20"/>
              </w:rPr>
              <w:t>—</w:t>
            </w:r>
          </w:p>
        </w:tc>
      </w:tr>
      <w:tr>
        <w:trPr>
          <w:cantSplit/>
        </w:trPr>
        <w:tc>
          <w:tcPr>
            <w:tcW w:type="dxa" w:w="864"/>
          </w:tcPr>
          <w:p>
            <w:pPr>
              <w:spacing w:after="60" w:before="60"/>
            </w:pPr>
            <w:r>
              <w:rPr>
                <w:sz w:val="20"/>
              </w:rPr>
              <w:t>14</w:t>
            </w:r>
          </w:p>
        </w:tc>
        <w:tc>
          <w:tcPr>
            <w:tcW w:type="dxa" w:w="1080"/>
          </w:tcPr>
          <w:p>
            <w:pPr>
              <w:spacing w:after="60" w:before="60"/>
            </w:pPr>
            <w:r>
              <w:rPr>
                <w:sz w:val="20"/>
              </w:rPr>
              <w:t>-1</w:t>
            </w:r>
          </w:p>
        </w:tc>
        <w:tc>
          <w:tcPr>
            <w:tcW w:type="dxa" w:w="6120"/>
          </w:tcPr>
          <w:p>
            <w:pPr>
              <w:spacing w:after="60" w:before="60"/>
            </w:pPr>
            <w:r>
              <w:rPr>
                <w:sz w:val="20"/>
              </w:rPr>
              <w:t>Return to p=0, rule 5</w:t>
            </w:r>
          </w:p>
        </w:tc>
        <w:tc>
          <w:tcPr>
            <w:tcW w:type="dxa" w:w="2160"/>
          </w:tcPr>
          <w:p>
            <w:pPr>
              <w:spacing w:after="60" w:before="60"/>
            </w:pPr>
            <w:r>
              <w:rPr>
                <w:sz w:val="20"/>
              </w:rPr>
              <w:t>—</w:t>
            </w:r>
          </w:p>
        </w:tc>
      </w:tr>
      <w:tr>
        <w:trPr>
          <w:cantSplit/>
        </w:trPr>
        <w:tc>
          <w:tcPr>
            <w:tcW w:type="dxa" w:w="864"/>
          </w:tcPr>
          <w:p>
            <w:pPr>
              <w:spacing w:after="60" w:before="60"/>
            </w:pPr>
            <w:r>
              <w:rPr>
                <w:sz w:val="20"/>
              </w:rPr>
              <w:t>15</w:t>
            </w:r>
          </w:p>
        </w:tc>
        <w:tc>
          <w:tcPr>
            <w:tcW w:type="dxa" w:w="1080"/>
          </w:tcPr>
          <w:p>
            <w:pPr>
              <w:spacing w:after="60" w:before="60"/>
            </w:pPr>
            <w:r>
              <w:rPr>
                <w:sz w:val="20"/>
              </w:rPr>
              <w:t>0</w:t>
            </w:r>
          </w:p>
        </w:tc>
        <w:tc>
          <w:tcPr>
            <w:tcW w:type="dxa" w:w="6120"/>
          </w:tcPr>
          <w:p>
            <w:pPr>
              <w:spacing w:after="60" w:before="60"/>
            </w:pPr>
            <w:r>
              <w:rPr>
                <w:sz w:val="20"/>
              </w:rPr>
              <w:t>Return to p=1, rule 5</w:t>
            </w:r>
          </w:p>
        </w:tc>
        <w:tc>
          <w:tcPr>
            <w:tcW w:type="dxa" w:w="2160"/>
          </w:tcPr>
          <w:p>
            <w:pPr>
              <w:spacing w:after="60" w:before="60"/>
            </w:pPr>
            <w:r>
              <w:rPr>
                <w:sz w:val="20"/>
              </w:rPr>
              <w:t>—</w:t>
            </w:r>
          </w:p>
        </w:tc>
      </w:tr>
      <w:tr>
        <w:trPr>
          <w:cantSplit/>
        </w:trPr>
        <w:tc>
          <w:tcPr>
            <w:tcW w:type="dxa" w:w="864"/>
          </w:tcPr>
          <w:p>
            <w:pPr>
              <w:spacing w:after="60" w:before="60"/>
            </w:pPr>
            <w:r>
              <w:rPr>
                <w:sz w:val="20"/>
              </w:rPr>
              <w:t>16</w:t>
            </w:r>
          </w:p>
        </w:tc>
        <w:tc>
          <w:tcPr>
            <w:tcW w:type="dxa" w:w="1080"/>
          </w:tcPr>
          <w:p>
            <w:pPr>
              <w:spacing w:after="60" w:before="60"/>
            </w:pPr>
            <w:r>
              <w:rPr>
                <w:sz w:val="20"/>
              </w:rPr>
              <w:t>1</w:t>
            </w:r>
          </w:p>
        </w:tc>
        <w:tc>
          <w:tcPr>
            <w:tcW w:type="dxa" w:w="6120"/>
          </w:tcPr>
          <w:p>
            <w:pPr>
              <w:spacing w:after="60" w:before="60"/>
            </w:pPr>
            <w:r>
              <w:rPr>
                <w:sz w:val="20"/>
              </w:rPr>
              <w:t>Return to original caller</w:t>
            </w:r>
          </w:p>
        </w:tc>
        <w:tc>
          <w:tcPr>
            <w:tcW w:type="dxa" w:w="2160"/>
          </w:tcPr>
          <w:p>
            <w:pPr>
              <w:spacing w:after="60" w:before="60"/>
            </w:pPr>
            <w:r>
              <w:rPr>
                <w:sz w:val="20"/>
              </w:rPr>
              <w:t>—</w:t>
            </w:r>
          </w:p>
        </w:tc>
      </w:tr>
    </w:tbl>
    <w:p>
      <w:pPr>
        <w:spacing w:after="0"/>
      </w:pPr>
    </w:p>
    <w:p>
      <w:r>
        <w:t>Accept equivalent event descriptions. Each -1 invocation must return before its caller resumes. C. Active p=2; waiting call InOrder(1), resuming at rule 3. D. Output 10,25,15. Each return ends one invocation; earlier calls still have instructions left.</w:t>
      </w:r>
    </w:p>
    <w:p>
      <w:r>
        <w:br w:type="page"/>
      </w:r>
    </w:p>
    <w:p>
      <w:pPr>
        <w:pStyle w:val="Heading1"/>
      </w:pPr>
      <w:r>
        <w:t>Task 4</w:t>
      </w:r>
    </w:p>
    <w:p>
      <w:r>
        <w:t>A. (1) -1: missing subtree; (2) Exit Sub: return before array access; (3) 0: left child index; (4) 1: node data; (5) 2: right child index. B. InOrder(RootPointer); -1 outputs nothing. C. Output 20,30,40,60.</w:t>
      </w:r>
    </w:p>
    <w:p>
      <w:pPr>
        <w:spacing w:after="180"/>
      </w:pPr>
      <w:r>
        <w:rPr>
          <w:rFonts w:ascii="Consolas" w:hAnsi="Consolas"/>
          <w:sz w:val="20"/>
        </w:rPr>
        <w:t>Sub InOrder(ByVal p As Integer)</w:t>
      </w:r>
      <w:r>
        <w:rPr>
          <w:rFonts w:ascii="Consolas" w:hAnsi="Consolas"/>
          <w:sz w:val="20"/>
        </w:rPr>
        <w:br/>
        <w:t xml:space="preserve">    If p = -1 Then</w:t>
      </w:r>
      <w:r>
        <w:rPr>
          <w:rFonts w:ascii="Consolas" w:hAnsi="Consolas"/>
          <w:sz w:val="20"/>
        </w:rPr>
        <w:br/>
        <w:t xml:space="preserve">        Exit Sub</w:t>
      </w:r>
      <w:r>
        <w:rPr>
          <w:rFonts w:ascii="Consolas" w:hAnsi="Consolas"/>
          <w:sz w:val="20"/>
        </w:rPr>
        <w:br/>
        <w:t xml:space="preserve">    End If</w:t>
      </w:r>
      <w:r>
        <w:rPr>
          <w:rFonts w:ascii="Consolas" w:hAnsi="Consolas"/>
          <w:sz w:val="20"/>
        </w:rPr>
        <w:br/>
        <w:t xml:space="preserve">    InOrder(TreeArray(p, 0))</w:t>
      </w:r>
      <w:r>
        <w:rPr>
          <w:rFonts w:ascii="Consolas" w:hAnsi="Consolas"/>
          <w:sz w:val="20"/>
        </w:rPr>
        <w:br/>
        <w:t xml:space="preserve">    Console.WriteLine(TreeArray(p, 1))</w:t>
      </w:r>
      <w:r>
        <w:rPr>
          <w:rFonts w:ascii="Consolas" w:hAnsi="Consolas"/>
          <w:sz w:val="20"/>
        </w:rPr>
        <w:br/>
        <w:t xml:space="preserve">    InOrder(TreeArray(p, 2))</w:t>
      </w:r>
      <w:r>
        <w:rPr>
          <w:rFonts w:ascii="Consolas" w:hAnsi="Consolas"/>
          <w:sz w:val="20"/>
        </w:rPr>
        <w:br/>
        <w:t>End Sub</w:t>
      </w:r>
    </w:p>
    <w:p>
      <w:r>
        <w:t>Just before outputting 30: active InOrder(3). Under it, InOrder(1) is waiting after its right call and will finish. Under that, InOrder(0) is waiting after its left call and will output 40. The empty left call from 3 has already returned. D. Column 1 supplies data, not an index. Data 20, for example, would attempt to access outside this four-row array.</w:t>
      </w:r>
    </w:p>
    <w:p>
      <w:pPr>
        <w:pStyle w:val="Heading1"/>
      </w:pPr>
      <w:r>
        <w:t>Task 5</w:t>
      </w:r>
    </w:p>
    <w:p>
      <w:r>
        <w:t>A. First mistake: line A reads the array before checking -1, so an empty call attempts row -1 and crashes. Second: after moving the guard first, output before the left call gives pre-order, not in-order. Repair by placing the guard first and output between the recursive calls. Use the complete InOrder above (renaming recursive calls consistently if retaining Broken).</w:t>
      </w:r>
    </w:p>
    <w:p>
      <w:pPr>
        <w:spacing w:after="180"/>
      </w:pPr>
      <w:r>
        <w:rPr>
          <w:rFonts w:ascii="Consolas" w:hAnsi="Consolas"/>
          <w:sz w:val="20"/>
        </w:rPr>
        <w:t>Sub PostOrder(ByVal p As Integer)</w:t>
      </w:r>
      <w:r>
        <w:rPr>
          <w:rFonts w:ascii="Consolas" w:hAnsi="Consolas"/>
          <w:sz w:val="20"/>
        </w:rPr>
        <w:br/>
        <w:t xml:space="preserve">    If p = -1 Then</w:t>
      </w:r>
      <w:r>
        <w:rPr>
          <w:rFonts w:ascii="Consolas" w:hAnsi="Consolas"/>
          <w:sz w:val="20"/>
        </w:rPr>
        <w:br/>
        <w:t xml:space="preserve">        Exit Sub</w:t>
      </w:r>
      <w:r>
        <w:rPr>
          <w:rFonts w:ascii="Consolas" w:hAnsi="Consolas"/>
          <w:sz w:val="20"/>
        </w:rPr>
        <w:br/>
        <w:t xml:space="preserve">    End If</w:t>
      </w:r>
      <w:r>
        <w:rPr>
          <w:rFonts w:ascii="Consolas" w:hAnsi="Consolas"/>
          <w:sz w:val="20"/>
        </w:rPr>
        <w:br/>
        <w:t xml:space="preserve">    PostOrder(TreeArray(p, 0))</w:t>
      </w:r>
      <w:r>
        <w:rPr>
          <w:rFonts w:ascii="Consolas" w:hAnsi="Consolas"/>
          <w:sz w:val="20"/>
        </w:rPr>
        <w:br/>
        <w:t xml:space="preserve">    PostOrder(TreeArray(p, 2))</w:t>
      </w:r>
      <w:r>
        <w:rPr>
          <w:rFonts w:ascii="Consolas" w:hAnsi="Consolas"/>
          <w:sz w:val="20"/>
        </w:rPr>
        <w:br/>
        <w:t xml:space="preserve">    Console.WriteLine(TreeArray(p, 1))</w:t>
      </w:r>
      <w:r>
        <w:rPr>
          <w:rFonts w:ascii="Consolas" w:hAnsi="Consolas"/>
          <w:sz w:val="20"/>
        </w:rPr>
        <w:br/>
        <w:t>End Sub</w:t>
      </w:r>
    </w:p>
    <w:p>
      <w:r>
        <w:t>B/C. Post-order output: 30,20,60,40. A node is output after both of its subtrees have finished. The root therefore appears last.</w:t>
      </w:r>
    </w:p>
    <w:p>
      <w:r>
        <w:br w:type="page"/>
      </w:r>
    </w:p>
    <w:p>
      <w:pPr>
        <w:pStyle w:val="Heading1"/>
      </w:pPr>
      <w:r>
        <w:t>Task 6 and exit check</w:t>
      </w:r>
    </w:p>
    <w:tbl>
      <w:tblPr>
        <w:tblStyle w:val="TableGrid"/>
        <w:tblW w:type="auto" w:w="0"/>
        <w:tblLook w:firstColumn="1" w:firstRow="1" w:lastColumn="0" w:lastRow="0" w:noHBand="0" w:noVBand="1" w:val="04A0"/>
      </w:tblPr>
      <w:tblGrid>
        <w:gridCol w:w="5112"/>
        <w:gridCol w:w="5112"/>
      </w:tblGrid>
      <w:tr>
        <w:trPr>
          <w:cantSplit/>
          <w:tblHeader/>
        </w:trPr>
        <w:tc>
          <w:tcPr>
            <w:tcW w:type="dxa" w:w="5112"/>
            <w:shd w:fill="494985"/>
          </w:tcPr>
          <w:p>
            <w:pPr>
              <w:spacing w:after="100" w:before="100"/>
            </w:pPr>
            <w:r>
              <w:rPr>
                <w:b/>
                <w:color w:val="FFFFFF"/>
                <w:sz w:val="20"/>
              </w:rPr>
              <w:t>Test</w:t>
            </w:r>
          </w:p>
        </w:tc>
        <w:tc>
          <w:tcPr>
            <w:tcW w:type="dxa" w:w="5112"/>
            <w:shd w:fill="494985"/>
          </w:tcPr>
          <w:p>
            <w:pPr>
              <w:spacing w:after="100" w:before="100"/>
            </w:pPr>
            <w:r>
              <w:rPr>
                <w:b/>
                <w:color w:val="FFFFFF"/>
                <w:sz w:val="20"/>
              </w:rPr>
              <w:t>Expected output, one value per line</w:t>
            </w:r>
          </w:p>
        </w:tc>
      </w:tr>
      <w:tr>
        <w:trPr>
          <w:cantSplit/>
        </w:trPr>
        <w:tc>
          <w:tcPr>
            <w:tcW w:type="dxa" w:w="5112"/>
          </w:tcPr>
          <w:p>
            <w:pPr>
              <w:spacing w:after="100" w:before="100"/>
            </w:pPr>
            <w:r>
              <w:rPr>
                <w:sz w:val="20"/>
              </w:rPr>
              <w:t>InOrder(RootPointer)</w:t>
            </w:r>
          </w:p>
        </w:tc>
        <w:tc>
          <w:tcPr>
            <w:tcW w:type="dxa" w:w="5112"/>
          </w:tcPr>
          <w:p>
            <w:pPr>
              <w:spacing w:after="100" w:before="100"/>
            </w:pPr>
            <w:r>
              <w:rPr>
                <w:sz w:val="20"/>
              </w:rPr>
              <w:t>20, 30, 40, 60</w:t>
            </w:r>
          </w:p>
        </w:tc>
      </w:tr>
      <w:tr>
        <w:trPr>
          <w:cantSplit/>
        </w:trPr>
        <w:tc>
          <w:tcPr>
            <w:tcW w:type="dxa" w:w="5112"/>
          </w:tcPr>
          <w:p>
            <w:pPr>
              <w:spacing w:after="100" w:before="100"/>
            </w:pPr>
            <w:r>
              <w:rPr>
                <w:sz w:val="20"/>
              </w:rPr>
              <w:t>InOrder(1)</w:t>
            </w:r>
          </w:p>
        </w:tc>
        <w:tc>
          <w:tcPr>
            <w:tcW w:type="dxa" w:w="5112"/>
          </w:tcPr>
          <w:p>
            <w:pPr>
              <w:spacing w:after="100" w:before="100"/>
            </w:pPr>
            <w:r>
              <w:rPr>
                <w:sz w:val="20"/>
              </w:rPr>
              <w:t>20, 30</w:t>
            </w:r>
          </w:p>
        </w:tc>
      </w:tr>
      <w:tr>
        <w:trPr>
          <w:cantSplit/>
        </w:trPr>
        <w:tc>
          <w:tcPr>
            <w:tcW w:type="dxa" w:w="5112"/>
          </w:tcPr>
          <w:p>
            <w:pPr>
              <w:spacing w:after="100" w:before="100"/>
            </w:pPr>
            <w:r>
              <w:rPr>
                <w:sz w:val="20"/>
              </w:rPr>
              <w:t>InOrder(2)</w:t>
            </w:r>
          </w:p>
        </w:tc>
        <w:tc>
          <w:tcPr>
            <w:tcW w:type="dxa" w:w="5112"/>
          </w:tcPr>
          <w:p>
            <w:pPr>
              <w:spacing w:after="100" w:before="100"/>
            </w:pPr>
            <w:r>
              <w:rPr>
                <w:sz w:val="20"/>
              </w:rPr>
              <w:t>60</w:t>
            </w:r>
          </w:p>
        </w:tc>
      </w:tr>
      <w:tr>
        <w:trPr>
          <w:cantSplit/>
        </w:trPr>
        <w:tc>
          <w:tcPr>
            <w:tcW w:type="dxa" w:w="5112"/>
          </w:tcPr>
          <w:p>
            <w:pPr>
              <w:spacing w:after="100" w:before="100"/>
            </w:pPr>
            <w:r>
              <w:rPr>
                <w:sz w:val="20"/>
              </w:rPr>
              <w:t>InOrder(-1)</w:t>
            </w:r>
          </w:p>
        </w:tc>
        <w:tc>
          <w:tcPr>
            <w:tcW w:type="dxa" w:w="5112"/>
          </w:tcPr>
          <w:p>
            <w:pPr>
              <w:spacing w:after="100" w:before="100"/>
            </w:pPr>
            <w:r>
              <w:rPr>
                <w:sz w:val="20"/>
              </w:rPr>
              <w:t>No output</w:t>
            </w:r>
          </w:p>
        </w:tc>
      </w:tr>
      <w:tr>
        <w:trPr>
          <w:cantSplit/>
        </w:trPr>
        <w:tc>
          <w:tcPr>
            <w:tcW w:type="dxa" w:w="5112"/>
          </w:tcPr>
          <w:p>
            <w:pPr>
              <w:spacing w:after="100" w:before="100"/>
            </w:pPr>
            <w:r>
              <w:rPr>
                <w:sz w:val="20"/>
              </w:rPr>
              <w:t>After replacing 30 with 35</w:t>
            </w:r>
          </w:p>
        </w:tc>
        <w:tc>
          <w:tcPr>
            <w:tcW w:type="dxa" w:w="5112"/>
          </w:tcPr>
          <w:p>
            <w:pPr>
              <w:spacing w:after="100" w:before="100"/>
            </w:pPr>
            <w:r>
              <w:rPr>
                <w:sz w:val="20"/>
              </w:rPr>
              <w:t>20, 35, 40, 60</w:t>
            </w:r>
          </w:p>
        </w:tc>
      </w:tr>
      <w:tr>
        <w:trPr>
          <w:cantSplit/>
        </w:trPr>
        <w:tc>
          <w:tcPr>
            <w:tcW w:type="dxa" w:w="5112"/>
          </w:tcPr>
          <w:p>
            <w:pPr>
              <w:spacing w:after="100" w:before="100"/>
            </w:pPr>
            <w:r>
              <w:rPr>
                <w:sz w:val="20"/>
              </w:rPr>
              <w:t>PostOrder(RootPointer)</w:t>
            </w:r>
          </w:p>
        </w:tc>
        <w:tc>
          <w:tcPr>
            <w:tcW w:type="dxa" w:w="5112"/>
          </w:tcPr>
          <w:p>
            <w:pPr>
              <w:spacing w:after="100" w:before="100"/>
            </w:pPr>
            <w:r>
              <w:rPr>
                <w:sz w:val="20"/>
              </w:rPr>
              <w:t>30, 20, 60, 40</w:t>
            </w:r>
          </w:p>
        </w:tc>
      </w:tr>
      <w:tr>
        <w:trPr>
          <w:cantSplit/>
        </w:trPr>
        <w:tc>
          <w:tcPr>
            <w:tcW w:type="dxa" w:w="5112"/>
          </w:tcPr>
          <w:p>
            <w:pPr>
              <w:spacing w:after="100" w:before="100"/>
            </w:pPr>
            <w:r>
              <w:rPr>
                <w:sz w:val="20"/>
              </w:rPr>
              <w:t>PostOrder(2)</w:t>
            </w:r>
          </w:p>
        </w:tc>
        <w:tc>
          <w:tcPr>
            <w:tcW w:type="dxa" w:w="5112"/>
          </w:tcPr>
          <w:p>
            <w:pPr>
              <w:spacing w:after="100" w:before="100"/>
            </w:pPr>
            <w:r>
              <w:rPr>
                <w:sz w:val="20"/>
              </w:rPr>
              <w:t>60</w:t>
            </w:r>
          </w:p>
        </w:tc>
      </w:tr>
      <w:tr>
        <w:trPr>
          <w:cantSplit/>
        </w:trPr>
        <w:tc>
          <w:tcPr>
            <w:tcW w:type="dxa" w:w="5112"/>
          </w:tcPr>
          <w:p>
            <w:pPr>
              <w:spacing w:after="100" w:before="100"/>
            </w:pPr>
            <w:r>
              <w:rPr>
                <w:sz w:val="20"/>
              </w:rPr>
              <w:t>PostOrder(-1)</w:t>
            </w:r>
          </w:p>
        </w:tc>
        <w:tc>
          <w:tcPr>
            <w:tcW w:type="dxa" w:w="5112"/>
          </w:tcPr>
          <w:p>
            <w:pPr>
              <w:spacing w:after="100" w:before="100"/>
            </w:pPr>
            <w:r>
              <w:rPr>
                <w:sz w:val="20"/>
              </w:rPr>
              <w:t>No output</w:t>
            </w:r>
          </w:p>
        </w:tc>
      </w:tr>
    </w:tbl>
    <w:p>
      <w:pPr>
        <w:spacing w:after="0"/>
      </w:pPr>
    </w:p>
    <w:p>
      <w:r>
        <w:t>B. p=3, with calls 1 and 0 waiting (see Task 4). After 3 finishes, call 1 finishes, then call 0 outputs 40. C. Only data changes: 35 fits the same position (greater than 20, less than 40), so the existing links still describe the BST. Exit: InOrder(2), output 5,8; resume at the root’s output line with p=2.</w:t>
      </w:r>
    </w:p>
    <w:p>
      <w:pPr>
        <w:pStyle w:val="Heading1"/>
      </w:pPr>
      <w:r>
        <w:t>Optional record translation</w:t>
      </w:r>
    </w:p>
    <w:p>
      <w:pPr>
        <w:spacing w:after="180"/>
      </w:pPr>
      <w:r>
        <w:rPr>
          <w:rFonts w:ascii="Consolas" w:hAnsi="Consolas"/>
          <w:sz w:val="20"/>
        </w:rPr>
        <w:t>For i As Integer = 0 To 3</w:t>
      </w:r>
      <w:r>
        <w:rPr>
          <w:rFonts w:ascii="Consolas" w:hAnsi="Consolas"/>
          <w:sz w:val="20"/>
        </w:rPr>
        <w:br/>
        <w:t xml:space="preserve">    Nodes(i).LeftPointer = -1</w:t>
      </w:r>
      <w:r>
        <w:rPr>
          <w:rFonts w:ascii="Consolas" w:hAnsi="Consolas"/>
          <w:sz w:val="20"/>
        </w:rPr>
        <w:br/>
        <w:t xml:space="preserve">    Nodes(i).RightPointer = -1</w:t>
      </w:r>
      <w:r>
        <w:rPr>
          <w:rFonts w:ascii="Consolas" w:hAnsi="Consolas"/>
          <w:sz w:val="20"/>
        </w:rPr>
        <w:br/>
        <w:t>Next</w:t>
      </w:r>
      <w:r>
        <w:rPr>
          <w:rFonts w:ascii="Consolas" w:hAnsi="Consolas"/>
          <w:sz w:val="20"/>
        </w:rPr>
        <w:br/>
        <w:t>For i As Integer = 0 To 3</w:t>
      </w:r>
      <w:r>
        <w:rPr>
          <w:rFonts w:ascii="Consolas" w:hAnsi="Consolas"/>
          <w:sz w:val="20"/>
        </w:rPr>
        <w:br/>
        <w:t xml:space="preserve">    Nodes(i).LeftPointer = TreeArray(i, 0)</w:t>
      </w:r>
      <w:r>
        <w:rPr>
          <w:rFonts w:ascii="Consolas" w:hAnsi="Consolas"/>
          <w:sz w:val="20"/>
        </w:rPr>
        <w:br/>
        <w:t xml:space="preserve">    Nodes(i).Data = TreeArray(i, 1)</w:t>
      </w:r>
      <w:r>
        <w:rPr>
          <w:rFonts w:ascii="Consolas" w:hAnsi="Consolas"/>
          <w:sz w:val="20"/>
        </w:rPr>
        <w:br/>
        <w:t xml:space="preserve">    Nodes(i).RightPointer = TreeArray(i, 2)</w:t>
      </w:r>
      <w:r>
        <w:rPr>
          <w:rFonts w:ascii="Consolas" w:hAnsi="Consolas"/>
          <w:sz w:val="20"/>
        </w:rPr>
        <w:br/>
        <w:t>Next</w:t>
      </w:r>
    </w:p>
    <w:p>
      <w:pPr>
        <w:spacing w:after="180"/>
      </w:pPr>
      <w:r>
        <w:rPr>
          <w:rFonts w:ascii="Consolas" w:hAnsi="Consolas"/>
          <w:sz w:val="20"/>
        </w:rPr>
        <w:t>Sub InOrderRecords(ByVal p As Integer)</w:t>
      </w:r>
      <w:r>
        <w:rPr>
          <w:rFonts w:ascii="Consolas" w:hAnsi="Consolas"/>
          <w:sz w:val="20"/>
        </w:rPr>
        <w:br/>
        <w:t xml:space="preserve">    If p = -1 Then</w:t>
      </w:r>
      <w:r>
        <w:rPr>
          <w:rFonts w:ascii="Consolas" w:hAnsi="Consolas"/>
          <w:sz w:val="20"/>
        </w:rPr>
        <w:br/>
        <w:t xml:space="preserve">        Exit Sub</w:t>
      </w:r>
      <w:r>
        <w:rPr>
          <w:rFonts w:ascii="Consolas" w:hAnsi="Consolas"/>
          <w:sz w:val="20"/>
        </w:rPr>
        <w:br/>
        <w:t xml:space="preserve">    End If</w:t>
      </w:r>
      <w:r>
        <w:rPr>
          <w:rFonts w:ascii="Consolas" w:hAnsi="Consolas"/>
          <w:sz w:val="20"/>
        </w:rPr>
        <w:br/>
        <w:t xml:space="preserve">    InOrderRecords(Nodes(p).LeftPointer)</w:t>
      </w:r>
      <w:r>
        <w:rPr>
          <w:rFonts w:ascii="Consolas" w:hAnsi="Consolas"/>
          <w:sz w:val="20"/>
        </w:rPr>
        <w:br/>
        <w:t xml:space="preserve">    Console.WriteLine(Nodes(p).Data)</w:t>
      </w:r>
      <w:r>
        <w:rPr>
          <w:rFonts w:ascii="Consolas" w:hAnsi="Consolas"/>
          <w:sz w:val="20"/>
        </w:rPr>
        <w:br/>
        <w:t xml:space="preserve">    InOrderRecords(Nodes(p).RightPointer)</w:t>
      </w:r>
      <w:r>
        <w:rPr>
          <w:rFonts w:ascii="Consolas" w:hAnsi="Consolas"/>
          <w:sz w:val="20"/>
        </w:rPr>
        <w:br/>
        <w:t>End Sub</w:t>
      </w:r>
    </w:p>
    <w:p>
      <w:r>
        <w:t>Same outputs as Task 6. Integer fields default to 0 in VB.NET; explicitly initialise child pointers to -1. All four records here are populated; unused rows in a larger array must not be linked into the tree.</w:t>
      </w:r>
    </w:p>
    <w:p>
      <w:r>
        <w:br w:type="page"/>
      </w:r>
    </w:p>
    <w:p>
      <w:pPr>
        <w:pStyle w:val="Heading1"/>
      </w:pPr>
      <w:r>
        <w:t>Complete runnable model</w:t>
      </w:r>
    </w:p>
    <w:p>
      <w:r>
        <w:t>The companion Model.vb includes post-order and records. This minimal main program plus the InOrder procedure below is sufficient for the core lesson.</w:t>
      </w:r>
    </w:p>
    <w:p>
      <w:pPr>
        <w:spacing w:after="180"/>
      </w:pPr>
      <w:r>
        <w:rPr>
          <w:rFonts w:ascii="Consolas" w:hAnsi="Consolas"/>
          <w:sz w:val="20"/>
        </w:rPr>
        <w:t>Module BinaryTreePractice</w:t>
      </w:r>
      <w:r>
        <w:rPr>
          <w:rFonts w:ascii="Consolas" w:hAnsi="Consolas"/>
          <w:sz w:val="20"/>
        </w:rPr>
        <w:br/>
        <w:t xml:space="preserve">    Dim TreeArray(,) As Integer = {</w:t>
      </w:r>
      <w:r>
        <w:rPr>
          <w:rFonts w:ascii="Consolas" w:hAnsi="Consolas"/>
          <w:sz w:val="20"/>
        </w:rPr>
        <w:br/>
        <w:t xml:space="preserve">        {1, 40, 2},</w:t>
      </w:r>
      <w:r>
        <w:rPr>
          <w:rFonts w:ascii="Consolas" w:hAnsi="Consolas"/>
          <w:sz w:val="20"/>
        </w:rPr>
        <w:br/>
        <w:t xml:space="preserve">        {-1, 20, 3},</w:t>
      </w:r>
      <w:r>
        <w:rPr>
          <w:rFonts w:ascii="Consolas" w:hAnsi="Consolas"/>
          <w:sz w:val="20"/>
        </w:rPr>
        <w:br/>
        <w:t xml:space="preserve">        {-1, 60, -1},</w:t>
      </w:r>
      <w:r>
        <w:rPr>
          <w:rFonts w:ascii="Consolas" w:hAnsi="Consolas"/>
          <w:sz w:val="20"/>
        </w:rPr>
        <w:br/>
        <w:t xml:space="preserve">        {-1, 30, -1}</w:t>
      </w:r>
      <w:r>
        <w:rPr>
          <w:rFonts w:ascii="Consolas" w:hAnsi="Consolas"/>
          <w:sz w:val="20"/>
        </w:rPr>
        <w:br/>
        <w:t xml:space="preserve">    }</w:t>
      </w:r>
      <w:r>
        <w:rPr>
          <w:rFonts w:ascii="Consolas" w:hAnsi="Consolas"/>
          <w:sz w:val="20"/>
        </w:rPr>
        <w:br/>
        <w:t xml:space="preserve">    Dim RootPointer As Integer = 0</w:t>
      </w:r>
      <w:r>
        <w:rPr>
          <w:rFonts w:ascii="Consolas" w:hAnsi="Consolas"/>
          <w:sz w:val="20"/>
        </w:rPr>
        <w:br/>
      </w:r>
      <w:r>
        <w:rPr>
          <w:rFonts w:ascii="Consolas" w:hAnsi="Consolas"/>
          <w:sz w:val="20"/>
        </w:rPr>
        <w:br/>
        <w:t xml:space="preserve">    Sub Main()</w:t>
      </w:r>
      <w:r>
        <w:rPr>
          <w:rFonts w:ascii="Consolas" w:hAnsi="Consolas"/>
          <w:sz w:val="20"/>
        </w:rPr>
        <w:br/>
        <w:t xml:space="preserve">        InOrder(RootPointer)</w:t>
      </w:r>
      <w:r>
        <w:rPr>
          <w:rFonts w:ascii="Consolas" w:hAnsi="Consolas"/>
          <w:sz w:val="20"/>
        </w:rPr>
        <w:br/>
        <w:t xml:space="preserve">        ' Other tests: InOrder(1), InOrder(2), InOrder(-1)</w:t>
      </w:r>
      <w:r>
        <w:rPr>
          <w:rFonts w:ascii="Consolas" w:hAnsi="Consolas"/>
          <w:sz w:val="20"/>
        </w:rPr>
        <w:br/>
        <w:t xml:space="preserve">    End Sub</w:t>
      </w:r>
      <w:r>
        <w:rPr>
          <w:rFonts w:ascii="Consolas" w:hAnsi="Consolas"/>
          <w:sz w:val="20"/>
        </w:rPr>
        <w:br/>
      </w:r>
      <w:r>
        <w:rPr>
          <w:rFonts w:ascii="Consolas" w:hAnsi="Consolas"/>
          <w:sz w:val="20"/>
        </w:rPr>
        <w:br/>
        <w:t xml:space="preserve">    Sub InOrder(ByVal p As Integer)</w:t>
      </w:r>
      <w:r>
        <w:rPr>
          <w:rFonts w:ascii="Consolas" w:hAnsi="Consolas"/>
          <w:sz w:val="20"/>
        </w:rPr>
        <w:br/>
        <w:t xml:space="preserve">        If p = -1 Then</w:t>
      </w:r>
      <w:r>
        <w:rPr>
          <w:rFonts w:ascii="Consolas" w:hAnsi="Consolas"/>
          <w:sz w:val="20"/>
        </w:rPr>
        <w:br/>
        <w:t xml:space="preserve">            Exit Sub</w:t>
      </w:r>
      <w:r>
        <w:rPr>
          <w:rFonts w:ascii="Consolas" w:hAnsi="Consolas"/>
          <w:sz w:val="20"/>
        </w:rPr>
        <w:br/>
        <w:t xml:space="preserve">        End If</w:t>
      </w:r>
      <w:r>
        <w:rPr>
          <w:rFonts w:ascii="Consolas" w:hAnsi="Consolas"/>
          <w:sz w:val="20"/>
        </w:rPr>
        <w:br/>
        <w:t xml:space="preserve">        InOrder(TreeArray(p, 0))</w:t>
      </w:r>
      <w:r>
        <w:rPr>
          <w:rFonts w:ascii="Consolas" w:hAnsi="Consolas"/>
          <w:sz w:val="20"/>
        </w:rPr>
        <w:br/>
        <w:t xml:space="preserve">        Console.WriteLine(TreeArray(p, 1))</w:t>
      </w:r>
      <w:r>
        <w:rPr>
          <w:rFonts w:ascii="Consolas" w:hAnsi="Consolas"/>
          <w:sz w:val="20"/>
        </w:rPr>
        <w:br/>
        <w:t xml:space="preserve">        InOrder(TreeArray(p, 2))</w:t>
      </w:r>
      <w:r>
        <w:rPr>
          <w:rFonts w:ascii="Consolas" w:hAnsi="Consolas"/>
          <w:sz w:val="20"/>
        </w:rPr>
        <w:br/>
        <w:t xml:space="preserve">    End Sub</w:t>
      </w:r>
      <w:r>
        <w:rPr>
          <w:rFonts w:ascii="Consolas" w:hAnsi="Consolas"/>
          <w:sz w:val="20"/>
        </w:rPr>
        <w:br/>
        <w:t>End Module</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9618 P4  •  Binary trees follow up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