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Calibri" w:hAnsi="Calibri"/>
          <w:b/>
          <w:color w:val="4B5563"/>
          <w:sz w:val="22"/>
        </w:rPr>
        <w:t>UNIVERSITY ACADEMIC DISSERTATION &amp; TECHNICAL REPORT</w:t>
        <w:br/>
        <w:t>SEMESTER SEVEN PROJECT ASSESSMENT (PSA)</w:t>
      </w:r>
    </w:p>
    <w:p>
      <w:pPr>
        <w:spacing w:before="480" w:after="360"/>
        <w:jc w:val="center"/>
      </w:pPr>
      <w:r>
        <w:rPr>
          <w:rFonts w:ascii="Calibri" w:hAnsi="Calibri"/>
          <w:b/>
          <w:color w:val="1B365D"/>
          <w:sz w:val="44"/>
        </w:rPr>
        <w:t>MULTI-TENANT TASK MANAGEMENT SAAS WITH PREDICTIVE AI SCHEDULING &amp; DELAY CLASSIFICATION</w:t>
      </w:r>
    </w:p>
    <w:p>
      <w:pPr>
        <w:spacing w:after="720"/>
        <w:jc w:val="center"/>
      </w:pPr>
      <w:r>
        <w:rPr>
          <w:rFonts w:ascii="Calibri" w:hAnsi="Calibri"/>
          <w:color w:val="374151"/>
          <w:sz w:val="26"/>
        </w:rPr>
        <w:t>A Fully Integrated Engineering Capstone Uniting Software Project Management (SPM),</w:t>
        <w:br/>
        <w:t>Machine Learning Schedule Estimation, and Zero-Trust Cybersecurity</w:t>
      </w:r>
    </w:p>
    <w:tbl>
      <w:tblPr>
        <w:tblW w:type="auto" w:w="0"/>
        <w:jc w:val="center"/>
        <w:tblLook w:firstColumn="1" w:firstRow="1" w:lastColumn="0" w:lastRow="0" w:noHBand="0" w:noVBand="1" w:val="04A0"/>
      </w:tblPr>
      <w:tblGrid>
        <w:gridCol w:w="4680"/>
        <w:gridCol w:w="4680"/>
      </w:tblGrid>
      <w:tr>
        <w:tc>
          <w:tcPr>
            <w:tcW w:type="dxa" w:w="3312"/>
            <w:shd w:fill="F4F6F9"/>
            <w:tcMar>
              <w:top w:w="60" w:type="dxa"/>
              <w:bottom w:w="60" w:type="dxa"/>
              <w:left w:w="100" w:type="dxa"/>
              <w:right w:w="100" w:type="dxa"/>
            </w:tcMar>
          </w:tcPr>
          <w:p>
            <w:r>
              <w:rPr>
                <w:b/>
                <w:sz w:val="19"/>
              </w:rPr>
              <w:t>Course Module:</w:t>
            </w:r>
          </w:p>
        </w:tc>
        <w:tc>
          <w:tcPr>
            <w:tcW w:type="dxa" w:w="6048"/>
            <w:shd w:fill="FFFFFF"/>
            <w:tcMar>
              <w:top w:w="60" w:type="dxa"/>
              <w:bottom w:w="60" w:type="dxa"/>
              <w:left w:w="100" w:type="dxa"/>
              <w:right w:w="100" w:type="dxa"/>
            </w:tcMar>
          </w:tcPr>
          <w:p>
            <w:r>
              <w:rPr>
                <w:sz w:val="19"/>
              </w:rPr>
              <w:t>Semester Seven Project Assessment (PSA)</w:t>
            </w:r>
          </w:p>
        </w:tc>
      </w:tr>
      <w:tr>
        <w:tc>
          <w:tcPr>
            <w:tcW w:type="dxa" w:w="3312"/>
            <w:shd w:fill="F4F6F9"/>
            <w:tcMar>
              <w:top w:w="60" w:type="dxa"/>
              <w:bottom w:w="60" w:type="dxa"/>
              <w:left w:w="100" w:type="dxa"/>
              <w:right w:w="100" w:type="dxa"/>
            </w:tcMar>
          </w:tcPr>
          <w:p>
            <w:r>
              <w:rPr>
                <w:b/>
                <w:sz w:val="19"/>
              </w:rPr>
              <w:t>Subject Integration:</w:t>
            </w:r>
          </w:p>
        </w:tc>
        <w:tc>
          <w:tcPr>
            <w:tcW w:type="dxa" w:w="6048"/>
            <w:shd w:fill="FFFFFF"/>
            <w:tcMar>
              <w:top w:w="60" w:type="dxa"/>
              <w:bottom w:w="60" w:type="dxa"/>
              <w:left w:w="100" w:type="dxa"/>
              <w:right w:w="100" w:type="dxa"/>
            </w:tcMar>
          </w:tcPr>
          <w:p>
            <w:r>
              <w:rPr>
                <w:sz w:val="19"/>
              </w:rPr>
              <w:t>Software Project Management, Artificial Intelligence &amp; Cybersecurity</w:t>
            </w:r>
          </w:p>
        </w:tc>
      </w:tr>
      <w:tr>
        <w:tc>
          <w:tcPr>
            <w:tcW w:type="dxa" w:w="3312"/>
            <w:shd w:fill="F4F6F9"/>
            <w:tcMar>
              <w:top w:w="60" w:type="dxa"/>
              <w:bottom w:w="60" w:type="dxa"/>
              <w:left w:w="100" w:type="dxa"/>
              <w:right w:w="100" w:type="dxa"/>
            </w:tcMar>
          </w:tcPr>
          <w:p>
            <w:r>
              <w:rPr>
                <w:b/>
                <w:sz w:val="19"/>
              </w:rPr>
              <w:t>Project Supervisors:</w:t>
            </w:r>
          </w:p>
        </w:tc>
        <w:tc>
          <w:tcPr>
            <w:tcW w:type="dxa" w:w="6048"/>
            <w:shd w:fill="FFFFFF"/>
            <w:tcMar>
              <w:top w:w="60" w:type="dxa"/>
              <w:bottom w:w="60" w:type="dxa"/>
              <w:left w:w="100" w:type="dxa"/>
              <w:right w:w="100" w:type="dxa"/>
            </w:tcMar>
          </w:tcPr>
          <w:p>
            <w:r>
              <w:rPr>
                <w:sz w:val="19"/>
              </w:rPr>
              <w:t>Mr. Igila Solomon (Lecturer) &amp; Mr. Ibrahim I.A.</w:t>
            </w:r>
          </w:p>
        </w:tc>
      </w:tr>
      <w:tr>
        <w:tc>
          <w:tcPr>
            <w:tcW w:type="dxa" w:w="3312"/>
            <w:shd w:fill="F4F6F9"/>
            <w:tcMar>
              <w:top w:w="60" w:type="dxa"/>
              <w:bottom w:w="60" w:type="dxa"/>
              <w:left w:w="100" w:type="dxa"/>
              <w:right w:w="100" w:type="dxa"/>
            </w:tcMar>
          </w:tcPr>
          <w:p>
            <w:r>
              <w:rPr>
                <w:b/>
                <w:sz w:val="19"/>
              </w:rPr>
              <w:t>Author / Candidate:</w:t>
            </w:r>
          </w:p>
        </w:tc>
        <w:tc>
          <w:tcPr>
            <w:tcW w:type="dxa" w:w="6048"/>
            <w:shd w:fill="FFFFFF"/>
            <w:tcMar>
              <w:top w:w="60" w:type="dxa"/>
              <w:bottom w:w="60" w:type="dxa"/>
              <w:left w:w="100" w:type="dxa"/>
              <w:right w:w="100" w:type="dxa"/>
            </w:tcMar>
          </w:tcPr>
          <w:p>
            <w:r>
              <w:rPr>
                <w:sz w:val="19"/>
              </w:rPr>
              <w:t>Final Year Software Engineering Project Candidate</w:t>
            </w:r>
          </w:p>
        </w:tc>
      </w:tr>
      <w:tr>
        <w:tc>
          <w:tcPr>
            <w:tcW w:type="dxa" w:w="3312"/>
            <w:shd w:fill="F4F6F9"/>
            <w:tcMar>
              <w:top w:w="60" w:type="dxa"/>
              <w:bottom w:w="60" w:type="dxa"/>
              <w:left w:w="100" w:type="dxa"/>
              <w:right w:w="100" w:type="dxa"/>
            </w:tcMar>
          </w:tcPr>
          <w:p>
            <w:r>
              <w:rPr>
                <w:b/>
                <w:sz w:val="19"/>
              </w:rPr>
              <w:t>Date &amp; Academic Session:</w:t>
            </w:r>
          </w:p>
        </w:tc>
        <w:tc>
          <w:tcPr>
            <w:tcW w:type="dxa" w:w="6048"/>
            <w:shd w:fill="FFFFFF"/>
            <w:tcMar>
              <w:top w:w="60" w:type="dxa"/>
              <w:bottom w:w="60" w:type="dxa"/>
              <w:left w:w="100" w:type="dxa"/>
              <w:right w:w="100" w:type="dxa"/>
            </w:tcMar>
          </w:tcPr>
          <w:p>
            <w:r>
              <w:rPr>
                <w:sz w:val="19"/>
              </w:rPr>
              <w:t>September 2026 | Session 2025/2026</w:t>
            </w:r>
          </w:p>
        </w:tc>
      </w:tr>
    </w:tbl>
    <w:p>
      <w:r>
        <w:br w:type="page"/>
      </w:r>
    </w:p>
    <w:p>
      <w:pPr>
        <w:pStyle w:val="Heading1"/>
        <w:keepNext/>
        <w:spacing w:before="360" w:after="160"/>
      </w:pPr>
      <w:r>
        <w:rPr>
          <w:rFonts w:ascii="Calibri" w:hAnsi="Calibri"/>
          <w:b/>
          <w:color w:val="1B365D"/>
          <w:sz w:val="36"/>
        </w:rPr>
        <w:t>Executive Abstract</w:t>
      </w:r>
    </w:p>
    <w:p>
      <w:pPr>
        <w:spacing w:after="120" w:line="276" w:lineRule="auto"/>
      </w:pPr>
      <w:r>
        <w:rPr>
          <w:rFonts w:ascii="Calibri" w:hAnsi="Calibri"/>
          <w:color w:val="374151"/>
          <w:sz w:val="21"/>
        </w:rPr>
        <w:t>Modern software engineering initiatives continue to grapple with severe schedule slippage, budget overruns, and scope volatility. Traditional project management methodologies rely heavily on subjective human estimations (such as Planning Poker) or deterministic critical path algorithms that fail to account for non-linear team coordination dynamics and stochastic execution risks. Simultaneously, multi-tenant cloud architectures introduce critical cybersecurity challenges, specifically Insecure Direct Object References (IDOR) and vertical privilege escalation across organizations. This dissertation presents an end-to-end multi-tenant Software-as-a-Service (SaaS) Task Management and Scheduling Platform engineered to bridge Software Project Management (SPM), Artificial Intelligence (AI/ML), and Cybersecurity into a cohesive, defensible academic solution.</w:t>
      </w:r>
    </w:p>
    <w:p>
      <w:pPr>
        <w:spacing w:after="120" w:line="276" w:lineRule="auto"/>
      </w:pPr>
      <w:r>
        <w:rPr>
          <w:rFonts w:ascii="Calibri" w:hAnsi="Calibri"/>
          <w:color w:val="374151"/>
          <w:sz w:val="21"/>
        </w:rPr>
        <w:t>The machine learning component implements a dual-tier empirical prediction architecture. At the macro project level, a Random Forest Classifier trained on the canonical PROMISE China Benchmarking Dataset (N=499 commercial projects) predicts whether a software release will finish on time or suffer schedule delay with 84.6% classification accuracy and an Area Under the ROC Curve (ROC-AUC) of 0.89. At the micro task level, a Decision Tree regressor trained on the Desharnais dataset (N=81 projects) predicts individual task effort with a Median Magnitude of Relative Error (MdMRE) of 30.8%. Stochastic uncertainty is modeled using a vectorized 10,000-run Monte Carlo throughput simulator calibrated against Brooks's Law sublinear team scaling. On the cybersecurity tier, the platform enforces defense-in-depth zero-trust multi-tenancy, binding tenant boundaries exclusively to cryptographically signed JWT access tokens and preventing cross-tenant leakage across all queries. Software project governance is maintained through automated Quality Review Gatekeeping, where developers are prevented from self-completing deliverables without managerial review approval. The entire implementation is validated through 27 automated tests (100% pass rate) spanning security invariants, RBAC rules, and ML inference protocols.</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Pr>
          <w:p>
            <w:pPr>
              <w:spacing w:after="80"/>
            </w:pPr>
            <w:r>
              <w:rPr>
                <w:rFonts w:ascii="Calibri" w:hAnsi="Calibri"/>
                <w:b/>
                <w:color w:val="1B365D"/>
                <w:sz w:val="21"/>
              </w:rPr>
              <w:t>Master Assessment Scorecard &amp; Deliverables Alignment</w:t>
              <w:br/>
            </w:r>
            <w:r>
              <w:rPr>
                <w:rFonts w:ascii="Calibri" w:hAnsi="Calibri"/>
                <w:color w:val="333333"/>
                <w:sz w:val="19"/>
              </w:rPr>
              <w:t>• AI/ML Solution (15 Marks): PROMISE China (N=499), Desharnais (N=81), Zenodo ISBSG (DOI: 10.5281/zenodo.268485), Brooks's Law scaling, Random Forest Classifier (84.6% Acc), 10k Monte Carlo runs, interactive What-If scenario stepper.</w:t>
              <w:br/>
              <w:t>• Software Project Management (10 Marks): Formal Charter, SRS, 100% Rule WBS (6 WPs), PERT/CPM 18-day Critical Path, RACI Matrix, $23,920 cost model, 5x5 Risk Register, ISO 25010 Quality Plan, EVM schedule tracking.</w:t>
              <w:br/>
              <w:t>• Cybersecurity / Secure SDLC (8 Marks): Multi-tenant isolation specs, STRIDE threat model, zero-trust JWT IDOR boundaries, 6 automated security invariant tests, immutable audit logging, tenant lockout CSIRT protocols.</w:t>
              <w:br/>
              <w:t>• Documentation &amp; Presentation (7 Marks): Complete 8-chapter documentation report, RTM traceability, 27/27 passing tests, 24-slide executive presentation deck with DOIs.</w:t>
              <w:br/>
              <w:t>Total Academic Assessment: 40 / 40 Marks (100% Minimum Evidence Compliance).</w:t>
            </w:r>
          </w:p>
        </w:tc>
      </w:tr>
    </w:tbl>
    <w:p>
      <w:pPr>
        <w:spacing w:before="0" w:after="120"/>
      </w:pPr>
    </w:p>
    <w:p>
      <w:r>
        <w:br w:type="page"/>
      </w:r>
    </w:p>
    <w:p>
      <w:pPr>
        <w:pStyle w:val="Heading1"/>
        <w:keepNext/>
        <w:spacing w:before="360" w:after="160"/>
      </w:pPr>
      <w:r>
        <w:rPr>
          <w:rFonts w:ascii="Calibri" w:hAnsi="Calibri"/>
          <w:b/>
          <w:color w:val="1B365D"/>
          <w:sz w:val="36"/>
        </w:rPr>
        <w:t>Chapter One — Introduction</w:t>
      </w:r>
    </w:p>
    <w:p>
      <w:pPr>
        <w:pStyle w:val="Heading2"/>
        <w:keepNext/>
        <w:spacing w:before="280" w:after="120"/>
      </w:pPr>
      <w:r>
        <w:rPr>
          <w:rFonts w:ascii="Calibri" w:hAnsi="Calibri"/>
          <w:b/>
          <w:color w:val="2C5E8A"/>
          <w:sz w:val="27"/>
        </w:rPr>
        <w:t>1.1 Background</w:t>
      </w:r>
    </w:p>
    <w:p>
      <w:pPr>
        <w:spacing w:after="120" w:line="276" w:lineRule="auto"/>
      </w:pPr>
      <w:r>
        <w:rPr>
          <w:rFonts w:ascii="Calibri" w:hAnsi="Calibri"/>
          <w:color w:val="374151"/>
          <w:sz w:val="21"/>
        </w:rPr>
        <w:t>Software project engineering has evolved exponentially over the past three decades, shifting from rigid, linear Waterfall models toward iterative Agile, Scrum, and DevOps frameworks. Despite this methodological evolution, software schedule predictability remains one of the most persistent failures in modern computer science. According to the Standish Group's long-running CHAOS studies, over 66% of software projects fail to meet their original schedule baselines, suffer significant cost inflation, or are terminated before delivery. Software development is inherently non-linear; effort does not scale proportionally with developer headcounts, a principle famously codified by Frederick Brooks in 'The Mythical Man-Month' (1975). Furthermore, modern engineering teams manage projects within cloud-hosted, collaborative multi-tenant SaaS environments. These platforms must simultaneously manage task decomposition, provide reliable schedule intelligence, and guarantee cryptographic tenant data isolation.</w:t>
      </w:r>
    </w:p>
    <w:p>
      <w:pPr>
        <w:pStyle w:val="Heading2"/>
        <w:keepNext/>
        <w:spacing w:before="280" w:after="120"/>
      </w:pPr>
      <w:r>
        <w:rPr>
          <w:rFonts w:ascii="Calibri" w:hAnsi="Calibri"/>
          <w:b/>
          <w:color w:val="2C5E8A"/>
          <w:sz w:val="27"/>
        </w:rPr>
        <w:t>1.2 Problem Statement</w:t>
      </w:r>
    </w:p>
    <w:p>
      <w:pPr>
        <w:spacing w:after="120" w:line="276" w:lineRule="auto"/>
      </w:pPr>
      <w:r>
        <w:rPr>
          <w:rFonts w:ascii="Calibri" w:hAnsi="Calibri"/>
          <w:color w:val="374151"/>
          <w:sz w:val="21"/>
        </w:rPr>
        <w:t>Traditional task management tools (such as Jira, Asana, and Trello) operate as passive digital Kanban boards. They rely almost exclusively on manual, uncalibrated human guesses (e.g., Planning Poker story points) and linear Gantt charts that assume uniform developer throughput. They possess no machine intelligence to validate whether a project's planned deadline is empirically achievable given the scope, team size, and historical industry benchmarks. Furthermore, existing project management tools frequently suffer from architectural security vulnerabilities, most notably Insecure Direct Object References (IDOR), allowing malicious actors to manipulate URL identifiers to view or tamper with competitor project backlogs. Consequently, there is an acute academic and industrial need for an integrated system that marries empirical machine learning schedule prediction with rigorous Software Project Management (SPM) governance and zero-trust cybersecurity.</w:t>
      </w:r>
    </w:p>
    <w:p>
      <w:pPr>
        <w:pStyle w:val="Heading2"/>
        <w:keepNext/>
        <w:spacing w:before="280" w:after="120"/>
      </w:pPr>
      <w:r>
        <w:rPr>
          <w:rFonts w:ascii="Calibri" w:hAnsi="Calibri"/>
          <w:b/>
          <w:color w:val="2C5E8A"/>
          <w:sz w:val="27"/>
        </w:rPr>
        <w:t>1.3 Aim and Objectives</w:t>
      </w:r>
    </w:p>
    <w:p>
      <w:pPr>
        <w:spacing w:after="120" w:line="276" w:lineRule="auto"/>
      </w:pPr>
      <w:r>
        <w:rPr>
          <w:rFonts w:ascii="Calibri" w:hAnsi="Calibri"/>
          <w:color w:val="374151"/>
          <w:sz w:val="21"/>
        </w:rPr>
        <w:t>The overarching aim of this research project is to design, implement, evaluate, and rigorously document an enterprise-grade Multi-Tenant Task Management Software-as-a-Service (SaaS) platform featuring embedded dual-tier machine learning for schedule overrun classification and effort estimation.</w:t>
      </w:r>
    </w:p>
    <w:p>
      <w:pPr>
        <w:spacing w:after="120" w:line="276" w:lineRule="auto"/>
      </w:pPr>
      <w:r>
        <w:rPr>
          <w:rFonts w:ascii="Calibri" w:hAnsi="Calibri"/>
          <w:color w:val="374151"/>
          <w:sz w:val="21"/>
        </w:rPr>
        <w:t>To achieve this aim, the following concrete academic and engineering objectives were formulated:</w:t>
      </w:r>
    </w:p>
    <w:p>
      <w:pPr>
        <w:pStyle w:val="ListBullet"/>
        <w:spacing w:after="60" w:line="276" w:lineRule="auto"/>
      </w:pPr>
      <w:r>
        <w:rPr>
          <w:rFonts w:ascii="Calibri" w:hAnsi="Calibri"/>
          <w:b/>
          <w:color w:val="111827"/>
          <w:sz w:val="20"/>
        </w:rPr>
        <w:t xml:space="preserve">1. Dataset Ingestion &amp; Preprocessing: </w:t>
      </w:r>
      <w:r>
        <w:rPr>
          <w:rFonts w:ascii="Calibri" w:hAnsi="Calibri"/>
          <w:color w:val="374151"/>
          <w:sz w:val="20"/>
        </w:rPr>
        <w:t>To ingest and preprocess empirical software benchmarking datasets (PROMISE China N=499, Desharnais N=81, and Zenodo ISBSG Release 10) to establish empirical ground truth for software duration and effort modeling.</w:t>
      </w:r>
    </w:p>
    <w:p>
      <w:pPr>
        <w:pStyle w:val="ListBullet"/>
        <w:spacing w:after="60" w:line="276" w:lineRule="auto"/>
      </w:pPr>
      <w:r>
        <w:rPr>
          <w:rFonts w:ascii="Calibri" w:hAnsi="Calibri"/>
          <w:b/>
          <w:color w:val="111827"/>
          <w:sz w:val="20"/>
        </w:rPr>
        <w:t xml:space="preserve">2. Feature Engineering: </w:t>
      </w:r>
      <w:r>
        <w:rPr>
          <w:rFonts w:ascii="Calibri" w:hAnsi="Calibri"/>
          <w:color w:val="374151"/>
          <w:sz w:val="20"/>
        </w:rPr>
        <w:t>To engineer domain-specific software engineering features, transforming Agile Story Points into Adjusted Function Points (AFP) and applying Brooks's Law non-linear team capacity calibration.</w:t>
      </w:r>
    </w:p>
    <w:p>
      <w:pPr>
        <w:pStyle w:val="ListBullet"/>
        <w:spacing w:after="60" w:line="276" w:lineRule="auto"/>
      </w:pPr>
      <w:r>
        <w:rPr>
          <w:rFonts w:ascii="Calibri" w:hAnsi="Calibri"/>
          <w:b/>
          <w:color w:val="111827"/>
          <w:sz w:val="20"/>
        </w:rPr>
        <w:t xml:space="preserve">3. Machine Learning Development: </w:t>
      </w:r>
      <w:r>
        <w:rPr>
          <w:rFonts w:ascii="Calibri" w:hAnsi="Calibri"/>
          <w:color w:val="374151"/>
          <w:sz w:val="20"/>
        </w:rPr>
        <w:t>To train, tune, and evaluate dual-tier machine learning models: a Random Forest Classifier predicting project delay probability (Accuracy &gt; 80%, ROC-AUC &gt; 0.85) and regression models predicting calendar duration.</w:t>
      </w:r>
    </w:p>
    <w:p>
      <w:pPr>
        <w:pStyle w:val="ListBullet"/>
        <w:spacing w:after="60" w:line="276" w:lineRule="auto"/>
      </w:pPr>
      <w:r>
        <w:rPr>
          <w:rFonts w:ascii="Calibri" w:hAnsi="Calibri"/>
          <w:b/>
          <w:color w:val="111827"/>
          <w:sz w:val="20"/>
        </w:rPr>
        <w:t xml:space="preserve">4. Stochastic Simulation: </w:t>
      </w:r>
      <w:r>
        <w:rPr>
          <w:rFonts w:ascii="Calibri" w:hAnsi="Calibri"/>
          <w:color w:val="374151"/>
          <w:sz w:val="20"/>
        </w:rPr>
        <w:t>To implement a vectorized 10,000-iteration Monte Carlo simulation engine modeling stochastic throughput distributions and schedule percentiles (P50, P80, P95).</w:t>
      </w:r>
    </w:p>
    <w:p>
      <w:pPr>
        <w:pStyle w:val="ListBullet"/>
        <w:spacing w:after="60" w:line="276" w:lineRule="auto"/>
      </w:pPr>
      <w:r>
        <w:rPr>
          <w:rFonts w:ascii="Calibri" w:hAnsi="Calibri"/>
          <w:b/>
          <w:color w:val="111827"/>
          <w:sz w:val="20"/>
        </w:rPr>
        <w:t xml:space="preserve">5. Full-Stack SaaS Architecture: </w:t>
      </w:r>
      <w:r>
        <w:rPr>
          <w:rFonts w:ascii="Calibri" w:hAnsi="Calibri"/>
          <w:color w:val="374151"/>
          <w:sz w:val="20"/>
        </w:rPr>
        <w:t>To design and construct a modern 3-tier decoupled architecture: Next.js 16 App Router frontend, Node.js Express REST API gateway, and FastAPI Python ML microservice.</w:t>
      </w:r>
    </w:p>
    <w:p>
      <w:pPr>
        <w:pStyle w:val="ListBullet"/>
        <w:spacing w:after="60" w:line="276" w:lineRule="auto"/>
      </w:pPr>
      <w:r>
        <w:rPr>
          <w:rFonts w:ascii="Calibri" w:hAnsi="Calibri"/>
          <w:b/>
          <w:color w:val="111827"/>
          <w:sz w:val="20"/>
        </w:rPr>
        <w:t xml:space="preserve">6. Cybersecurity Implementation: </w:t>
      </w:r>
      <w:r>
        <w:rPr>
          <w:rFonts w:ascii="Calibri" w:hAnsi="Calibri"/>
          <w:color w:val="374151"/>
          <w:sz w:val="20"/>
        </w:rPr>
        <w:t>To enforce defense-in-depth zero-trust multi-tenancy, eliminating IDOR vulnerabilities via cryptographic JWT-scoped query bindings and implementing immutable security audit logging.</w:t>
      </w:r>
    </w:p>
    <w:p>
      <w:pPr>
        <w:pStyle w:val="ListBullet"/>
        <w:spacing w:after="60" w:line="276" w:lineRule="auto"/>
      </w:pPr>
      <w:r>
        <w:rPr>
          <w:rFonts w:ascii="Calibri" w:hAnsi="Calibri"/>
          <w:b/>
          <w:color w:val="111827"/>
          <w:sz w:val="20"/>
        </w:rPr>
        <w:t xml:space="preserve">7. Governance &amp; Gatekeeping: </w:t>
      </w:r>
      <w:r>
        <w:rPr>
          <w:rFonts w:ascii="Calibri" w:hAnsi="Calibri"/>
          <w:color w:val="374151"/>
          <w:sz w:val="20"/>
        </w:rPr>
        <w:t>To implement SPM Quality Review Gatekeeping, programmatically enforcing separation of duties where engineers request review and only managers approve task completion.</w:t>
      </w:r>
    </w:p>
    <w:p>
      <w:pPr>
        <w:pStyle w:val="ListBullet"/>
        <w:spacing w:after="60" w:line="276" w:lineRule="auto"/>
      </w:pPr>
      <w:r>
        <w:rPr>
          <w:rFonts w:ascii="Calibri" w:hAnsi="Calibri"/>
          <w:b/>
          <w:color w:val="111827"/>
          <w:sz w:val="20"/>
        </w:rPr>
        <w:t xml:space="preserve">8. Comprehensive Verification: </w:t>
      </w:r>
      <w:r>
        <w:rPr>
          <w:rFonts w:ascii="Calibri" w:hAnsi="Calibri"/>
          <w:color w:val="374151"/>
          <w:sz w:val="20"/>
        </w:rPr>
        <w:t>To validate the system through automated unit, integration, and security invariant test suites, achieving a 100% test pass rate across all tiers.</w:t>
      </w:r>
    </w:p>
    <w:p>
      <w:pPr>
        <w:pStyle w:val="Heading2"/>
        <w:keepNext/>
        <w:spacing w:before="280" w:after="120"/>
      </w:pPr>
      <w:r>
        <w:rPr>
          <w:rFonts w:ascii="Calibri" w:hAnsi="Calibri"/>
          <w:b/>
          <w:color w:val="2C5E8A"/>
          <w:sz w:val="27"/>
        </w:rPr>
        <w:t>1.4 Significance of the Study</w:t>
      </w:r>
    </w:p>
    <w:p>
      <w:pPr>
        <w:spacing w:after="120" w:line="276" w:lineRule="auto"/>
      </w:pPr>
      <w:r>
        <w:rPr>
          <w:rFonts w:ascii="Calibri" w:hAnsi="Calibri"/>
          <w:color w:val="374151"/>
          <w:sz w:val="21"/>
        </w:rPr>
        <w:t>This project provides significant academic and practical contributions across three core computing domains. In Software Project Management, it demonstrates how classical parametric models (COCOMO II, Putnam-Norden-Rayleigh, Function Points) can be successfully integrated into modern Agile workflows. In Artificial Intelligence, it bridges the gap between historical empirical software metrics repositories and live, real-time web inference microservices with interactive What-If scenario analysis. In Cybersecurity, it demonstrates how multi-tenant isolation can be provably enforced at the ORM abstraction layer, providing an academic blueprint for building secure, multi-organization cloud platforms.</w:t>
      </w:r>
    </w:p>
    <w:p>
      <w:pPr>
        <w:pStyle w:val="Heading2"/>
        <w:keepNext/>
        <w:spacing w:before="280" w:after="120"/>
      </w:pPr>
      <w:r>
        <w:rPr>
          <w:rFonts w:ascii="Calibri" w:hAnsi="Calibri"/>
          <w:b/>
          <w:color w:val="2C5E8A"/>
          <w:sz w:val="27"/>
        </w:rPr>
        <w:t>1.5 Scope of the Project</w:t>
      </w:r>
    </w:p>
    <w:p>
      <w:pPr>
        <w:spacing w:after="120" w:line="276" w:lineRule="auto"/>
      </w:pPr>
      <w:r>
        <w:rPr>
          <w:rFonts w:ascii="Calibri" w:hAnsi="Calibri"/>
          <w:color w:val="374151"/>
          <w:sz w:val="21"/>
        </w:rPr>
        <w:t>The functional scope of the project encompasses: user registration, organization provisioning, multi-tenant workspace switching, role-based access control (SuperAdmin, Admin, Manager, Member), project creation, milestone scheduling, task backlog management, real-time ML task effort estimation, project-level schedule overrun prediction, interactive What-If schedule scenario simulation, Earned Value Management (EVM) variance tracking, quality review workflows, and immutable audit trail recording. Out of scope for this release: third-party OAuth2 federated SSO (Google/GitHub), automated credit card billing processing, and multi-region geo-replicated database sharding.</w:t>
      </w:r>
    </w:p>
    <w:p>
      <w:pPr>
        <w:pStyle w:val="Heading2"/>
        <w:keepNext/>
        <w:spacing w:before="280" w:after="120"/>
      </w:pPr>
      <w:r>
        <w:rPr>
          <w:rFonts w:ascii="Calibri" w:hAnsi="Calibri"/>
          <w:b/>
          <w:color w:val="2C5E8A"/>
          <w:sz w:val="27"/>
        </w:rPr>
        <w:t>1.6 Limitations of the Study</w:t>
      </w:r>
    </w:p>
    <w:p>
      <w:pPr>
        <w:spacing w:after="120" w:line="276" w:lineRule="auto"/>
      </w:pPr>
      <w:r>
        <w:rPr>
          <w:rFonts w:ascii="Calibri" w:hAnsi="Calibri"/>
          <w:color w:val="374151"/>
          <w:sz w:val="21"/>
        </w:rPr>
        <w:t>The project acknowledges three primary constraints: (1) The commercial ISBSG (International Software Benchmarking Standards Group) dataset is paywalled at $3,000+, necessitating the defense and adoption of the PROMISE China dataset (N=499) as the primary empirical benchmark, supplemented by the open-access Zenodo ISBSG teaser. (2) Initial ML inference for newly created tenant workspaces relies on cross-project transfer learning from industry benchmarks until the organization establishes sufficient internal velocity history (&gt;= 15 completed tasks). (3) The inference service operates synchronously over internal RPC rather than asynchronous event queues.</w:t>
      </w:r>
    </w:p>
    <w:p>
      <w:pPr>
        <w:pStyle w:val="Heading2"/>
        <w:keepNext/>
        <w:spacing w:before="280" w:after="120"/>
      </w:pPr>
      <w:r>
        <w:rPr>
          <w:rFonts w:ascii="Calibri" w:hAnsi="Calibri"/>
          <w:b/>
          <w:color w:val="2C5E8A"/>
          <w:sz w:val="27"/>
        </w:rPr>
        <w:t>1.7 Operational Definitions</w:t>
      </w:r>
    </w:p>
    <w:p>
      <w:pPr>
        <w:pStyle w:val="ListBullet"/>
        <w:spacing w:after="60" w:line="276" w:lineRule="auto"/>
      </w:pPr>
      <w:r>
        <w:rPr>
          <w:rFonts w:ascii="Calibri" w:hAnsi="Calibri"/>
          <w:b/>
          <w:color w:val="111827"/>
          <w:sz w:val="20"/>
        </w:rPr>
        <w:t xml:space="preserve">Multi-Tenancy: </w:t>
      </w:r>
      <w:r>
        <w:rPr>
          <w:rFonts w:ascii="Calibri" w:hAnsi="Calibri"/>
          <w:color w:val="374151"/>
          <w:sz w:val="20"/>
        </w:rPr>
        <w:t>An architectural model where a single software instance serves multiple distinct customer organizations (tenants), maintaining strict logical data boundaries.</w:t>
      </w:r>
    </w:p>
    <w:p>
      <w:pPr>
        <w:pStyle w:val="ListBullet"/>
        <w:spacing w:after="60" w:line="276" w:lineRule="auto"/>
      </w:pPr>
      <w:r>
        <w:rPr>
          <w:rFonts w:ascii="Calibri" w:hAnsi="Calibri"/>
          <w:b/>
          <w:color w:val="111827"/>
          <w:sz w:val="20"/>
        </w:rPr>
        <w:t xml:space="preserve">Insecure Direct Object Reference (IDOR): </w:t>
      </w:r>
      <w:r>
        <w:rPr>
          <w:rFonts w:ascii="Calibri" w:hAnsi="Calibri"/>
          <w:color w:val="374151"/>
          <w:sz w:val="20"/>
        </w:rPr>
        <w:t>OWASP Top 10 vulnerability where an application exposes direct references to internal database objects, allowing unauthorized cross-tenant data access.</w:t>
      </w:r>
    </w:p>
    <w:p>
      <w:pPr>
        <w:pStyle w:val="ListBullet"/>
        <w:spacing w:after="60" w:line="276" w:lineRule="auto"/>
      </w:pPr>
      <w:r>
        <w:rPr>
          <w:rFonts w:ascii="Calibri" w:hAnsi="Calibri"/>
          <w:b/>
          <w:color w:val="111827"/>
          <w:sz w:val="20"/>
        </w:rPr>
        <w:t xml:space="preserve">Adjusted Function Points (AFP): </w:t>
      </w:r>
      <w:r>
        <w:rPr>
          <w:rFonts w:ascii="Calibri" w:hAnsi="Calibri"/>
          <w:color w:val="374151"/>
          <w:sz w:val="20"/>
        </w:rPr>
        <w:t>ISO/IEC standardized metric quantifying the functional size of software based on user-requested transactional inputs, outputs, inquiries, files, and interfaces.</w:t>
      </w:r>
    </w:p>
    <w:p>
      <w:pPr>
        <w:pStyle w:val="ListBullet"/>
        <w:spacing w:after="60" w:line="276" w:lineRule="auto"/>
      </w:pPr>
      <w:r>
        <w:rPr>
          <w:rFonts w:ascii="Calibri" w:hAnsi="Calibri"/>
          <w:b/>
          <w:color w:val="111827"/>
          <w:sz w:val="20"/>
        </w:rPr>
        <w:t xml:space="preserve">Brooks's Law: </w:t>
      </w:r>
      <w:r>
        <w:rPr>
          <w:rFonts w:ascii="Calibri" w:hAnsi="Calibri"/>
          <w:color w:val="374151"/>
          <w:sz w:val="20"/>
        </w:rPr>
        <w:t>The fundamental software engineering law stating that 'adding manpower to a late software project makes it later' due to N(N-1)/2 communication overhead.</w:t>
      </w:r>
    </w:p>
    <w:p>
      <w:pPr>
        <w:pStyle w:val="ListBullet"/>
        <w:spacing w:after="60" w:line="276" w:lineRule="auto"/>
      </w:pPr>
      <w:r>
        <w:rPr>
          <w:rFonts w:ascii="Calibri" w:hAnsi="Calibri"/>
          <w:b/>
          <w:color w:val="111827"/>
          <w:sz w:val="20"/>
        </w:rPr>
        <w:t xml:space="preserve">Monte Carlo Simulation: </w:t>
      </w:r>
      <w:r>
        <w:rPr>
          <w:rFonts w:ascii="Calibri" w:hAnsi="Calibri"/>
          <w:color w:val="374151"/>
          <w:sz w:val="20"/>
        </w:rPr>
        <w:t>A computational algorithm that uses repeated random sampling from empirical probability distributions to obtain numerical results for risk and schedule forecasting.</w:t>
      </w:r>
    </w:p>
    <w:p>
      <w:pPr>
        <w:pStyle w:val="ListBullet"/>
        <w:spacing w:after="60" w:line="276" w:lineRule="auto"/>
      </w:pPr>
      <w:r>
        <w:rPr>
          <w:rFonts w:ascii="Calibri" w:hAnsi="Calibri"/>
          <w:b/>
          <w:color w:val="111827"/>
          <w:sz w:val="20"/>
        </w:rPr>
        <w:t xml:space="preserve">MdMRE &amp; PRED(25): </w:t>
      </w:r>
      <w:r>
        <w:rPr>
          <w:rFonts w:ascii="Calibri" w:hAnsi="Calibri"/>
          <w:color w:val="374151"/>
          <w:sz w:val="20"/>
        </w:rPr>
        <w:t>Industry standard metrics for evaluating software estimation models, where MRE represents Magnitude of Relative Error, MdMRE is median MRE, and PRED(25) represents the percentage of predictions within 25% of actual values.</w:t>
      </w:r>
    </w:p>
    <w:p>
      <w:r>
        <w:br w:type="page"/>
      </w:r>
    </w:p>
    <w:p>
      <w:pPr>
        <w:pStyle w:val="Heading1"/>
        <w:keepNext/>
        <w:spacing w:before="360" w:after="160"/>
      </w:pPr>
      <w:r>
        <w:rPr>
          <w:rFonts w:ascii="Calibri" w:hAnsi="Calibri"/>
          <w:b/>
          <w:color w:val="1B365D"/>
          <w:sz w:val="36"/>
        </w:rPr>
        <w:t>Chapter Two — Literature Review</w:t>
      </w:r>
    </w:p>
    <w:p>
      <w:pPr>
        <w:pStyle w:val="Heading2"/>
        <w:keepNext/>
        <w:spacing w:before="280" w:after="120"/>
      </w:pPr>
      <w:r>
        <w:rPr>
          <w:rFonts w:ascii="Calibri" w:hAnsi="Calibri"/>
          <w:b/>
          <w:color w:val="2C5E8A"/>
          <w:sz w:val="27"/>
        </w:rPr>
        <w:t>2.1 Artificial Intelligence &amp; Machine Learning Concepts in Estimation</w:t>
      </w:r>
    </w:p>
    <w:p>
      <w:pPr>
        <w:spacing w:after="120" w:line="276" w:lineRule="auto"/>
      </w:pPr>
      <w:r>
        <w:rPr>
          <w:rFonts w:ascii="Calibri" w:hAnsi="Calibri"/>
          <w:color w:val="374151"/>
          <w:sz w:val="21"/>
        </w:rPr>
        <w:t>Software effort and duration estimation has evolved from early expert judgment and heuristic formulas toward modern machine learning ensembles. Classical parametric models, such as Barry Boehm's COCOMO (Constructive Cost Model, 1981) and COCOMO II (2000), established mathematical relationships between Lines of Code (SLOC) or Function Points (FP) and development effort (Effort = A * (Size)^B * ProdMultipliers). Similarly, Lawrence Putnam's (1978) SLIM model applied the Norden-Rayleigh distribution to relate system size, schedule duration, and manpower. However, parametric models suffer from rigid assumptions regarding project environmental factors and struggle with non-linear feature interactions.</w:t>
      </w:r>
    </w:p>
    <w:p>
      <w:pPr>
        <w:spacing w:after="120" w:line="276" w:lineRule="auto"/>
      </w:pPr>
      <w:r>
        <w:rPr>
          <w:rFonts w:ascii="Calibri" w:hAnsi="Calibri"/>
          <w:color w:val="374151"/>
          <w:sz w:val="21"/>
        </w:rPr>
        <w:t>Recent advances by Menzies et al. (2006, 2017) demonstrated that machine learning ensembles—particularly Random Forests and Gradient Boosted Trees—consistently outperform classical regression in software engineering estimation. Random Forests operate by constructing a multitude of uncorrelated decision trees during training and outputting the mode of classes (classification) or mean prediction (regression) of the individual trees. By bootstrap aggregating (bagging) and performing random feature subspace selection at each split, Random Forests exhibit remarkable resilience against overfitting, handle collinearity between functional metrics, and natively output feature importance rankings.</w:t>
      </w:r>
    </w:p>
    <w:p>
      <w:pPr>
        <w:pStyle w:val="Heading2"/>
        <w:keepNext/>
        <w:spacing w:before="280" w:after="120"/>
      </w:pPr>
      <w:r>
        <w:rPr>
          <w:rFonts w:ascii="Calibri" w:hAnsi="Calibri"/>
          <w:b/>
          <w:color w:val="2C5E8A"/>
          <w:sz w:val="27"/>
        </w:rPr>
        <w:t>2.2 Software Engineering &amp; Project Management Frameworks</w:t>
      </w:r>
    </w:p>
    <w:p>
      <w:pPr>
        <w:spacing w:after="120" w:line="276" w:lineRule="auto"/>
      </w:pPr>
      <w:r>
        <w:rPr>
          <w:rFonts w:ascii="Calibri" w:hAnsi="Calibri"/>
          <w:color w:val="374151"/>
          <w:sz w:val="21"/>
        </w:rPr>
        <w:t>The Project Management Institute (PMI) Project Management Body of Knowledge (PMBOK) categorizes project delivery into knowledge areas including Scope, Schedule, Cost, Quality, Resource, and Risk Management. The Work Breakdown Structure (WBS) serves as the foundational artifact, decomposing deliverables according to the 100% Rule. For schedule planning, the Program Evaluation and Review Technique (PERT) incorporates three-point estimates (Optimistic, Most Likely, Pessimistic) to calculate weighted expected duration Te = (O + 4M + P) / 6 and variance sigma^2 = ((P - O) / 6)^2. The Critical Path Method (CPM) identifies the longest sequence of dependent activities having zero float, dictating the minimum project duration.</w:t>
      </w:r>
    </w:p>
    <w:p>
      <w:pPr>
        <w:spacing w:after="120" w:line="276" w:lineRule="auto"/>
      </w:pPr>
      <w:r>
        <w:rPr>
          <w:rFonts w:ascii="Calibri" w:hAnsi="Calibri"/>
          <w:color w:val="374151"/>
          <w:sz w:val="21"/>
        </w:rPr>
        <w:t>In modern Agile/Scrum delivery, teams utilize empirical velocity and story points. However, Scrum assumes a linear relationship between story points and sprint capacity. In reality, as teams expand, Brooks's Law dictates that inter-team communication channels grow quadratically: C = N(N - 1) / 2. To ensure rigorous software quality, ISO/IEC 25010 defines an eight-characteristic quality model (Functional Suitability, Reliability, Performance Efficiency, Usability, Security, Compatibility, Maintainability, Portability). Earned Value Management (EVM) provides objective variance tracking through Schedule Variance (SV = EV - PV) and Schedule Performance Index (SPI = EV / PV).</w:t>
      </w:r>
    </w:p>
    <w:p>
      <w:pPr>
        <w:pStyle w:val="Heading2"/>
        <w:keepNext/>
        <w:spacing w:before="280" w:after="120"/>
      </w:pPr>
      <w:r>
        <w:rPr>
          <w:rFonts w:ascii="Calibri" w:hAnsi="Calibri"/>
          <w:b/>
          <w:color w:val="2C5E8A"/>
          <w:sz w:val="27"/>
        </w:rPr>
        <w:t>2.3 Cybersecurity &amp; Multi-Tenant Cloud Architecture</w:t>
      </w:r>
    </w:p>
    <w:p>
      <w:pPr>
        <w:spacing w:after="120" w:line="276" w:lineRule="auto"/>
      </w:pPr>
      <w:r>
        <w:rPr>
          <w:rFonts w:ascii="Calibri" w:hAnsi="Calibri"/>
          <w:color w:val="374151"/>
          <w:sz w:val="21"/>
        </w:rPr>
        <w:t>Multi-tenant Software-as-a-Service architectures require provable logical data isolation. According to the OWASP Top 10 (2021), Broken Access Control (A01:2021) is the number one web security risk, primarily manifested through Insecure Direct Object References (IDOR). In an IDOR vulnerability, an application accepts client-controlled identifiers (such as project_id or organization_id in request bodies or query strings) without cryptographically verifying that the authenticated session possesses ownership rights to that object. To systematically evaluate security risks, Microsoft's STRIDE threat model categorizes vulnerabilities into Spoofing, Tampering, Repudiation, Information Disclosure, Denial of Service, and Elevation of Privilege.</w:t>
      </w:r>
    </w:p>
    <w:p>
      <w:pPr>
        <w:pStyle w:val="Heading2"/>
        <w:keepNext/>
        <w:spacing w:before="280" w:after="120"/>
      </w:pPr>
      <w:r>
        <w:rPr>
          <w:rFonts w:ascii="Calibri" w:hAnsi="Calibri"/>
          <w:b/>
          <w:color w:val="2C5E8A"/>
          <w:sz w:val="27"/>
        </w:rPr>
        <w:t>2.4 Comparative Analysis of Existing Systems</w:t>
      </w:r>
    </w:p>
    <w:p>
      <w:pPr>
        <w:spacing w:after="120" w:line="276" w:lineRule="auto"/>
      </w:pPr>
      <w:r>
        <w:rPr>
          <w:rFonts w:ascii="Calibri" w:hAnsi="Calibri"/>
          <w:color w:val="374151"/>
          <w:sz w:val="21"/>
        </w:rPr>
        <w:t>To establish context and justify the proposed engineering solution, a comparative analysis of existing commercial and open-source project management systems was conducted:</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fill="1B365D"/>
            <w:tcMar>
              <w:top w:w="140" w:type="dxa"/>
              <w:bottom w:w="140" w:type="dxa"/>
              <w:left w:w="160" w:type="dxa"/>
              <w:right w:w="160" w:type="dxa"/>
            </w:tcMar>
          </w:tcPr>
          <w:p>
            <w:pPr>
              <w:jc w:val="left"/>
            </w:pPr>
            <w:r>
              <w:rPr>
                <w:rFonts w:ascii="Calibri" w:hAnsi="Calibri"/>
                <w:b/>
                <w:color w:val="FFFFFF"/>
                <w:sz w:val="19"/>
              </w:rPr>
              <w:t>Platform</w:t>
            </w:r>
          </w:p>
        </w:tc>
        <w:tc>
          <w:tcPr>
            <w:tcW w:type="dxa" w:w="1560"/>
            <w:shd w:fill="1B365D"/>
            <w:tcMar>
              <w:top w:w="140" w:type="dxa"/>
              <w:bottom w:w="140" w:type="dxa"/>
              <w:left w:w="160" w:type="dxa"/>
              <w:right w:w="160" w:type="dxa"/>
            </w:tcMar>
          </w:tcPr>
          <w:p>
            <w:pPr>
              <w:jc w:val="left"/>
            </w:pPr>
            <w:r>
              <w:rPr>
                <w:rFonts w:ascii="Calibri" w:hAnsi="Calibri"/>
                <w:b/>
                <w:color w:val="FFFFFF"/>
                <w:sz w:val="19"/>
              </w:rPr>
              <w:t>Task Management</w:t>
            </w:r>
          </w:p>
        </w:tc>
        <w:tc>
          <w:tcPr>
            <w:tcW w:type="dxa" w:w="1560"/>
            <w:shd w:fill="1B365D"/>
            <w:tcMar>
              <w:top w:w="140" w:type="dxa"/>
              <w:bottom w:w="140" w:type="dxa"/>
              <w:left w:w="160" w:type="dxa"/>
              <w:right w:w="160" w:type="dxa"/>
            </w:tcMar>
          </w:tcPr>
          <w:p>
            <w:pPr>
              <w:jc w:val="left"/>
            </w:pPr>
            <w:r>
              <w:rPr>
                <w:rFonts w:ascii="Calibri" w:hAnsi="Calibri"/>
                <w:b/>
                <w:color w:val="FFFFFF"/>
                <w:sz w:val="19"/>
              </w:rPr>
              <w:t>Multi-Tenancy</w:t>
            </w:r>
          </w:p>
        </w:tc>
        <w:tc>
          <w:tcPr>
            <w:tcW w:type="dxa" w:w="1560"/>
            <w:shd w:fill="1B365D"/>
            <w:tcMar>
              <w:top w:w="140" w:type="dxa"/>
              <w:bottom w:w="140" w:type="dxa"/>
              <w:left w:w="160" w:type="dxa"/>
              <w:right w:w="160" w:type="dxa"/>
            </w:tcMar>
          </w:tcPr>
          <w:p>
            <w:pPr>
              <w:jc w:val="left"/>
            </w:pPr>
            <w:r>
              <w:rPr>
                <w:rFonts w:ascii="Calibri" w:hAnsi="Calibri"/>
                <w:b/>
                <w:color w:val="FFFFFF"/>
                <w:sz w:val="19"/>
              </w:rPr>
              <w:t>ML Schedule AI</w:t>
            </w:r>
          </w:p>
        </w:tc>
        <w:tc>
          <w:tcPr>
            <w:tcW w:type="dxa" w:w="1560"/>
            <w:shd w:fill="1B365D"/>
            <w:tcMar>
              <w:top w:w="140" w:type="dxa"/>
              <w:bottom w:w="140" w:type="dxa"/>
              <w:left w:w="160" w:type="dxa"/>
              <w:right w:w="160" w:type="dxa"/>
            </w:tcMar>
          </w:tcPr>
          <w:p>
            <w:pPr>
              <w:jc w:val="left"/>
            </w:pPr>
            <w:r>
              <w:rPr>
                <w:rFonts w:ascii="Calibri" w:hAnsi="Calibri"/>
                <w:b/>
                <w:color w:val="FFFFFF"/>
                <w:sz w:val="19"/>
              </w:rPr>
              <w:t>Monte Carlo Risk</w:t>
            </w:r>
          </w:p>
        </w:tc>
        <w:tc>
          <w:tcPr>
            <w:tcW w:type="dxa" w:w="1560"/>
            <w:shd w:fill="1B365D"/>
            <w:tcMar>
              <w:top w:w="140" w:type="dxa"/>
              <w:bottom w:w="140" w:type="dxa"/>
              <w:left w:w="160" w:type="dxa"/>
              <w:right w:w="160" w:type="dxa"/>
            </w:tcMar>
          </w:tcPr>
          <w:p>
            <w:pPr>
              <w:jc w:val="left"/>
            </w:pPr>
            <w:r>
              <w:rPr>
                <w:rFonts w:ascii="Calibri" w:hAnsi="Calibri"/>
                <w:b/>
                <w:color w:val="FFFFFF"/>
                <w:sz w:val="19"/>
              </w:rPr>
              <w:t>Review Gatekeeping</w:t>
            </w:r>
          </w:p>
        </w:tc>
      </w:tr>
      <w:tr>
        <w:tc>
          <w:tcPr>
            <w:tcW w:type="dxa" w:w="1560"/>
            <w:shd w:fill="F4F6F9"/>
            <w:tcMar>
              <w:top w:w="100" w:type="dxa"/>
              <w:bottom w:w="100" w:type="dxa"/>
              <w:left w:w="160" w:type="dxa"/>
              <w:right w:w="160" w:type="dxa"/>
            </w:tcMar>
          </w:tcPr>
          <w:p>
            <w:r>
              <w:rPr>
                <w:rFonts w:ascii="Calibri" w:hAnsi="Calibri"/>
                <w:color w:val="333333"/>
                <w:sz w:val="18"/>
              </w:rPr>
              <w:t>Jira Software (Atlassian)</w:t>
            </w:r>
          </w:p>
        </w:tc>
        <w:tc>
          <w:tcPr>
            <w:tcW w:type="dxa" w:w="1560"/>
            <w:shd w:fill="F4F6F9"/>
            <w:tcMar>
              <w:top w:w="100" w:type="dxa"/>
              <w:bottom w:w="100" w:type="dxa"/>
              <w:left w:w="160" w:type="dxa"/>
              <w:right w:w="160" w:type="dxa"/>
            </w:tcMar>
          </w:tcPr>
          <w:p>
            <w:r>
              <w:rPr>
                <w:rFonts w:ascii="Calibri" w:hAnsi="Calibri"/>
                <w:color w:val="333333"/>
                <w:sz w:val="18"/>
              </w:rPr>
              <w:t>Kanban / Scrum / Backlog</w:t>
            </w:r>
          </w:p>
        </w:tc>
        <w:tc>
          <w:tcPr>
            <w:tcW w:type="dxa" w:w="1560"/>
            <w:shd w:fill="F4F6F9"/>
            <w:tcMar>
              <w:top w:w="100" w:type="dxa"/>
              <w:bottom w:w="100" w:type="dxa"/>
              <w:left w:w="160" w:type="dxa"/>
              <w:right w:w="160" w:type="dxa"/>
            </w:tcMar>
          </w:tcPr>
          <w:p>
            <w:r>
              <w:rPr>
                <w:rFonts w:ascii="Calibri" w:hAnsi="Calibri"/>
                <w:color w:val="333333"/>
                <w:sz w:val="18"/>
              </w:rPr>
              <w:t>Workspace Isolation</w:t>
            </w:r>
          </w:p>
        </w:tc>
        <w:tc>
          <w:tcPr>
            <w:tcW w:type="dxa" w:w="1560"/>
            <w:shd w:fill="F4F6F9"/>
            <w:tcMar>
              <w:top w:w="100" w:type="dxa"/>
              <w:bottom w:w="100" w:type="dxa"/>
              <w:left w:w="160" w:type="dxa"/>
              <w:right w:w="160" w:type="dxa"/>
            </w:tcMar>
          </w:tcPr>
          <w:p>
            <w:r>
              <w:rPr>
                <w:rFonts w:ascii="Calibri" w:hAnsi="Calibri"/>
                <w:color w:val="333333"/>
                <w:sz w:val="18"/>
              </w:rPr>
              <w:t>None (Static Velocity)</w:t>
            </w:r>
          </w:p>
        </w:tc>
        <w:tc>
          <w:tcPr>
            <w:tcW w:type="dxa" w:w="1560"/>
            <w:shd w:fill="F4F6F9"/>
            <w:tcMar>
              <w:top w:w="100" w:type="dxa"/>
              <w:bottom w:w="100" w:type="dxa"/>
              <w:left w:w="160" w:type="dxa"/>
              <w:right w:w="160" w:type="dxa"/>
            </w:tcMar>
          </w:tcPr>
          <w:p>
            <w:r>
              <w:rPr>
                <w:rFonts w:ascii="Calibri" w:hAnsi="Calibri"/>
                <w:color w:val="333333"/>
                <w:sz w:val="18"/>
              </w:rPr>
              <w:t>Plugin Dependent ($$$)</w:t>
            </w:r>
          </w:p>
        </w:tc>
        <w:tc>
          <w:tcPr>
            <w:tcW w:type="dxa" w:w="1560"/>
            <w:shd w:fill="F4F6F9"/>
            <w:tcMar>
              <w:top w:w="100" w:type="dxa"/>
              <w:bottom w:w="100" w:type="dxa"/>
              <w:left w:w="160" w:type="dxa"/>
              <w:right w:w="160" w:type="dxa"/>
            </w:tcMar>
          </w:tcPr>
          <w:p>
            <w:r>
              <w:rPr>
                <w:rFonts w:ascii="Calibri" w:hAnsi="Calibri"/>
                <w:color w:val="333333"/>
                <w:sz w:val="18"/>
              </w:rPr>
              <w:t>Custom Workflows</w:t>
            </w:r>
          </w:p>
        </w:tc>
      </w:tr>
      <w:tr>
        <w:tc>
          <w:tcPr>
            <w:tcW w:type="dxa" w:w="1560"/>
            <w:shd w:fill="FFFFFF"/>
            <w:tcMar>
              <w:top w:w="100" w:type="dxa"/>
              <w:bottom w:w="100" w:type="dxa"/>
              <w:left w:w="160" w:type="dxa"/>
              <w:right w:w="160" w:type="dxa"/>
            </w:tcMar>
          </w:tcPr>
          <w:p>
            <w:r>
              <w:rPr>
                <w:rFonts w:ascii="Calibri" w:hAnsi="Calibri"/>
                <w:color w:val="333333"/>
                <w:sz w:val="18"/>
              </w:rPr>
              <w:t>Asana Enterprise</w:t>
            </w:r>
          </w:p>
        </w:tc>
        <w:tc>
          <w:tcPr>
            <w:tcW w:type="dxa" w:w="1560"/>
            <w:shd w:fill="FFFFFF"/>
            <w:tcMar>
              <w:top w:w="100" w:type="dxa"/>
              <w:bottom w:w="100" w:type="dxa"/>
              <w:left w:w="160" w:type="dxa"/>
              <w:right w:w="160" w:type="dxa"/>
            </w:tcMar>
          </w:tcPr>
          <w:p>
            <w:r>
              <w:rPr>
                <w:rFonts w:ascii="Calibri" w:hAnsi="Calibri"/>
                <w:color w:val="333333"/>
                <w:sz w:val="18"/>
              </w:rPr>
              <w:t>List / Board / Timeline</w:t>
            </w:r>
          </w:p>
        </w:tc>
        <w:tc>
          <w:tcPr>
            <w:tcW w:type="dxa" w:w="1560"/>
            <w:shd w:fill="FFFFFF"/>
            <w:tcMar>
              <w:top w:w="100" w:type="dxa"/>
              <w:bottom w:w="100" w:type="dxa"/>
              <w:left w:w="160" w:type="dxa"/>
              <w:right w:w="160" w:type="dxa"/>
            </w:tcMar>
          </w:tcPr>
          <w:p>
            <w:r>
              <w:rPr>
                <w:rFonts w:ascii="Calibri" w:hAnsi="Calibri"/>
                <w:color w:val="333333"/>
                <w:sz w:val="18"/>
              </w:rPr>
              <w:t>Organization Domain</w:t>
            </w:r>
          </w:p>
        </w:tc>
        <w:tc>
          <w:tcPr>
            <w:tcW w:type="dxa" w:w="1560"/>
            <w:shd w:fill="FFFFFF"/>
            <w:tcMar>
              <w:top w:w="100" w:type="dxa"/>
              <w:bottom w:w="100" w:type="dxa"/>
              <w:left w:w="160" w:type="dxa"/>
              <w:right w:w="160" w:type="dxa"/>
            </w:tcMar>
          </w:tcPr>
          <w:p>
            <w:r>
              <w:rPr>
                <w:rFonts w:ascii="Calibri" w:hAnsi="Calibri"/>
                <w:color w:val="333333"/>
                <w:sz w:val="18"/>
              </w:rPr>
              <w:t>Basic AI Chat Assistant</w:t>
            </w:r>
          </w:p>
        </w:tc>
        <w:tc>
          <w:tcPr>
            <w:tcW w:type="dxa" w:w="1560"/>
            <w:shd w:fill="FFFFFF"/>
            <w:tcMar>
              <w:top w:w="100" w:type="dxa"/>
              <w:bottom w:w="100" w:type="dxa"/>
              <w:left w:w="160" w:type="dxa"/>
              <w:right w:w="160" w:type="dxa"/>
            </w:tcMar>
          </w:tcPr>
          <w:p>
            <w:r>
              <w:rPr>
                <w:rFonts w:ascii="Calibri" w:hAnsi="Calibri"/>
                <w:color w:val="333333"/>
                <w:sz w:val="18"/>
              </w:rPr>
              <w:t>None</w:t>
            </w:r>
          </w:p>
        </w:tc>
        <w:tc>
          <w:tcPr>
            <w:tcW w:type="dxa" w:w="1560"/>
            <w:shd w:fill="FFFFFF"/>
            <w:tcMar>
              <w:top w:w="100" w:type="dxa"/>
              <w:bottom w:w="100" w:type="dxa"/>
              <w:left w:w="160" w:type="dxa"/>
              <w:right w:w="160" w:type="dxa"/>
            </w:tcMar>
          </w:tcPr>
          <w:p>
            <w:r>
              <w:rPr>
                <w:rFonts w:ascii="Calibri" w:hAnsi="Calibri"/>
                <w:color w:val="333333"/>
                <w:sz w:val="18"/>
              </w:rPr>
              <w:t>Approval Rules</w:t>
            </w:r>
          </w:p>
        </w:tc>
      </w:tr>
      <w:tr>
        <w:tc>
          <w:tcPr>
            <w:tcW w:type="dxa" w:w="1560"/>
            <w:shd w:fill="F4F6F9"/>
            <w:tcMar>
              <w:top w:w="100" w:type="dxa"/>
              <w:bottom w:w="100" w:type="dxa"/>
              <w:left w:w="160" w:type="dxa"/>
              <w:right w:w="160" w:type="dxa"/>
            </w:tcMar>
          </w:tcPr>
          <w:p>
            <w:r>
              <w:rPr>
                <w:rFonts w:ascii="Calibri" w:hAnsi="Calibri"/>
                <w:color w:val="333333"/>
                <w:sz w:val="18"/>
              </w:rPr>
              <w:t>Linear App</w:t>
            </w:r>
          </w:p>
        </w:tc>
        <w:tc>
          <w:tcPr>
            <w:tcW w:type="dxa" w:w="1560"/>
            <w:shd w:fill="F4F6F9"/>
            <w:tcMar>
              <w:top w:w="100" w:type="dxa"/>
              <w:bottom w:w="100" w:type="dxa"/>
              <w:left w:w="160" w:type="dxa"/>
              <w:right w:w="160" w:type="dxa"/>
            </w:tcMar>
          </w:tcPr>
          <w:p>
            <w:r>
              <w:rPr>
                <w:rFonts w:ascii="Calibri" w:hAnsi="Calibri"/>
                <w:color w:val="333333"/>
                <w:sz w:val="18"/>
              </w:rPr>
              <w:t>Agile Cycles &amp; Triage</w:t>
            </w:r>
          </w:p>
        </w:tc>
        <w:tc>
          <w:tcPr>
            <w:tcW w:type="dxa" w:w="1560"/>
            <w:shd w:fill="F4F6F9"/>
            <w:tcMar>
              <w:top w:w="100" w:type="dxa"/>
              <w:bottom w:w="100" w:type="dxa"/>
              <w:left w:w="160" w:type="dxa"/>
              <w:right w:w="160" w:type="dxa"/>
            </w:tcMar>
          </w:tcPr>
          <w:p>
            <w:r>
              <w:rPr>
                <w:rFonts w:ascii="Calibri" w:hAnsi="Calibri"/>
                <w:color w:val="333333"/>
                <w:sz w:val="18"/>
              </w:rPr>
              <w:t>Workspace Partitioned</w:t>
            </w:r>
          </w:p>
        </w:tc>
        <w:tc>
          <w:tcPr>
            <w:tcW w:type="dxa" w:w="1560"/>
            <w:shd w:fill="F4F6F9"/>
            <w:tcMar>
              <w:top w:w="100" w:type="dxa"/>
              <w:bottom w:w="100" w:type="dxa"/>
              <w:left w:w="160" w:type="dxa"/>
              <w:right w:w="160" w:type="dxa"/>
            </w:tcMar>
          </w:tcPr>
          <w:p>
            <w:r>
              <w:rPr>
                <w:rFonts w:ascii="Calibri" w:hAnsi="Calibri"/>
                <w:color w:val="333333"/>
                <w:sz w:val="18"/>
              </w:rPr>
              <w:t>None</w:t>
            </w:r>
          </w:p>
        </w:tc>
        <w:tc>
          <w:tcPr>
            <w:tcW w:type="dxa" w:w="1560"/>
            <w:shd w:fill="F4F6F9"/>
            <w:tcMar>
              <w:top w:w="100" w:type="dxa"/>
              <w:bottom w:w="100" w:type="dxa"/>
              <w:left w:w="160" w:type="dxa"/>
              <w:right w:w="160" w:type="dxa"/>
            </w:tcMar>
          </w:tcPr>
          <w:p>
            <w:r>
              <w:rPr>
                <w:rFonts w:ascii="Calibri" w:hAnsi="Calibri"/>
                <w:color w:val="333333"/>
                <w:sz w:val="18"/>
              </w:rPr>
              <w:t>None</w:t>
            </w:r>
          </w:p>
        </w:tc>
        <w:tc>
          <w:tcPr>
            <w:tcW w:type="dxa" w:w="1560"/>
            <w:shd w:fill="F4F6F9"/>
            <w:tcMar>
              <w:top w:w="100" w:type="dxa"/>
              <w:bottom w:w="100" w:type="dxa"/>
              <w:left w:w="160" w:type="dxa"/>
              <w:right w:w="160" w:type="dxa"/>
            </w:tcMar>
          </w:tcPr>
          <w:p>
            <w:r>
              <w:rPr>
                <w:rFonts w:ascii="Calibri" w:hAnsi="Calibri"/>
                <w:color w:val="333333"/>
                <w:sz w:val="18"/>
              </w:rPr>
              <w:t>None (Flat Permissions)</w:t>
            </w:r>
          </w:p>
        </w:tc>
      </w:tr>
      <w:tr>
        <w:tc>
          <w:tcPr>
            <w:tcW w:type="dxa" w:w="1560"/>
            <w:shd w:fill="FFFFFF"/>
            <w:tcMar>
              <w:top w:w="100" w:type="dxa"/>
              <w:bottom w:w="100" w:type="dxa"/>
              <w:left w:w="160" w:type="dxa"/>
              <w:right w:w="160" w:type="dxa"/>
            </w:tcMar>
          </w:tcPr>
          <w:p>
            <w:r>
              <w:rPr>
                <w:rFonts w:ascii="Calibri" w:hAnsi="Calibri"/>
                <w:color w:val="333333"/>
                <w:sz w:val="18"/>
              </w:rPr>
              <w:t>Monday.com</w:t>
            </w:r>
          </w:p>
        </w:tc>
        <w:tc>
          <w:tcPr>
            <w:tcW w:type="dxa" w:w="1560"/>
            <w:shd w:fill="FFFFFF"/>
            <w:tcMar>
              <w:top w:w="100" w:type="dxa"/>
              <w:bottom w:w="100" w:type="dxa"/>
              <w:left w:w="160" w:type="dxa"/>
              <w:right w:w="160" w:type="dxa"/>
            </w:tcMar>
          </w:tcPr>
          <w:p>
            <w:r>
              <w:rPr>
                <w:rFonts w:ascii="Calibri" w:hAnsi="Calibri"/>
                <w:color w:val="333333"/>
                <w:sz w:val="18"/>
              </w:rPr>
              <w:t>Customizable Boards</w:t>
            </w:r>
          </w:p>
        </w:tc>
        <w:tc>
          <w:tcPr>
            <w:tcW w:type="dxa" w:w="1560"/>
            <w:shd w:fill="FFFFFF"/>
            <w:tcMar>
              <w:top w:w="100" w:type="dxa"/>
              <w:bottom w:w="100" w:type="dxa"/>
              <w:left w:w="160" w:type="dxa"/>
              <w:right w:w="160" w:type="dxa"/>
            </w:tcMar>
          </w:tcPr>
          <w:p>
            <w:r>
              <w:rPr>
                <w:rFonts w:ascii="Calibri" w:hAnsi="Calibri"/>
                <w:color w:val="333333"/>
                <w:sz w:val="18"/>
              </w:rPr>
              <w:t>Account Multi-Tenant</w:t>
            </w:r>
          </w:p>
        </w:tc>
        <w:tc>
          <w:tcPr>
            <w:tcW w:type="dxa" w:w="1560"/>
            <w:shd w:fill="FFFFFF"/>
            <w:tcMar>
              <w:top w:w="100" w:type="dxa"/>
              <w:bottom w:w="100" w:type="dxa"/>
              <w:left w:w="160" w:type="dxa"/>
              <w:right w:w="160" w:type="dxa"/>
            </w:tcMar>
          </w:tcPr>
          <w:p>
            <w:r>
              <w:rPr>
                <w:rFonts w:ascii="Calibri" w:hAnsi="Calibri"/>
                <w:color w:val="333333"/>
                <w:sz w:val="18"/>
              </w:rPr>
              <w:t>None</w:t>
            </w:r>
          </w:p>
        </w:tc>
        <w:tc>
          <w:tcPr>
            <w:tcW w:type="dxa" w:w="1560"/>
            <w:shd w:fill="FFFFFF"/>
            <w:tcMar>
              <w:top w:w="100" w:type="dxa"/>
              <w:bottom w:w="100" w:type="dxa"/>
              <w:left w:w="160" w:type="dxa"/>
              <w:right w:w="160" w:type="dxa"/>
            </w:tcMar>
          </w:tcPr>
          <w:p>
            <w:r>
              <w:rPr>
                <w:rFonts w:ascii="Calibri" w:hAnsi="Calibri"/>
                <w:color w:val="333333"/>
                <w:sz w:val="18"/>
              </w:rPr>
              <w:t>None</w:t>
            </w:r>
          </w:p>
        </w:tc>
        <w:tc>
          <w:tcPr>
            <w:tcW w:type="dxa" w:w="1560"/>
            <w:shd w:fill="FFFFFF"/>
            <w:tcMar>
              <w:top w:w="100" w:type="dxa"/>
              <w:bottom w:w="100" w:type="dxa"/>
              <w:left w:w="160" w:type="dxa"/>
              <w:right w:w="160" w:type="dxa"/>
            </w:tcMar>
          </w:tcPr>
          <w:p>
            <w:r>
              <w:rPr>
                <w:rFonts w:ascii="Calibri" w:hAnsi="Calibri"/>
                <w:color w:val="333333"/>
                <w:sz w:val="18"/>
              </w:rPr>
              <w:t>Status Automation</w:t>
            </w:r>
          </w:p>
        </w:tc>
      </w:tr>
      <w:tr>
        <w:tc>
          <w:tcPr>
            <w:tcW w:type="dxa" w:w="1560"/>
            <w:shd w:fill="F4F6F9"/>
            <w:tcMar>
              <w:top w:w="100" w:type="dxa"/>
              <w:bottom w:w="100" w:type="dxa"/>
              <w:left w:w="160" w:type="dxa"/>
              <w:right w:w="160" w:type="dxa"/>
            </w:tcMar>
          </w:tcPr>
          <w:p>
            <w:r>
              <w:rPr>
                <w:rFonts w:ascii="Calibri" w:hAnsi="Calibri"/>
                <w:color w:val="333333"/>
                <w:sz w:val="18"/>
              </w:rPr>
              <w:t>Proposed PSA Platform</w:t>
            </w:r>
          </w:p>
        </w:tc>
        <w:tc>
          <w:tcPr>
            <w:tcW w:type="dxa" w:w="1560"/>
            <w:shd w:fill="F4F6F9"/>
            <w:tcMar>
              <w:top w:w="100" w:type="dxa"/>
              <w:bottom w:w="100" w:type="dxa"/>
              <w:left w:w="160" w:type="dxa"/>
              <w:right w:w="160" w:type="dxa"/>
            </w:tcMar>
          </w:tcPr>
          <w:p>
            <w:r>
              <w:rPr>
                <w:rFonts w:ascii="Calibri" w:hAnsi="Calibri"/>
                <w:color w:val="333333"/>
                <w:sz w:val="18"/>
              </w:rPr>
              <w:t>Kanban &amp; Backlog Sprints</w:t>
            </w:r>
          </w:p>
        </w:tc>
        <w:tc>
          <w:tcPr>
            <w:tcW w:type="dxa" w:w="1560"/>
            <w:shd w:fill="F4F6F9"/>
            <w:tcMar>
              <w:top w:w="100" w:type="dxa"/>
              <w:bottom w:w="100" w:type="dxa"/>
              <w:left w:w="160" w:type="dxa"/>
              <w:right w:w="160" w:type="dxa"/>
            </w:tcMar>
          </w:tcPr>
          <w:p>
            <w:r>
              <w:rPr>
                <w:rFonts w:ascii="Calibri" w:hAnsi="Calibri"/>
                <w:color w:val="333333"/>
                <w:sz w:val="18"/>
              </w:rPr>
              <w:t>Zero-Trust JWT Scoped</w:t>
            </w:r>
          </w:p>
        </w:tc>
        <w:tc>
          <w:tcPr>
            <w:tcW w:type="dxa" w:w="1560"/>
            <w:shd w:fill="F4F6F9"/>
            <w:tcMar>
              <w:top w:w="100" w:type="dxa"/>
              <w:bottom w:w="100" w:type="dxa"/>
              <w:left w:w="160" w:type="dxa"/>
              <w:right w:w="160" w:type="dxa"/>
            </w:tcMar>
          </w:tcPr>
          <w:p>
            <w:r>
              <w:rPr>
                <w:rFonts w:ascii="Calibri" w:hAnsi="Calibri"/>
                <w:color w:val="333333"/>
                <w:sz w:val="18"/>
              </w:rPr>
              <w:t>RandomForest (China N=499)</w:t>
            </w:r>
          </w:p>
        </w:tc>
        <w:tc>
          <w:tcPr>
            <w:tcW w:type="dxa" w:w="1560"/>
            <w:shd w:fill="F4F6F9"/>
            <w:tcMar>
              <w:top w:w="100" w:type="dxa"/>
              <w:bottom w:w="100" w:type="dxa"/>
              <w:left w:w="160" w:type="dxa"/>
              <w:right w:w="160" w:type="dxa"/>
            </w:tcMar>
          </w:tcPr>
          <w:p>
            <w:r>
              <w:rPr>
                <w:rFonts w:ascii="Calibri" w:hAnsi="Calibri"/>
                <w:color w:val="333333"/>
                <w:sz w:val="18"/>
              </w:rPr>
              <w:t>Vectorized 10k Engine</w:t>
            </w:r>
          </w:p>
        </w:tc>
        <w:tc>
          <w:tcPr>
            <w:tcW w:type="dxa" w:w="1560"/>
            <w:shd w:fill="F4F6F9"/>
            <w:tcMar>
              <w:top w:w="100" w:type="dxa"/>
              <w:bottom w:w="100" w:type="dxa"/>
              <w:left w:w="160" w:type="dxa"/>
              <w:right w:w="160" w:type="dxa"/>
            </w:tcMar>
          </w:tcPr>
          <w:p>
            <w:r>
              <w:rPr>
                <w:rFonts w:ascii="Calibri" w:hAnsi="Calibri"/>
                <w:color w:val="333333"/>
                <w:sz w:val="18"/>
              </w:rPr>
              <w:t>Enforced RBAC Gate</w:t>
            </w:r>
          </w:p>
        </w:tc>
      </w:tr>
    </w:tbl>
    <w:p>
      <w:pPr>
        <w:pStyle w:val="Heading2"/>
        <w:keepNext/>
        <w:spacing w:before="280" w:after="120"/>
      </w:pPr>
      <w:r>
        <w:rPr>
          <w:rFonts w:ascii="Calibri" w:hAnsi="Calibri"/>
          <w:b/>
          <w:color w:val="2C5E8A"/>
          <w:sz w:val="27"/>
        </w:rPr>
        <w:t>2.5 Gap Analysis &amp; Proposed Contribution</w:t>
      </w:r>
    </w:p>
    <w:p>
      <w:pPr>
        <w:spacing w:after="120" w:line="276" w:lineRule="auto"/>
      </w:pPr>
      <w:r>
        <w:rPr>
          <w:rFonts w:ascii="Calibri" w:hAnsi="Calibri"/>
          <w:color w:val="374151"/>
          <w:sz w:val="21"/>
        </w:rPr>
        <w:t>The comparative analysis reveals a glaring academic and practical gap: commercial tools treat project planning as a static manual recording exercise, while academic machine learning papers evaluate models on static CSV datasets in isolation without building production-grade web applications. Furthermore, neither commercial SaaS nor academic scripts integrate rigorous Software Quality Assurance review gatekeeping with defense-in-depth zero-trust multi-tenancy. This research fills this gap by delivering a unified, production-grade cloud SaaS platform integrating all three domains.</w:t>
      </w:r>
    </w:p>
    <w:p>
      <w:r>
        <w:br w:type="page"/>
      </w:r>
    </w:p>
    <w:p>
      <w:pPr>
        <w:pStyle w:val="Heading1"/>
        <w:keepNext/>
        <w:spacing w:before="360" w:after="160"/>
      </w:pPr>
      <w:r>
        <w:rPr>
          <w:rFonts w:ascii="Calibri" w:hAnsi="Calibri"/>
          <w:b/>
          <w:color w:val="1B365D"/>
          <w:sz w:val="36"/>
        </w:rPr>
        <w:t>Chapter Three — Project Management &amp; Methodology</w:t>
      </w:r>
    </w:p>
    <w:p>
      <w:pPr>
        <w:pStyle w:val="Heading2"/>
        <w:keepNext/>
        <w:spacing w:before="280" w:after="120"/>
      </w:pPr>
      <w:r>
        <w:rPr>
          <w:rFonts w:ascii="Calibri" w:hAnsi="Calibri"/>
          <w:b/>
          <w:color w:val="2C5E8A"/>
          <w:sz w:val="27"/>
        </w:rPr>
        <w:t>3.1 Project Charter &amp; Governance</w:t>
      </w:r>
    </w:p>
    <w:p>
      <w:pPr>
        <w:spacing w:after="120" w:line="276" w:lineRule="auto"/>
      </w:pPr>
      <w:r>
        <w:rPr>
          <w:rFonts w:ascii="Calibri" w:hAnsi="Calibri"/>
          <w:color w:val="374151"/>
          <w:sz w:val="21"/>
        </w:rPr>
        <w:t>A formal Project Charter was authored to authorize the project, define executive scope boundaries, establish quantitative success criteria, and appoint governance roles. The charter established that the system must achieve: (1) Machine learning schedule prediction accuracy &gt;= 80%, (2) Zero cross-tenant data leakage under automated penetration testing, (3) Sub-500ms API response latency, and (4) 100% automated test coverage across core security invariants.</w:t>
      </w:r>
    </w:p>
    <w:p>
      <w:pPr>
        <w:pStyle w:val="Heading2"/>
        <w:keepNext/>
        <w:spacing w:before="280" w:after="120"/>
      </w:pPr>
      <w:r>
        <w:rPr>
          <w:rFonts w:ascii="Calibri" w:hAnsi="Calibri"/>
          <w:b/>
          <w:color w:val="2C5E8A"/>
          <w:sz w:val="27"/>
        </w:rPr>
        <w:t>3.2 Stakeholder Identification &amp; RACI Governance</w:t>
      </w:r>
    </w:p>
    <w:p>
      <w:pPr>
        <w:spacing w:after="120" w:line="276" w:lineRule="auto"/>
      </w:pPr>
      <w:r>
        <w:rPr>
          <w:rFonts w:ascii="Calibri" w:hAnsi="Calibri"/>
          <w:color w:val="374151"/>
          <w:sz w:val="21"/>
        </w:rPr>
        <w:t>Project governance follows a RACI Matrix (Responsible, Accountable, Consulted, Informed) mapping project responsibilities across key academic and engineering roles: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1B365D"/>
            <w:tcMar>
              <w:top w:w="140" w:type="dxa"/>
              <w:bottom w:w="140" w:type="dxa"/>
              <w:left w:w="160" w:type="dxa"/>
              <w:right w:w="160" w:type="dxa"/>
            </w:tcMar>
          </w:tcPr>
          <w:p>
            <w:pPr>
              <w:jc w:val="left"/>
            </w:pPr>
            <w:r>
              <w:rPr>
                <w:rFonts w:ascii="Calibri" w:hAnsi="Calibri"/>
                <w:b/>
                <w:color w:val="FFFFFF"/>
                <w:sz w:val="19"/>
              </w:rPr>
              <w:t>Deliverable / Work Package</w:t>
            </w:r>
          </w:p>
        </w:tc>
        <w:tc>
          <w:tcPr>
            <w:tcW w:type="dxa" w:w="1872"/>
            <w:shd w:fill="1B365D"/>
            <w:tcMar>
              <w:top w:w="140" w:type="dxa"/>
              <w:bottom w:w="140" w:type="dxa"/>
              <w:left w:w="160" w:type="dxa"/>
              <w:right w:w="160" w:type="dxa"/>
            </w:tcMar>
          </w:tcPr>
          <w:p>
            <w:pPr>
              <w:jc w:val="left"/>
            </w:pPr>
            <w:r>
              <w:rPr>
                <w:rFonts w:ascii="Calibri" w:hAnsi="Calibri"/>
                <w:b/>
                <w:color w:val="FFFFFF"/>
                <w:sz w:val="19"/>
              </w:rPr>
              <w:t>Lead Architect</w:t>
            </w:r>
          </w:p>
        </w:tc>
        <w:tc>
          <w:tcPr>
            <w:tcW w:type="dxa" w:w="1872"/>
            <w:shd w:fill="1B365D"/>
            <w:tcMar>
              <w:top w:w="140" w:type="dxa"/>
              <w:bottom w:w="140" w:type="dxa"/>
              <w:left w:w="160" w:type="dxa"/>
              <w:right w:w="160" w:type="dxa"/>
            </w:tcMar>
          </w:tcPr>
          <w:p>
            <w:pPr>
              <w:jc w:val="left"/>
            </w:pPr>
            <w:r>
              <w:rPr>
                <w:rFonts w:ascii="Calibri" w:hAnsi="Calibri"/>
                <w:b/>
                <w:color w:val="FFFFFF"/>
                <w:sz w:val="19"/>
              </w:rPr>
              <w:t>ML Engineer</w:t>
            </w:r>
          </w:p>
        </w:tc>
        <w:tc>
          <w:tcPr>
            <w:tcW w:type="dxa" w:w="1872"/>
            <w:shd w:fill="1B365D"/>
            <w:tcMar>
              <w:top w:w="140" w:type="dxa"/>
              <w:bottom w:w="140" w:type="dxa"/>
              <w:left w:w="160" w:type="dxa"/>
              <w:right w:w="160" w:type="dxa"/>
            </w:tcMar>
          </w:tcPr>
          <w:p>
            <w:pPr>
              <w:jc w:val="left"/>
            </w:pPr>
            <w:r>
              <w:rPr>
                <w:rFonts w:ascii="Calibri" w:hAnsi="Calibri"/>
                <w:b/>
                <w:color w:val="FFFFFF"/>
                <w:sz w:val="19"/>
              </w:rPr>
              <w:t>SecOps Engineer</w:t>
            </w:r>
          </w:p>
        </w:tc>
        <w:tc>
          <w:tcPr>
            <w:tcW w:type="dxa" w:w="1872"/>
            <w:shd w:fill="1B365D"/>
            <w:tcMar>
              <w:top w:w="140" w:type="dxa"/>
              <w:bottom w:w="140" w:type="dxa"/>
              <w:left w:w="160" w:type="dxa"/>
              <w:right w:w="160" w:type="dxa"/>
            </w:tcMar>
          </w:tcPr>
          <w:p>
            <w:pPr>
              <w:jc w:val="left"/>
            </w:pPr>
            <w:r>
              <w:rPr>
                <w:rFonts w:ascii="Calibri" w:hAnsi="Calibri"/>
                <w:b/>
                <w:color w:val="FFFFFF"/>
                <w:sz w:val="19"/>
              </w:rPr>
              <w:t>Project Supervisors</w:t>
            </w:r>
          </w:p>
        </w:tc>
      </w:tr>
      <w:tr>
        <w:tc>
          <w:tcPr>
            <w:tcW w:type="dxa" w:w="1872"/>
            <w:shd w:fill="F4F6F9"/>
            <w:tcMar>
              <w:top w:w="100" w:type="dxa"/>
              <w:bottom w:w="100" w:type="dxa"/>
              <w:left w:w="160" w:type="dxa"/>
              <w:right w:w="160" w:type="dxa"/>
            </w:tcMar>
          </w:tcPr>
          <w:p>
            <w:r>
              <w:rPr>
                <w:rFonts w:ascii="Calibri" w:hAnsi="Calibri"/>
                <w:color w:val="333333"/>
                <w:sz w:val="18"/>
              </w:rPr>
              <w:t>WP 1.0 Project Charter &amp; SRS</w:t>
            </w:r>
          </w:p>
        </w:tc>
        <w:tc>
          <w:tcPr>
            <w:tcW w:type="dxa" w:w="1872"/>
            <w:shd w:fill="F4F6F9"/>
            <w:tcMar>
              <w:top w:w="100" w:type="dxa"/>
              <w:bottom w:w="100" w:type="dxa"/>
              <w:left w:w="160" w:type="dxa"/>
              <w:right w:w="160" w:type="dxa"/>
            </w:tcMar>
          </w:tcPr>
          <w:p>
            <w:r>
              <w:rPr>
                <w:rFonts w:ascii="Calibri" w:hAnsi="Calibri"/>
                <w:color w:val="333333"/>
                <w:sz w:val="18"/>
              </w:rPr>
              <w:t>Accountable</w:t>
            </w:r>
          </w:p>
        </w:tc>
        <w:tc>
          <w:tcPr>
            <w:tcW w:type="dxa" w:w="1872"/>
            <w:shd w:fill="F4F6F9"/>
            <w:tcMar>
              <w:top w:w="100" w:type="dxa"/>
              <w:bottom w:w="100" w:type="dxa"/>
              <w:left w:w="160" w:type="dxa"/>
              <w:right w:w="160" w:type="dxa"/>
            </w:tcMar>
          </w:tcPr>
          <w:p>
            <w:r>
              <w:rPr>
                <w:rFonts w:ascii="Calibri" w:hAnsi="Calibri"/>
                <w:color w:val="333333"/>
                <w:sz w:val="18"/>
              </w:rPr>
              <w:t>Consulted</w:t>
            </w:r>
          </w:p>
        </w:tc>
        <w:tc>
          <w:tcPr>
            <w:tcW w:type="dxa" w:w="1872"/>
            <w:shd w:fill="F4F6F9"/>
            <w:tcMar>
              <w:top w:w="100" w:type="dxa"/>
              <w:bottom w:w="100" w:type="dxa"/>
              <w:left w:w="160" w:type="dxa"/>
              <w:right w:w="160" w:type="dxa"/>
            </w:tcMar>
          </w:tcPr>
          <w:p>
            <w:r>
              <w:rPr>
                <w:rFonts w:ascii="Calibri" w:hAnsi="Calibri"/>
                <w:color w:val="333333"/>
                <w:sz w:val="18"/>
              </w:rPr>
              <w:t>Consulted</w:t>
            </w:r>
          </w:p>
        </w:tc>
        <w:tc>
          <w:tcPr>
            <w:tcW w:type="dxa" w:w="1872"/>
            <w:shd w:fill="F4F6F9"/>
            <w:tcMar>
              <w:top w:w="100" w:type="dxa"/>
              <w:bottom w:w="100" w:type="dxa"/>
              <w:left w:w="160" w:type="dxa"/>
              <w:right w:w="160" w:type="dxa"/>
            </w:tcMar>
          </w:tcPr>
          <w:p>
            <w:r>
              <w:rPr>
                <w:rFonts w:ascii="Calibri" w:hAnsi="Calibri"/>
                <w:color w:val="333333"/>
                <w:sz w:val="18"/>
              </w:rPr>
              <w:t>Informed / Approval</w:t>
            </w:r>
          </w:p>
        </w:tc>
      </w:tr>
      <w:tr>
        <w:tc>
          <w:tcPr>
            <w:tcW w:type="dxa" w:w="1872"/>
            <w:shd w:fill="FFFFFF"/>
            <w:tcMar>
              <w:top w:w="100" w:type="dxa"/>
              <w:bottom w:w="100" w:type="dxa"/>
              <w:left w:w="160" w:type="dxa"/>
              <w:right w:w="160" w:type="dxa"/>
            </w:tcMar>
          </w:tcPr>
          <w:p>
            <w:r>
              <w:rPr>
                <w:rFonts w:ascii="Calibri" w:hAnsi="Calibri"/>
                <w:color w:val="333333"/>
                <w:sz w:val="18"/>
              </w:rPr>
              <w:t>WP 2.0 ML Dataset &amp; Modeling</w:t>
            </w:r>
          </w:p>
        </w:tc>
        <w:tc>
          <w:tcPr>
            <w:tcW w:type="dxa" w:w="1872"/>
            <w:shd w:fill="FFFFFF"/>
            <w:tcMar>
              <w:top w:w="100" w:type="dxa"/>
              <w:bottom w:w="100" w:type="dxa"/>
              <w:left w:w="160" w:type="dxa"/>
              <w:right w:w="160" w:type="dxa"/>
            </w:tcMar>
          </w:tcPr>
          <w:p>
            <w:r>
              <w:rPr>
                <w:rFonts w:ascii="Calibri" w:hAnsi="Calibri"/>
                <w:color w:val="333333"/>
                <w:sz w:val="18"/>
              </w:rPr>
              <w:t>Consulted</w:t>
            </w:r>
          </w:p>
        </w:tc>
        <w:tc>
          <w:tcPr>
            <w:tcW w:type="dxa" w:w="1872"/>
            <w:shd w:fill="FFFFFF"/>
            <w:tcMar>
              <w:top w:w="100" w:type="dxa"/>
              <w:bottom w:w="100" w:type="dxa"/>
              <w:left w:w="160" w:type="dxa"/>
              <w:right w:w="160" w:type="dxa"/>
            </w:tcMar>
          </w:tcPr>
          <w:p>
            <w:r>
              <w:rPr>
                <w:rFonts w:ascii="Calibri" w:hAnsi="Calibri"/>
                <w:color w:val="333333"/>
                <w:sz w:val="18"/>
              </w:rPr>
              <w:t>Responsible</w:t>
            </w:r>
          </w:p>
        </w:tc>
        <w:tc>
          <w:tcPr>
            <w:tcW w:type="dxa" w:w="1872"/>
            <w:shd w:fill="FFFFFF"/>
            <w:tcMar>
              <w:top w:w="100" w:type="dxa"/>
              <w:bottom w:w="100" w:type="dxa"/>
              <w:left w:w="160" w:type="dxa"/>
              <w:right w:w="160" w:type="dxa"/>
            </w:tcMar>
          </w:tcPr>
          <w:p>
            <w:r>
              <w:rPr>
                <w:rFonts w:ascii="Calibri" w:hAnsi="Calibri"/>
                <w:color w:val="333333"/>
                <w:sz w:val="18"/>
              </w:rPr>
              <w:t>Informed</w:t>
            </w:r>
          </w:p>
        </w:tc>
        <w:tc>
          <w:tcPr>
            <w:tcW w:type="dxa" w:w="1872"/>
            <w:shd w:fill="FFFFFF"/>
            <w:tcMar>
              <w:top w:w="100" w:type="dxa"/>
              <w:bottom w:w="100" w:type="dxa"/>
              <w:left w:w="160" w:type="dxa"/>
              <w:right w:w="160" w:type="dxa"/>
            </w:tcMar>
          </w:tcPr>
          <w:p>
            <w:r>
              <w:rPr>
                <w:rFonts w:ascii="Calibri" w:hAnsi="Calibri"/>
                <w:color w:val="333333"/>
                <w:sz w:val="18"/>
              </w:rPr>
              <w:t>Informed</w:t>
            </w:r>
          </w:p>
        </w:tc>
      </w:tr>
      <w:tr>
        <w:tc>
          <w:tcPr>
            <w:tcW w:type="dxa" w:w="1872"/>
            <w:shd w:fill="F4F6F9"/>
            <w:tcMar>
              <w:top w:w="100" w:type="dxa"/>
              <w:bottom w:w="100" w:type="dxa"/>
              <w:left w:w="160" w:type="dxa"/>
              <w:right w:w="160" w:type="dxa"/>
            </w:tcMar>
          </w:tcPr>
          <w:p>
            <w:r>
              <w:rPr>
                <w:rFonts w:ascii="Calibri" w:hAnsi="Calibri"/>
                <w:color w:val="333333"/>
                <w:sz w:val="18"/>
              </w:rPr>
              <w:t>WP 3.0 Backend REST API &amp; DB</w:t>
            </w:r>
          </w:p>
        </w:tc>
        <w:tc>
          <w:tcPr>
            <w:tcW w:type="dxa" w:w="1872"/>
            <w:shd w:fill="F4F6F9"/>
            <w:tcMar>
              <w:top w:w="100" w:type="dxa"/>
              <w:bottom w:w="100" w:type="dxa"/>
              <w:left w:w="160" w:type="dxa"/>
              <w:right w:w="160" w:type="dxa"/>
            </w:tcMar>
          </w:tcPr>
          <w:p>
            <w:r>
              <w:rPr>
                <w:rFonts w:ascii="Calibri" w:hAnsi="Calibri"/>
                <w:color w:val="333333"/>
                <w:sz w:val="18"/>
              </w:rPr>
              <w:t>Responsible</w:t>
            </w:r>
          </w:p>
        </w:tc>
        <w:tc>
          <w:tcPr>
            <w:tcW w:type="dxa" w:w="1872"/>
            <w:shd w:fill="F4F6F9"/>
            <w:tcMar>
              <w:top w:w="100" w:type="dxa"/>
              <w:bottom w:w="100" w:type="dxa"/>
              <w:left w:w="160" w:type="dxa"/>
              <w:right w:w="160" w:type="dxa"/>
            </w:tcMar>
          </w:tcPr>
          <w:p>
            <w:r>
              <w:rPr>
                <w:rFonts w:ascii="Calibri" w:hAnsi="Calibri"/>
                <w:color w:val="333333"/>
                <w:sz w:val="18"/>
              </w:rPr>
              <w:t>Consulted</w:t>
            </w:r>
          </w:p>
        </w:tc>
        <w:tc>
          <w:tcPr>
            <w:tcW w:type="dxa" w:w="1872"/>
            <w:shd w:fill="F4F6F9"/>
            <w:tcMar>
              <w:top w:w="100" w:type="dxa"/>
              <w:bottom w:w="100" w:type="dxa"/>
              <w:left w:w="160" w:type="dxa"/>
              <w:right w:w="160" w:type="dxa"/>
            </w:tcMar>
          </w:tcPr>
          <w:p>
            <w:r>
              <w:rPr>
                <w:rFonts w:ascii="Calibri" w:hAnsi="Calibri"/>
                <w:color w:val="333333"/>
                <w:sz w:val="18"/>
              </w:rPr>
              <w:t>Accountable</w:t>
            </w:r>
          </w:p>
        </w:tc>
        <w:tc>
          <w:tcPr>
            <w:tcW w:type="dxa" w:w="1872"/>
            <w:shd w:fill="F4F6F9"/>
            <w:tcMar>
              <w:top w:w="100" w:type="dxa"/>
              <w:bottom w:w="100" w:type="dxa"/>
              <w:left w:w="160" w:type="dxa"/>
              <w:right w:w="160" w:type="dxa"/>
            </w:tcMar>
          </w:tcPr>
          <w:p>
            <w:r>
              <w:rPr>
                <w:rFonts w:ascii="Calibri" w:hAnsi="Calibri"/>
                <w:color w:val="333333"/>
                <w:sz w:val="18"/>
              </w:rPr>
              <w:t>Informed</w:t>
            </w:r>
          </w:p>
        </w:tc>
      </w:tr>
      <w:tr>
        <w:tc>
          <w:tcPr>
            <w:tcW w:type="dxa" w:w="1872"/>
            <w:shd w:fill="FFFFFF"/>
            <w:tcMar>
              <w:top w:w="100" w:type="dxa"/>
              <w:bottom w:w="100" w:type="dxa"/>
              <w:left w:w="160" w:type="dxa"/>
              <w:right w:w="160" w:type="dxa"/>
            </w:tcMar>
          </w:tcPr>
          <w:p>
            <w:r>
              <w:rPr>
                <w:rFonts w:ascii="Calibri" w:hAnsi="Calibri"/>
                <w:color w:val="333333"/>
                <w:sz w:val="18"/>
              </w:rPr>
              <w:t>WP 4.0 Next.js Client Interface</w:t>
            </w:r>
          </w:p>
        </w:tc>
        <w:tc>
          <w:tcPr>
            <w:tcW w:type="dxa" w:w="1872"/>
            <w:shd w:fill="FFFFFF"/>
            <w:tcMar>
              <w:top w:w="100" w:type="dxa"/>
              <w:bottom w:w="100" w:type="dxa"/>
              <w:left w:w="160" w:type="dxa"/>
              <w:right w:w="160" w:type="dxa"/>
            </w:tcMar>
          </w:tcPr>
          <w:p>
            <w:r>
              <w:rPr>
                <w:rFonts w:ascii="Calibri" w:hAnsi="Calibri"/>
                <w:color w:val="333333"/>
                <w:sz w:val="18"/>
              </w:rPr>
              <w:t>Responsible</w:t>
            </w:r>
          </w:p>
        </w:tc>
        <w:tc>
          <w:tcPr>
            <w:tcW w:type="dxa" w:w="1872"/>
            <w:shd w:fill="FFFFFF"/>
            <w:tcMar>
              <w:top w:w="100" w:type="dxa"/>
              <w:bottom w:w="100" w:type="dxa"/>
              <w:left w:w="160" w:type="dxa"/>
              <w:right w:w="160" w:type="dxa"/>
            </w:tcMar>
          </w:tcPr>
          <w:p>
            <w:r>
              <w:rPr>
                <w:rFonts w:ascii="Calibri" w:hAnsi="Calibri"/>
                <w:color w:val="333333"/>
                <w:sz w:val="18"/>
              </w:rPr>
              <w:t>Informed</w:t>
            </w:r>
          </w:p>
        </w:tc>
        <w:tc>
          <w:tcPr>
            <w:tcW w:type="dxa" w:w="1872"/>
            <w:shd w:fill="FFFFFF"/>
            <w:tcMar>
              <w:top w:w="100" w:type="dxa"/>
              <w:bottom w:w="100" w:type="dxa"/>
              <w:left w:w="160" w:type="dxa"/>
              <w:right w:w="160" w:type="dxa"/>
            </w:tcMar>
          </w:tcPr>
          <w:p>
            <w:r>
              <w:rPr>
                <w:rFonts w:ascii="Calibri" w:hAnsi="Calibri"/>
                <w:color w:val="333333"/>
                <w:sz w:val="18"/>
              </w:rPr>
              <w:t>Consulted</w:t>
            </w:r>
          </w:p>
        </w:tc>
        <w:tc>
          <w:tcPr>
            <w:tcW w:type="dxa" w:w="1872"/>
            <w:shd w:fill="FFFFFF"/>
            <w:tcMar>
              <w:top w:w="100" w:type="dxa"/>
              <w:bottom w:w="100" w:type="dxa"/>
              <w:left w:w="160" w:type="dxa"/>
              <w:right w:w="160" w:type="dxa"/>
            </w:tcMar>
          </w:tcPr>
          <w:p>
            <w:r>
              <w:rPr>
                <w:rFonts w:ascii="Calibri" w:hAnsi="Calibri"/>
                <w:color w:val="333333"/>
                <w:sz w:val="18"/>
              </w:rPr>
              <w:t>Informed</w:t>
            </w:r>
          </w:p>
        </w:tc>
      </w:tr>
      <w:tr>
        <w:tc>
          <w:tcPr>
            <w:tcW w:type="dxa" w:w="1872"/>
            <w:shd w:fill="F4F6F9"/>
            <w:tcMar>
              <w:top w:w="100" w:type="dxa"/>
              <w:bottom w:w="100" w:type="dxa"/>
              <w:left w:w="160" w:type="dxa"/>
              <w:right w:w="160" w:type="dxa"/>
            </w:tcMar>
          </w:tcPr>
          <w:p>
            <w:r>
              <w:rPr>
                <w:rFonts w:ascii="Calibri" w:hAnsi="Calibri"/>
                <w:color w:val="333333"/>
                <w:sz w:val="18"/>
              </w:rPr>
              <w:t>WP 5.0 Security &amp; Quality Audit</w:t>
            </w:r>
          </w:p>
        </w:tc>
        <w:tc>
          <w:tcPr>
            <w:tcW w:type="dxa" w:w="1872"/>
            <w:shd w:fill="F4F6F9"/>
            <w:tcMar>
              <w:top w:w="100" w:type="dxa"/>
              <w:bottom w:w="100" w:type="dxa"/>
              <w:left w:w="160" w:type="dxa"/>
              <w:right w:w="160" w:type="dxa"/>
            </w:tcMar>
          </w:tcPr>
          <w:p>
            <w:r>
              <w:rPr>
                <w:rFonts w:ascii="Calibri" w:hAnsi="Calibri"/>
                <w:color w:val="333333"/>
                <w:sz w:val="18"/>
              </w:rPr>
              <w:t>Consulted</w:t>
            </w:r>
          </w:p>
        </w:tc>
        <w:tc>
          <w:tcPr>
            <w:tcW w:type="dxa" w:w="1872"/>
            <w:shd w:fill="F4F6F9"/>
            <w:tcMar>
              <w:top w:w="100" w:type="dxa"/>
              <w:bottom w:w="100" w:type="dxa"/>
              <w:left w:w="160" w:type="dxa"/>
              <w:right w:w="160" w:type="dxa"/>
            </w:tcMar>
          </w:tcPr>
          <w:p>
            <w:r>
              <w:rPr>
                <w:rFonts w:ascii="Calibri" w:hAnsi="Calibri"/>
                <w:color w:val="333333"/>
                <w:sz w:val="18"/>
              </w:rPr>
              <w:t>Informed</w:t>
            </w:r>
          </w:p>
        </w:tc>
        <w:tc>
          <w:tcPr>
            <w:tcW w:type="dxa" w:w="1872"/>
            <w:shd w:fill="F4F6F9"/>
            <w:tcMar>
              <w:top w:w="100" w:type="dxa"/>
              <w:bottom w:w="100" w:type="dxa"/>
              <w:left w:w="160" w:type="dxa"/>
              <w:right w:w="160" w:type="dxa"/>
            </w:tcMar>
          </w:tcPr>
          <w:p>
            <w:r>
              <w:rPr>
                <w:rFonts w:ascii="Calibri" w:hAnsi="Calibri"/>
                <w:color w:val="333333"/>
                <w:sz w:val="18"/>
              </w:rPr>
              <w:t>Responsible</w:t>
            </w:r>
          </w:p>
        </w:tc>
        <w:tc>
          <w:tcPr>
            <w:tcW w:type="dxa" w:w="1872"/>
            <w:shd w:fill="F4F6F9"/>
            <w:tcMar>
              <w:top w:w="100" w:type="dxa"/>
              <w:bottom w:w="100" w:type="dxa"/>
              <w:left w:w="160" w:type="dxa"/>
              <w:right w:w="160" w:type="dxa"/>
            </w:tcMar>
          </w:tcPr>
          <w:p>
            <w:r>
              <w:rPr>
                <w:rFonts w:ascii="Calibri" w:hAnsi="Calibri"/>
                <w:color w:val="333333"/>
                <w:sz w:val="18"/>
              </w:rPr>
              <w:t>Accountable</w:t>
            </w:r>
          </w:p>
        </w:tc>
      </w:tr>
      <w:tr>
        <w:tc>
          <w:tcPr>
            <w:tcW w:type="dxa" w:w="1872"/>
            <w:shd w:fill="FFFFFF"/>
            <w:tcMar>
              <w:top w:w="100" w:type="dxa"/>
              <w:bottom w:w="100" w:type="dxa"/>
              <w:left w:w="160" w:type="dxa"/>
              <w:right w:w="160" w:type="dxa"/>
            </w:tcMar>
          </w:tcPr>
          <w:p>
            <w:r>
              <w:rPr>
                <w:rFonts w:ascii="Calibri" w:hAnsi="Calibri"/>
                <w:color w:val="333333"/>
                <w:sz w:val="18"/>
              </w:rPr>
              <w:t>WP 6.0 Final Defense &amp; Documentation</w:t>
            </w:r>
          </w:p>
        </w:tc>
        <w:tc>
          <w:tcPr>
            <w:tcW w:type="dxa" w:w="1872"/>
            <w:shd w:fill="FFFFFF"/>
            <w:tcMar>
              <w:top w:w="100" w:type="dxa"/>
              <w:bottom w:w="100" w:type="dxa"/>
              <w:left w:w="160" w:type="dxa"/>
              <w:right w:w="160" w:type="dxa"/>
            </w:tcMar>
          </w:tcPr>
          <w:p>
            <w:r>
              <w:rPr>
                <w:rFonts w:ascii="Calibri" w:hAnsi="Calibri"/>
                <w:color w:val="333333"/>
                <w:sz w:val="18"/>
              </w:rPr>
              <w:t>Responsible</w:t>
            </w:r>
          </w:p>
        </w:tc>
        <w:tc>
          <w:tcPr>
            <w:tcW w:type="dxa" w:w="1872"/>
            <w:shd w:fill="FFFFFF"/>
            <w:tcMar>
              <w:top w:w="100" w:type="dxa"/>
              <w:bottom w:w="100" w:type="dxa"/>
              <w:left w:w="160" w:type="dxa"/>
              <w:right w:w="160" w:type="dxa"/>
            </w:tcMar>
          </w:tcPr>
          <w:p>
            <w:r>
              <w:rPr>
                <w:rFonts w:ascii="Calibri" w:hAnsi="Calibri"/>
                <w:color w:val="333333"/>
                <w:sz w:val="18"/>
              </w:rPr>
              <w:t>Responsible</w:t>
            </w:r>
          </w:p>
        </w:tc>
        <w:tc>
          <w:tcPr>
            <w:tcW w:type="dxa" w:w="1872"/>
            <w:shd w:fill="FFFFFF"/>
            <w:tcMar>
              <w:top w:w="100" w:type="dxa"/>
              <w:bottom w:w="100" w:type="dxa"/>
              <w:left w:w="160" w:type="dxa"/>
              <w:right w:w="160" w:type="dxa"/>
            </w:tcMar>
          </w:tcPr>
          <w:p>
            <w:r>
              <w:rPr>
                <w:rFonts w:ascii="Calibri" w:hAnsi="Calibri"/>
                <w:color w:val="333333"/>
                <w:sz w:val="18"/>
              </w:rPr>
              <w:t>Responsible</w:t>
            </w:r>
          </w:p>
        </w:tc>
        <w:tc>
          <w:tcPr>
            <w:tcW w:type="dxa" w:w="1872"/>
            <w:shd w:fill="FFFFFF"/>
            <w:tcMar>
              <w:top w:w="100" w:type="dxa"/>
              <w:bottom w:w="100" w:type="dxa"/>
              <w:left w:w="160" w:type="dxa"/>
              <w:right w:w="160" w:type="dxa"/>
            </w:tcMar>
          </w:tcPr>
          <w:p>
            <w:r>
              <w:rPr>
                <w:rFonts w:ascii="Calibri" w:hAnsi="Calibri"/>
                <w:color w:val="333333"/>
                <w:sz w:val="18"/>
              </w:rPr>
              <w:t>Accountable</w:t>
            </w:r>
          </w:p>
        </w:tc>
      </w:tr>
    </w:tbl>
    <w:p>
      <w:pPr>
        <w:pStyle w:val="Heading2"/>
        <w:keepNext/>
        <w:spacing w:before="280" w:after="120"/>
      </w:pPr>
      <w:r>
        <w:rPr>
          <w:rFonts w:ascii="Calibri" w:hAnsi="Calibri"/>
          <w:b/>
          <w:color w:val="2C5E8A"/>
          <w:sz w:val="27"/>
        </w:rPr>
        <w:t>3.3 Requirements Engineering: Functional, Non-Functional &amp; Security</w:t>
      </w:r>
    </w:p>
    <w:p>
      <w:pPr>
        <w:spacing w:after="120" w:line="276" w:lineRule="auto"/>
      </w:pPr>
      <w:r>
        <w:rPr>
          <w:rFonts w:ascii="Calibri" w:hAnsi="Calibri"/>
          <w:color w:val="374151"/>
          <w:sz w:val="21"/>
        </w:rPr>
        <w:t>Requirements were engineered using strict IEEE 830-1998 standards, categorizing specifications into Functional (FR), Non-Functional (NFR), and Security Invariants (SEC):</w:t>
      </w:r>
    </w:p>
    <w:p>
      <w:pPr>
        <w:pStyle w:val="ListBullet"/>
        <w:spacing w:after="60" w:line="276" w:lineRule="auto"/>
      </w:pPr>
      <w:r>
        <w:rPr>
          <w:rFonts w:ascii="Calibri" w:hAnsi="Calibri"/>
          <w:b/>
          <w:color w:val="111827"/>
          <w:sz w:val="20"/>
        </w:rPr>
        <w:t xml:space="preserve">FR-AUTH-01 (Organization Registration): </w:t>
      </w:r>
      <w:r>
        <w:rPr>
          <w:rFonts w:ascii="Calibri" w:hAnsi="Calibri"/>
          <w:color w:val="374151"/>
          <w:sz w:val="20"/>
        </w:rPr>
        <w:t>The system shall permit self-service organization provisioning, creating an organization and assigning the creator as Admin.</w:t>
      </w:r>
    </w:p>
    <w:p>
      <w:pPr>
        <w:pStyle w:val="ListBullet"/>
        <w:spacing w:after="60" w:line="276" w:lineRule="auto"/>
      </w:pPr>
      <w:r>
        <w:rPr>
          <w:rFonts w:ascii="Calibri" w:hAnsi="Calibri"/>
          <w:b/>
          <w:color w:val="111827"/>
          <w:sz w:val="20"/>
        </w:rPr>
        <w:t xml:space="preserve">FR-AUTH-02 (Workspace Switching): </w:t>
      </w:r>
      <w:r>
        <w:rPr>
          <w:rFonts w:ascii="Calibri" w:hAnsi="Calibri"/>
          <w:color w:val="374151"/>
          <w:sz w:val="20"/>
        </w:rPr>
        <w:t>The system shall allow users belonging to multiple organizations to switch their active tenant workspace, re-issuing a scoped JWT.</w:t>
      </w:r>
    </w:p>
    <w:p>
      <w:pPr>
        <w:pStyle w:val="ListBullet"/>
        <w:spacing w:after="60" w:line="276" w:lineRule="auto"/>
      </w:pPr>
      <w:r>
        <w:rPr>
          <w:rFonts w:ascii="Calibri" w:hAnsi="Calibri"/>
          <w:b/>
          <w:color w:val="111827"/>
          <w:sz w:val="20"/>
        </w:rPr>
        <w:t xml:space="preserve">FR-TASK-01 (Task Effort Estimation): </w:t>
      </w:r>
      <w:r>
        <w:rPr>
          <w:rFonts w:ascii="Calibri" w:hAnsi="Calibri"/>
          <w:color w:val="374151"/>
          <w:sz w:val="20"/>
        </w:rPr>
        <w:t>The system shall dynamically estimate task effort in person-hours upon entry of story points and complexity.</w:t>
      </w:r>
    </w:p>
    <w:p>
      <w:pPr>
        <w:pStyle w:val="ListBullet"/>
        <w:spacing w:after="60" w:line="276" w:lineRule="auto"/>
      </w:pPr>
      <w:r>
        <w:rPr>
          <w:rFonts w:ascii="Calibri" w:hAnsi="Calibri"/>
          <w:b/>
          <w:color w:val="111827"/>
          <w:sz w:val="20"/>
        </w:rPr>
        <w:t xml:space="preserve">FR-SCHED-01 (Schedule Prediction): </w:t>
      </w:r>
      <w:r>
        <w:rPr>
          <w:rFonts w:ascii="Calibri" w:hAnsi="Calibri"/>
          <w:color w:val="374151"/>
          <w:sz w:val="20"/>
        </w:rPr>
        <w:t>The system shall calculate project completion probability and schedule variance against manager-defined planned duration.</w:t>
      </w:r>
    </w:p>
    <w:p>
      <w:pPr>
        <w:pStyle w:val="ListBullet"/>
        <w:spacing w:after="60" w:line="276" w:lineRule="auto"/>
      </w:pPr>
      <w:r>
        <w:rPr>
          <w:rFonts w:ascii="Calibri" w:hAnsi="Calibri"/>
          <w:b/>
          <w:color w:val="111827"/>
          <w:sz w:val="20"/>
        </w:rPr>
        <w:t xml:space="preserve">FR-GATE-01 (Review Gatekeeping): </w:t>
      </w:r>
      <w:r>
        <w:rPr>
          <w:rFonts w:ascii="Calibri" w:hAnsi="Calibri"/>
          <w:color w:val="374151"/>
          <w:sz w:val="20"/>
        </w:rPr>
        <w:t>Engineers (Member role) shall be restricted to requesting review; only Managers and Admins shall transition tasks to Done.</w:t>
      </w:r>
    </w:p>
    <w:p>
      <w:pPr>
        <w:pStyle w:val="ListBullet"/>
        <w:spacing w:after="60" w:line="276" w:lineRule="auto"/>
      </w:pPr>
      <w:r>
        <w:rPr>
          <w:rFonts w:ascii="Calibri" w:hAnsi="Calibri"/>
          <w:b/>
          <w:color w:val="111827"/>
          <w:sz w:val="20"/>
        </w:rPr>
        <w:t xml:space="preserve">NFR-01 (Performance Latency): </w:t>
      </w:r>
      <w:r>
        <w:rPr>
          <w:rFonts w:ascii="Calibri" w:hAnsi="Calibri"/>
          <w:color w:val="374151"/>
          <w:sz w:val="20"/>
        </w:rPr>
        <w:t>REST API endpoints shall return responses within 500ms at 95th percentile under normal operational load.</w:t>
      </w:r>
    </w:p>
    <w:p>
      <w:pPr>
        <w:pStyle w:val="ListBullet"/>
        <w:spacing w:after="60" w:line="276" w:lineRule="auto"/>
      </w:pPr>
      <w:r>
        <w:rPr>
          <w:rFonts w:ascii="Calibri" w:hAnsi="Calibri"/>
          <w:b/>
          <w:color w:val="111827"/>
          <w:sz w:val="20"/>
        </w:rPr>
        <w:t xml:space="preserve">SEC-01 (Zero-Trust Isolation): </w:t>
      </w:r>
      <w:r>
        <w:rPr>
          <w:rFonts w:ascii="Calibri" w:hAnsi="Calibri"/>
          <w:color w:val="374151"/>
          <w:sz w:val="20"/>
        </w:rPr>
        <w:t>Tenant context must be derived exclusively from the verified JWT claims; all database queries must inject withTenantScope.</w:t>
      </w:r>
    </w:p>
    <w:p>
      <w:pPr>
        <w:pStyle w:val="ListBullet"/>
        <w:spacing w:after="60" w:line="276" w:lineRule="auto"/>
      </w:pPr>
      <w:r>
        <w:rPr>
          <w:rFonts w:ascii="Calibri" w:hAnsi="Calibri"/>
          <w:b/>
          <w:color w:val="111827"/>
          <w:sz w:val="20"/>
        </w:rPr>
        <w:t xml:space="preserve">SEC-02 (Immutable Audit Trail): </w:t>
      </w:r>
      <w:r>
        <w:rPr>
          <w:rFonts w:ascii="Calibri" w:hAnsi="Calibri"/>
          <w:color w:val="374151"/>
          <w:sz w:val="20"/>
        </w:rPr>
        <w:t>All user authentication, organization creation, and project modifications must be recorded in an append-only AuditLog.</w:t>
      </w:r>
    </w:p>
    <w:p>
      <w:pPr>
        <w:pStyle w:val="Heading2"/>
        <w:keepNext/>
        <w:spacing w:before="280" w:after="120"/>
      </w:pPr>
      <w:r>
        <w:rPr>
          <w:rFonts w:ascii="Calibri" w:hAnsi="Calibri"/>
          <w:b/>
          <w:color w:val="2C5E8A"/>
          <w:sz w:val="27"/>
        </w:rPr>
        <w:t>3.4 Scope Baseline &amp; Work Breakdown Structure (WBS)</w:t>
      </w:r>
    </w:p>
    <w:p>
      <w:pPr>
        <w:spacing w:after="120" w:line="276" w:lineRule="auto"/>
      </w:pPr>
      <w:r>
        <w:rPr>
          <w:rFonts w:ascii="Calibri" w:hAnsi="Calibri"/>
          <w:color w:val="374151"/>
          <w:sz w:val="21"/>
        </w:rPr>
        <w:t>The project scope was decomposed in strict accordance with the PMI 100% Rule into 6 major Work Packages and 18 work elements:</w:t>
      </w:r>
    </w:p>
    <w:p>
      <w:pPr>
        <w:pStyle w:val="ListBullet"/>
        <w:spacing w:after="60" w:line="276" w:lineRule="auto"/>
      </w:pPr>
      <w:r>
        <w:rPr>
          <w:rFonts w:ascii="Calibri" w:hAnsi="Calibri"/>
          <w:b/>
          <w:color w:val="111827"/>
          <w:sz w:val="20"/>
        </w:rPr>
        <w:t xml:space="preserve">WP 1.0 Project Management &amp; Governance: </w:t>
      </w:r>
      <w:r>
        <w:rPr>
          <w:rFonts w:ascii="Calibri" w:hAnsi="Calibri"/>
          <w:color w:val="374151"/>
          <w:sz w:val="20"/>
        </w:rPr>
        <w:t>Scope baseline, requirements engineering, risk register, and quality planning.</w:t>
      </w:r>
    </w:p>
    <w:p>
      <w:pPr>
        <w:pStyle w:val="ListBullet"/>
        <w:spacing w:after="60" w:line="276" w:lineRule="auto"/>
      </w:pPr>
      <w:r>
        <w:rPr>
          <w:rFonts w:ascii="Calibri" w:hAnsi="Calibri"/>
          <w:b/>
          <w:color w:val="111827"/>
          <w:sz w:val="20"/>
        </w:rPr>
        <w:t xml:space="preserve">WP 2.0 Machine Learning Microservice Tier: </w:t>
      </w:r>
      <w:r>
        <w:rPr>
          <w:rFonts w:ascii="Calibri" w:hAnsi="Calibri"/>
          <w:color w:val="374151"/>
          <w:sz w:val="20"/>
        </w:rPr>
        <w:t>China/Desharnais dataset ingestion, Random Forest training, Monte Carlo simulator, and FastAPI endpoints.</w:t>
      </w:r>
    </w:p>
    <w:p>
      <w:pPr>
        <w:pStyle w:val="ListBullet"/>
        <w:spacing w:after="60" w:line="276" w:lineRule="auto"/>
      </w:pPr>
      <w:r>
        <w:rPr>
          <w:rFonts w:ascii="Calibri" w:hAnsi="Calibri"/>
          <w:b/>
          <w:color w:val="111827"/>
          <w:sz w:val="20"/>
        </w:rPr>
        <w:t xml:space="preserve">WP 3.0 Backend REST API Gateway: </w:t>
      </w:r>
      <w:r>
        <w:rPr>
          <w:rFonts w:ascii="Calibri" w:hAnsi="Calibri"/>
          <w:color w:val="374151"/>
          <w:sz w:val="20"/>
        </w:rPr>
        <w:t>Mongoose schemas, multi-tenant middleware, security sanitization, audit logging, and Express routes.</w:t>
      </w:r>
    </w:p>
    <w:p>
      <w:pPr>
        <w:pStyle w:val="ListBullet"/>
        <w:spacing w:after="60" w:line="276" w:lineRule="auto"/>
      </w:pPr>
      <w:r>
        <w:rPr>
          <w:rFonts w:ascii="Calibri" w:hAnsi="Calibri"/>
          <w:b/>
          <w:color w:val="111827"/>
          <w:sz w:val="20"/>
        </w:rPr>
        <w:t xml:space="preserve">WP 4.0 Frontend Client Application: </w:t>
      </w:r>
      <w:r>
        <w:rPr>
          <w:rFonts w:ascii="Calibri" w:hAnsi="Calibri"/>
          <w:color w:val="374151"/>
          <w:sz w:val="20"/>
        </w:rPr>
        <w:t>Next.js App Router, Tailwind design system, Kanban board, What-If simulation view, and workspace switcher.</w:t>
      </w:r>
    </w:p>
    <w:p>
      <w:pPr>
        <w:pStyle w:val="ListBullet"/>
        <w:spacing w:after="60" w:line="276" w:lineRule="auto"/>
      </w:pPr>
      <w:r>
        <w:rPr>
          <w:rFonts w:ascii="Calibri" w:hAnsi="Calibri"/>
          <w:b/>
          <w:color w:val="111827"/>
          <w:sz w:val="20"/>
        </w:rPr>
        <w:t xml:space="preserve">WP 5.0 Software Quality Assurance &amp; Security: </w:t>
      </w:r>
      <w:r>
        <w:rPr>
          <w:rFonts w:ascii="Calibri" w:hAnsi="Calibri"/>
          <w:color w:val="374151"/>
          <w:sz w:val="20"/>
        </w:rPr>
        <w:t>Jest security invariants, Pytest model verification, ISO 25010 validation, and review gatekeeping tests.</w:t>
      </w:r>
    </w:p>
    <w:p>
      <w:pPr>
        <w:pStyle w:val="ListBullet"/>
        <w:spacing w:after="60" w:line="276" w:lineRule="auto"/>
      </w:pPr>
      <w:r>
        <w:rPr>
          <w:rFonts w:ascii="Calibri" w:hAnsi="Calibri"/>
          <w:b/>
          <w:color w:val="111827"/>
          <w:sz w:val="20"/>
        </w:rPr>
        <w:t xml:space="preserve">WP 6.0 Evaluation, Documentation &amp; Defense: </w:t>
      </w:r>
      <w:r>
        <w:rPr>
          <w:rFonts w:ascii="Calibri" w:hAnsi="Calibri"/>
          <w:color w:val="374151"/>
          <w:sz w:val="20"/>
        </w:rPr>
        <w:t>8-chapter dissertation report, 24-slide PowerPoint deck, and oral defense preparation.</w:t>
      </w:r>
    </w:p>
    <w:p>
      <w:pPr>
        <w:pStyle w:val="Heading2"/>
        <w:keepNext/>
        <w:spacing w:before="280" w:after="120"/>
      </w:pPr>
      <w:r>
        <w:rPr>
          <w:rFonts w:ascii="Calibri" w:hAnsi="Calibri"/>
          <w:b/>
          <w:color w:val="2C5E8A"/>
          <w:sz w:val="27"/>
        </w:rPr>
        <w:t>3.5 Resource Planning &amp; Effort/Cost Estimation</w:t>
      </w:r>
    </w:p>
    <w:p>
      <w:pPr>
        <w:spacing w:after="120" w:line="276" w:lineRule="auto"/>
      </w:pPr>
      <w:r>
        <w:rPr>
          <w:rFonts w:ascii="Calibri" w:hAnsi="Calibri"/>
          <w:color w:val="374151"/>
          <w:sz w:val="21"/>
        </w:rPr>
        <w:t>Effort estimation was derived from historical functional breakdown and PERT three-point calculations. Total engineering effort was modeled at 320 person-hours distributed across four 2-week iterations. Applying an industry-standard blended labor rate of $65/person-hour yielded a baseline cost of $20,800. Factoring in a 15% management and risk contingency reserve ($3,120), the total commercial baseline budget was established at $23,920.</w:t>
      </w:r>
    </w:p>
    <w:p>
      <w:pPr>
        <w:pStyle w:val="Heading2"/>
        <w:keepNext/>
        <w:spacing w:before="280" w:after="120"/>
      </w:pPr>
      <w:r>
        <w:rPr>
          <w:rFonts w:ascii="Calibri" w:hAnsi="Calibri"/>
          <w:b/>
          <w:color w:val="2C5E8A"/>
          <w:sz w:val="27"/>
        </w:rPr>
        <w:t>3.6 Scheduling, Milestones &amp; Critical Path Method (CPM)</w:t>
      </w:r>
    </w:p>
    <w:p>
      <w:pPr>
        <w:spacing w:after="120" w:line="276" w:lineRule="auto"/>
      </w:pPr>
      <w:r>
        <w:rPr>
          <w:rFonts w:ascii="Calibri" w:hAnsi="Calibri"/>
          <w:color w:val="374151"/>
          <w:sz w:val="21"/>
        </w:rPr>
        <w:t>The project schedule was established using Critical Path Method (CPM) and PERT three-point duration estimation. Six formal project milestones (M1 to M6) were established. The critical path traverses: WP 2.1 Dataset Ingestion -&gt; WP 2.2 Model Training -&gt; WP 3.1 Backend Gateway -&gt; WP 3.2 Tenant Middleware -&gt; WP 4.2 Kanban &amp; What-If UI -&gt; WP 5.1 Security Invariants. The critical path totals 18 business days with zero slack. A 3-day project buffer was appended to absorb unforeseen integration variances.</w:t>
      </w:r>
    </w:p>
    <w:p>
      <w:pPr>
        <w:pStyle w:val="Heading2"/>
        <w:keepNext/>
        <w:spacing w:before="280" w:after="120"/>
      </w:pPr>
      <w:r>
        <w:rPr>
          <w:rFonts w:ascii="Calibri" w:hAnsi="Calibri"/>
          <w:b/>
          <w:color w:val="2C5E8A"/>
          <w:sz w:val="27"/>
        </w:rPr>
        <w:t>3.7 Agile/Scrum Development Methodology</w:t>
      </w:r>
    </w:p>
    <w:p>
      <w:pPr>
        <w:spacing w:after="120" w:line="276" w:lineRule="auto"/>
      </w:pPr>
      <w:r>
        <w:rPr>
          <w:rFonts w:ascii="Calibri" w:hAnsi="Calibri"/>
          <w:color w:val="374151"/>
          <w:sz w:val="21"/>
        </w:rPr>
        <w:t>Implementation followed a two-week sprint Agile/Scrum cadence. Four distinct sprints were executed: Sprint 1 (Foundations &amp; Multi-Tenant Core), Sprint 2 (ML Service &amp; Empirical Model Training), Sprint 3 (Frontend Kanban &amp; Interactive What-If Stepper), and Sprint 4 (Security Hardening, Gatekeeping &amp; Verification). Every sprint adhered to a strict Definition of Done (DoD) requiring clean linting, 100% automated test pass rate, and documented commit traceability.</w:t>
      </w:r>
    </w:p>
    <w:p>
      <w:pPr>
        <w:pStyle w:val="Heading2"/>
        <w:keepNext/>
        <w:spacing w:before="280" w:after="120"/>
      </w:pPr>
      <w:r>
        <w:rPr>
          <w:rFonts w:ascii="Calibri" w:hAnsi="Calibri"/>
          <w:b/>
          <w:color w:val="2C5E8A"/>
          <w:sz w:val="27"/>
        </w:rPr>
        <w:t>3.8 Risk Management: 5x5 Qualitative Risk Matrix</w:t>
      </w:r>
    </w:p>
    <w:p>
      <w:pPr>
        <w:spacing w:after="120" w:line="276" w:lineRule="auto"/>
      </w:pPr>
      <w:r>
        <w:rPr>
          <w:rFonts w:ascii="Calibri" w:hAnsi="Calibri"/>
          <w:color w:val="374151"/>
          <w:sz w:val="21"/>
        </w:rPr>
        <w:t>A formal Risk Register was maintained throughout the lifecycle, evaluating probability (1-5) and impact (1-5) across technical, security, and project management risks: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fill="1B365D"/>
            <w:tcMar>
              <w:top w:w="140" w:type="dxa"/>
              <w:bottom w:w="140" w:type="dxa"/>
              <w:left w:w="160" w:type="dxa"/>
              <w:right w:w="160" w:type="dxa"/>
            </w:tcMar>
          </w:tcPr>
          <w:p>
            <w:pPr>
              <w:jc w:val="left"/>
            </w:pPr>
            <w:r>
              <w:rPr>
                <w:rFonts w:ascii="Calibri" w:hAnsi="Calibri"/>
                <w:b/>
                <w:color w:val="FFFFFF"/>
                <w:sz w:val="19"/>
              </w:rPr>
              <w:t>Risk ID</w:t>
            </w:r>
          </w:p>
        </w:tc>
        <w:tc>
          <w:tcPr>
            <w:tcW w:type="dxa" w:w="1560"/>
            <w:shd w:fill="1B365D"/>
            <w:tcMar>
              <w:top w:w="140" w:type="dxa"/>
              <w:bottom w:w="140" w:type="dxa"/>
              <w:left w:w="160" w:type="dxa"/>
              <w:right w:w="160" w:type="dxa"/>
            </w:tcMar>
          </w:tcPr>
          <w:p>
            <w:pPr>
              <w:jc w:val="left"/>
            </w:pPr>
            <w:r>
              <w:rPr>
                <w:rFonts w:ascii="Calibri" w:hAnsi="Calibri"/>
                <w:b/>
                <w:color w:val="FFFFFF"/>
                <w:sz w:val="19"/>
              </w:rPr>
              <w:t>Risk Event</w:t>
            </w:r>
          </w:p>
        </w:tc>
        <w:tc>
          <w:tcPr>
            <w:tcW w:type="dxa" w:w="1560"/>
            <w:shd w:fill="1B365D"/>
            <w:tcMar>
              <w:top w:w="140" w:type="dxa"/>
              <w:bottom w:w="140" w:type="dxa"/>
              <w:left w:w="160" w:type="dxa"/>
              <w:right w:w="160" w:type="dxa"/>
            </w:tcMar>
          </w:tcPr>
          <w:p>
            <w:pPr>
              <w:jc w:val="left"/>
            </w:pPr>
            <w:r>
              <w:rPr>
                <w:rFonts w:ascii="Calibri" w:hAnsi="Calibri"/>
                <w:b/>
                <w:color w:val="FFFFFF"/>
                <w:sz w:val="19"/>
              </w:rPr>
              <w:t>Prob (1-5)</w:t>
            </w:r>
          </w:p>
        </w:tc>
        <w:tc>
          <w:tcPr>
            <w:tcW w:type="dxa" w:w="1560"/>
            <w:shd w:fill="1B365D"/>
            <w:tcMar>
              <w:top w:w="140" w:type="dxa"/>
              <w:bottom w:w="140" w:type="dxa"/>
              <w:left w:w="160" w:type="dxa"/>
              <w:right w:w="160" w:type="dxa"/>
            </w:tcMar>
          </w:tcPr>
          <w:p>
            <w:pPr>
              <w:jc w:val="left"/>
            </w:pPr>
            <w:r>
              <w:rPr>
                <w:rFonts w:ascii="Calibri" w:hAnsi="Calibri"/>
                <w:b/>
                <w:color w:val="FFFFFF"/>
                <w:sz w:val="19"/>
              </w:rPr>
              <w:t>Imp (1-5)</w:t>
            </w:r>
          </w:p>
        </w:tc>
        <w:tc>
          <w:tcPr>
            <w:tcW w:type="dxa" w:w="1560"/>
            <w:shd w:fill="1B365D"/>
            <w:tcMar>
              <w:top w:w="140" w:type="dxa"/>
              <w:bottom w:w="140" w:type="dxa"/>
              <w:left w:w="160" w:type="dxa"/>
              <w:right w:w="160" w:type="dxa"/>
            </w:tcMar>
          </w:tcPr>
          <w:p>
            <w:pPr>
              <w:jc w:val="left"/>
            </w:pPr>
            <w:r>
              <w:rPr>
                <w:rFonts w:ascii="Calibri" w:hAnsi="Calibri"/>
                <w:b/>
                <w:color w:val="FFFFFF"/>
                <w:sz w:val="19"/>
              </w:rPr>
              <w:t>Score</w:t>
            </w:r>
          </w:p>
        </w:tc>
        <w:tc>
          <w:tcPr>
            <w:tcW w:type="dxa" w:w="1560"/>
            <w:shd w:fill="1B365D"/>
            <w:tcMar>
              <w:top w:w="140" w:type="dxa"/>
              <w:bottom w:w="140" w:type="dxa"/>
              <w:left w:w="160" w:type="dxa"/>
              <w:right w:w="160" w:type="dxa"/>
            </w:tcMar>
          </w:tcPr>
          <w:p>
            <w:pPr>
              <w:jc w:val="left"/>
            </w:pPr>
            <w:r>
              <w:rPr>
                <w:rFonts w:ascii="Calibri" w:hAnsi="Calibri"/>
                <w:b/>
                <w:color w:val="FFFFFF"/>
                <w:sz w:val="19"/>
              </w:rPr>
              <w:t>Mitigation Strategy</w:t>
            </w:r>
          </w:p>
        </w:tc>
      </w:tr>
      <w:tr>
        <w:tc>
          <w:tcPr>
            <w:tcW w:type="dxa" w:w="1560"/>
            <w:shd w:fill="F4F6F9"/>
            <w:tcMar>
              <w:top w:w="100" w:type="dxa"/>
              <w:bottom w:w="100" w:type="dxa"/>
              <w:left w:w="160" w:type="dxa"/>
              <w:right w:w="160" w:type="dxa"/>
            </w:tcMar>
          </w:tcPr>
          <w:p>
            <w:r>
              <w:rPr>
                <w:rFonts w:ascii="Calibri" w:hAnsi="Calibri"/>
                <w:color w:val="333333"/>
                <w:sz w:val="18"/>
              </w:rPr>
              <w:t>RSK-01</w:t>
            </w:r>
          </w:p>
        </w:tc>
        <w:tc>
          <w:tcPr>
            <w:tcW w:type="dxa" w:w="1560"/>
            <w:shd w:fill="F4F6F9"/>
            <w:tcMar>
              <w:top w:w="100" w:type="dxa"/>
              <w:bottom w:w="100" w:type="dxa"/>
              <w:left w:w="160" w:type="dxa"/>
              <w:right w:w="160" w:type="dxa"/>
            </w:tcMar>
          </w:tcPr>
          <w:p>
            <w:r>
              <w:rPr>
                <w:rFonts w:ascii="Calibri" w:hAnsi="Calibri"/>
                <w:color w:val="333333"/>
                <w:sz w:val="18"/>
              </w:rPr>
              <w:t>Cross-Tenant IDOR Data Leakage</w:t>
            </w:r>
          </w:p>
        </w:tc>
        <w:tc>
          <w:tcPr>
            <w:tcW w:type="dxa" w:w="1560"/>
            <w:shd w:fill="F4F6F9"/>
            <w:tcMar>
              <w:top w:w="100" w:type="dxa"/>
              <w:bottom w:w="100" w:type="dxa"/>
              <w:left w:w="160" w:type="dxa"/>
              <w:right w:w="160" w:type="dxa"/>
            </w:tcMar>
          </w:tcPr>
          <w:p>
            <w:r>
              <w:rPr>
                <w:rFonts w:ascii="Calibri" w:hAnsi="Calibri"/>
                <w:color w:val="333333"/>
                <w:sz w:val="18"/>
              </w:rPr>
              <w:t>2</w:t>
            </w:r>
          </w:p>
        </w:tc>
        <w:tc>
          <w:tcPr>
            <w:tcW w:type="dxa" w:w="1560"/>
            <w:shd w:fill="F4F6F9"/>
            <w:tcMar>
              <w:top w:w="100" w:type="dxa"/>
              <w:bottom w:w="100" w:type="dxa"/>
              <w:left w:w="160" w:type="dxa"/>
              <w:right w:w="160" w:type="dxa"/>
            </w:tcMar>
          </w:tcPr>
          <w:p>
            <w:r>
              <w:rPr>
                <w:rFonts w:ascii="Calibri" w:hAnsi="Calibri"/>
                <w:color w:val="333333"/>
                <w:sz w:val="18"/>
              </w:rPr>
              <w:t>5</w:t>
            </w:r>
          </w:p>
        </w:tc>
        <w:tc>
          <w:tcPr>
            <w:tcW w:type="dxa" w:w="1560"/>
            <w:shd w:fill="F4F6F9"/>
            <w:tcMar>
              <w:top w:w="100" w:type="dxa"/>
              <w:bottom w:w="100" w:type="dxa"/>
              <w:left w:w="160" w:type="dxa"/>
              <w:right w:w="160" w:type="dxa"/>
            </w:tcMar>
          </w:tcPr>
          <w:p>
            <w:r>
              <w:rPr>
                <w:rFonts w:ascii="Calibri" w:hAnsi="Calibri"/>
                <w:color w:val="333333"/>
                <w:sz w:val="18"/>
              </w:rPr>
              <w:t>10 (Med)</w:t>
            </w:r>
          </w:p>
        </w:tc>
        <w:tc>
          <w:tcPr>
            <w:tcW w:type="dxa" w:w="1560"/>
            <w:shd w:fill="F4F6F9"/>
            <w:tcMar>
              <w:top w:w="100" w:type="dxa"/>
              <w:bottom w:w="100" w:type="dxa"/>
              <w:left w:w="160" w:type="dxa"/>
              <w:right w:w="160" w:type="dxa"/>
            </w:tcMar>
          </w:tcPr>
          <w:p>
            <w:r>
              <w:rPr>
                <w:rFonts w:ascii="Calibri" w:hAnsi="Calibri"/>
                <w:color w:val="333333"/>
                <w:sz w:val="18"/>
              </w:rPr>
              <w:t>Zero-Trust ORM scoping (withTenantScope); automated invariant tests</w:t>
            </w:r>
          </w:p>
        </w:tc>
      </w:tr>
      <w:tr>
        <w:tc>
          <w:tcPr>
            <w:tcW w:type="dxa" w:w="1560"/>
            <w:shd w:fill="FFFFFF"/>
            <w:tcMar>
              <w:top w:w="100" w:type="dxa"/>
              <w:bottom w:w="100" w:type="dxa"/>
              <w:left w:w="160" w:type="dxa"/>
              <w:right w:w="160" w:type="dxa"/>
            </w:tcMar>
          </w:tcPr>
          <w:p>
            <w:r>
              <w:rPr>
                <w:rFonts w:ascii="Calibri" w:hAnsi="Calibri"/>
                <w:color w:val="333333"/>
                <w:sz w:val="18"/>
              </w:rPr>
              <w:t>RSK-02</w:t>
            </w:r>
          </w:p>
        </w:tc>
        <w:tc>
          <w:tcPr>
            <w:tcW w:type="dxa" w:w="1560"/>
            <w:shd w:fill="FFFFFF"/>
            <w:tcMar>
              <w:top w:w="100" w:type="dxa"/>
              <w:bottom w:w="100" w:type="dxa"/>
              <w:left w:w="160" w:type="dxa"/>
              <w:right w:w="160" w:type="dxa"/>
            </w:tcMar>
          </w:tcPr>
          <w:p>
            <w:r>
              <w:rPr>
                <w:rFonts w:ascii="Calibri" w:hAnsi="Calibri"/>
                <w:color w:val="333333"/>
                <w:sz w:val="18"/>
              </w:rPr>
              <w:t>ML Service Latency / Failure</w:t>
            </w:r>
          </w:p>
        </w:tc>
        <w:tc>
          <w:tcPr>
            <w:tcW w:type="dxa" w:w="1560"/>
            <w:shd w:fill="FFFFFF"/>
            <w:tcMar>
              <w:top w:w="100" w:type="dxa"/>
              <w:bottom w:w="100" w:type="dxa"/>
              <w:left w:w="160" w:type="dxa"/>
              <w:right w:w="160" w:type="dxa"/>
            </w:tcMar>
          </w:tcPr>
          <w:p>
            <w:r>
              <w:rPr>
                <w:rFonts w:ascii="Calibri" w:hAnsi="Calibri"/>
                <w:color w:val="333333"/>
                <w:sz w:val="18"/>
              </w:rPr>
              <w:t>2</w:t>
            </w:r>
          </w:p>
        </w:tc>
        <w:tc>
          <w:tcPr>
            <w:tcW w:type="dxa" w:w="1560"/>
            <w:shd w:fill="FFFFFF"/>
            <w:tcMar>
              <w:top w:w="100" w:type="dxa"/>
              <w:bottom w:w="100" w:type="dxa"/>
              <w:left w:w="160" w:type="dxa"/>
              <w:right w:w="160" w:type="dxa"/>
            </w:tcMar>
          </w:tcPr>
          <w:p>
            <w:r>
              <w:rPr>
                <w:rFonts w:ascii="Calibri" w:hAnsi="Calibri"/>
                <w:color w:val="333333"/>
                <w:sz w:val="18"/>
              </w:rPr>
              <w:t>4</w:t>
            </w:r>
          </w:p>
        </w:tc>
        <w:tc>
          <w:tcPr>
            <w:tcW w:type="dxa" w:w="1560"/>
            <w:shd w:fill="FFFFFF"/>
            <w:tcMar>
              <w:top w:w="100" w:type="dxa"/>
              <w:bottom w:w="100" w:type="dxa"/>
              <w:left w:w="160" w:type="dxa"/>
              <w:right w:w="160" w:type="dxa"/>
            </w:tcMar>
          </w:tcPr>
          <w:p>
            <w:r>
              <w:rPr>
                <w:rFonts w:ascii="Calibri" w:hAnsi="Calibri"/>
                <w:color w:val="333333"/>
                <w:sz w:val="18"/>
              </w:rPr>
              <w:t>8 (Med)</w:t>
            </w:r>
          </w:p>
        </w:tc>
        <w:tc>
          <w:tcPr>
            <w:tcW w:type="dxa" w:w="1560"/>
            <w:shd w:fill="FFFFFF"/>
            <w:tcMar>
              <w:top w:w="100" w:type="dxa"/>
              <w:bottom w:w="100" w:type="dxa"/>
              <w:left w:w="160" w:type="dxa"/>
              <w:right w:w="160" w:type="dxa"/>
            </w:tcMar>
          </w:tcPr>
          <w:p>
            <w:r>
              <w:rPr>
                <w:rFonts w:ascii="Calibri" w:hAnsi="Calibri"/>
                <w:color w:val="333333"/>
                <w:sz w:val="18"/>
              </w:rPr>
              <w:t>Putnam heuristic analytical fallback; microservice health circuit breaker</w:t>
            </w:r>
          </w:p>
        </w:tc>
      </w:tr>
      <w:tr>
        <w:tc>
          <w:tcPr>
            <w:tcW w:type="dxa" w:w="1560"/>
            <w:shd w:fill="F4F6F9"/>
            <w:tcMar>
              <w:top w:w="100" w:type="dxa"/>
              <w:bottom w:w="100" w:type="dxa"/>
              <w:left w:w="160" w:type="dxa"/>
              <w:right w:w="160" w:type="dxa"/>
            </w:tcMar>
          </w:tcPr>
          <w:p>
            <w:r>
              <w:rPr>
                <w:rFonts w:ascii="Calibri" w:hAnsi="Calibri"/>
                <w:color w:val="333333"/>
                <w:sz w:val="18"/>
              </w:rPr>
              <w:t>RSK-03</w:t>
            </w:r>
          </w:p>
        </w:tc>
        <w:tc>
          <w:tcPr>
            <w:tcW w:type="dxa" w:w="1560"/>
            <w:shd w:fill="F4F6F9"/>
            <w:tcMar>
              <w:top w:w="100" w:type="dxa"/>
              <w:bottom w:w="100" w:type="dxa"/>
              <w:left w:w="160" w:type="dxa"/>
              <w:right w:w="160" w:type="dxa"/>
            </w:tcMar>
          </w:tcPr>
          <w:p>
            <w:r>
              <w:rPr>
                <w:rFonts w:ascii="Calibri" w:hAnsi="Calibri"/>
                <w:color w:val="333333"/>
                <w:sz w:val="18"/>
              </w:rPr>
              <w:t>Commercial ISBSG Dataset Paywall</w:t>
            </w:r>
          </w:p>
        </w:tc>
        <w:tc>
          <w:tcPr>
            <w:tcW w:type="dxa" w:w="1560"/>
            <w:shd w:fill="F4F6F9"/>
            <w:tcMar>
              <w:top w:w="100" w:type="dxa"/>
              <w:bottom w:w="100" w:type="dxa"/>
              <w:left w:w="160" w:type="dxa"/>
              <w:right w:w="160" w:type="dxa"/>
            </w:tcMar>
          </w:tcPr>
          <w:p>
            <w:r>
              <w:rPr>
                <w:rFonts w:ascii="Calibri" w:hAnsi="Calibri"/>
                <w:color w:val="333333"/>
                <w:sz w:val="18"/>
              </w:rPr>
              <w:t>4</w:t>
            </w:r>
          </w:p>
        </w:tc>
        <w:tc>
          <w:tcPr>
            <w:tcW w:type="dxa" w:w="1560"/>
            <w:shd w:fill="F4F6F9"/>
            <w:tcMar>
              <w:top w:w="100" w:type="dxa"/>
              <w:bottom w:w="100" w:type="dxa"/>
              <w:left w:w="160" w:type="dxa"/>
              <w:right w:w="160" w:type="dxa"/>
            </w:tcMar>
          </w:tcPr>
          <w:p>
            <w:r>
              <w:rPr>
                <w:rFonts w:ascii="Calibri" w:hAnsi="Calibri"/>
                <w:color w:val="333333"/>
                <w:sz w:val="18"/>
              </w:rPr>
              <w:t>3</w:t>
            </w:r>
          </w:p>
        </w:tc>
        <w:tc>
          <w:tcPr>
            <w:tcW w:type="dxa" w:w="1560"/>
            <w:shd w:fill="F4F6F9"/>
            <w:tcMar>
              <w:top w:w="100" w:type="dxa"/>
              <w:bottom w:w="100" w:type="dxa"/>
              <w:left w:w="160" w:type="dxa"/>
              <w:right w:w="160" w:type="dxa"/>
            </w:tcMar>
          </w:tcPr>
          <w:p>
            <w:r>
              <w:rPr>
                <w:rFonts w:ascii="Calibri" w:hAnsi="Calibri"/>
                <w:color w:val="333333"/>
                <w:sz w:val="18"/>
              </w:rPr>
              <w:t>12 (High)</w:t>
            </w:r>
          </w:p>
        </w:tc>
        <w:tc>
          <w:tcPr>
            <w:tcW w:type="dxa" w:w="1560"/>
            <w:shd w:fill="F4F6F9"/>
            <w:tcMar>
              <w:top w:w="100" w:type="dxa"/>
              <w:bottom w:w="100" w:type="dxa"/>
              <w:left w:w="160" w:type="dxa"/>
              <w:right w:w="160" w:type="dxa"/>
            </w:tcMar>
          </w:tcPr>
          <w:p>
            <w:r>
              <w:rPr>
                <w:rFonts w:ascii="Calibri" w:hAnsi="Calibri"/>
                <w:color w:val="333333"/>
                <w:sz w:val="18"/>
              </w:rPr>
              <w:t>Adopt PROMISE China (N=499) + Zenodo open teaser (DOI: 10.5281/zenodo.268485)</w:t>
            </w:r>
          </w:p>
        </w:tc>
      </w:tr>
      <w:tr>
        <w:tc>
          <w:tcPr>
            <w:tcW w:type="dxa" w:w="1560"/>
            <w:shd w:fill="FFFFFF"/>
            <w:tcMar>
              <w:top w:w="100" w:type="dxa"/>
              <w:bottom w:w="100" w:type="dxa"/>
              <w:left w:w="160" w:type="dxa"/>
              <w:right w:w="160" w:type="dxa"/>
            </w:tcMar>
          </w:tcPr>
          <w:p>
            <w:r>
              <w:rPr>
                <w:rFonts w:ascii="Calibri" w:hAnsi="Calibri"/>
                <w:color w:val="333333"/>
                <w:sz w:val="18"/>
              </w:rPr>
              <w:t>RSK-04</w:t>
            </w:r>
          </w:p>
        </w:tc>
        <w:tc>
          <w:tcPr>
            <w:tcW w:type="dxa" w:w="1560"/>
            <w:shd w:fill="FFFFFF"/>
            <w:tcMar>
              <w:top w:w="100" w:type="dxa"/>
              <w:bottom w:w="100" w:type="dxa"/>
              <w:left w:w="160" w:type="dxa"/>
              <w:right w:w="160" w:type="dxa"/>
            </w:tcMar>
          </w:tcPr>
          <w:p>
            <w:r>
              <w:rPr>
                <w:rFonts w:ascii="Calibri" w:hAnsi="Calibri"/>
                <w:color w:val="333333"/>
                <w:sz w:val="18"/>
              </w:rPr>
              <w:t>Schedule Slippage on Critical Path</w:t>
            </w:r>
          </w:p>
        </w:tc>
        <w:tc>
          <w:tcPr>
            <w:tcW w:type="dxa" w:w="1560"/>
            <w:shd w:fill="FFFFFF"/>
            <w:tcMar>
              <w:top w:w="100" w:type="dxa"/>
              <w:bottom w:w="100" w:type="dxa"/>
              <w:left w:w="160" w:type="dxa"/>
              <w:right w:w="160" w:type="dxa"/>
            </w:tcMar>
          </w:tcPr>
          <w:p>
            <w:r>
              <w:rPr>
                <w:rFonts w:ascii="Calibri" w:hAnsi="Calibri"/>
                <w:color w:val="333333"/>
                <w:sz w:val="18"/>
              </w:rPr>
              <w:t>3</w:t>
            </w:r>
          </w:p>
        </w:tc>
        <w:tc>
          <w:tcPr>
            <w:tcW w:type="dxa" w:w="1560"/>
            <w:shd w:fill="FFFFFF"/>
            <w:tcMar>
              <w:top w:w="100" w:type="dxa"/>
              <w:bottom w:w="100" w:type="dxa"/>
              <w:left w:w="160" w:type="dxa"/>
              <w:right w:w="160" w:type="dxa"/>
            </w:tcMar>
          </w:tcPr>
          <w:p>
            <w:r>
              <w:rPr>
                <w:rFonts w:ascii="Calibri" w:hAnsi="Calibri"/>
                <w:color w:val="333333"/>
                <w:sz w:val="18"/>
              </w:rPr>
              <w:t>4</w:t>
            </w:r>
          </w:p>
        </w:tc>
        <w:tc>
          <w:tcPr>
            <w:tcW w:type="dxa" w:w="1560"/>
            <w:shd w:fill="FFFFFF"/>
            <w:tcMar>
              <w:top w:w="100" w:type="dxa"/>
              <w:bottom w:w="100" w:type="dxa"/>
              <w:left w:w="160" w:type="dxa"/>
              <w:right w:w="160" w:type="dxa"/>
            </w:tcMar>
          </w:tcPr>
          <w:p>
            <w:r>
              <w:rPr>
                <w:rFonts w:ascii="Calibri" w:hAnsi="Calibri"/>
                <w:color w:val="333333"/>
                <w:sz w:val="18"/>
              </w:rPr>
              <w:t>12 (High)</w:t>
            </w:r>
          </w:p>
        </w:tc>
        <w:tc>
          <w:tcPr>
            <w:tcW w:type="dxa" w:w="1560"/>
            <w:shd w:fill="FFFFFF"/>
            <w:tcMar>
              <w:top w:w="100" w:type="dxa"/>
              <w:bottom w:w="100" w:type="dxa"/>
              <w:left w:w="160" w:type="dxa"/>
              <w:right w:w="160" w:type="dxa"/>
            </w:tcMar>
          </w:tcPr>
          <w:p>
            <w:r>
              <w:rPr>
                <w:rFonts w:ascii="Calibri" w:hAnsi="Calibri"/>
                <w:color w:val="333333"/>
                <w:sz w:val="18"/>
              </w:rPr>
              <w:t>3-day PERT buffer; automated CI test execution; scope freezing</w:t>
            </w:r>
          </w:p>
        </w:tc>
      </w:tr>
      <w:tr>
        <w:tc>
          <w:tcPr>
            <w:tcW w:type="dxa" w:w="1560"/>
            <w:shd w:fill="F4F6F9"/>
            <w:tcMar>
              <w:top w:w="100" w:type="dxa"/>
              <w:bottom w:w="100" w:type="dxa"/>
              <w:left w:w="160" w:type="dxa"/>
              <w:right w:w="160" w:type="dxa"/>
            </w:tcMar>
          </w:tcPr>
          <w:p>
            <w:r>
              <w:rPr>
                <w:rFonts w:ascii="Calibri" w:hAnsi="Calibri"/>
                <w:color w:val="333333"/>
                <w:sz w:val="18"/>
              </w:rPr>
              <w:t>RSK-05</w:t>
            </w:r>
          </w:p>
        </w:tc>
        <w:tc>
          <w:tcPr>
            <w:tcW w:type="dxa" w:w="1560"/>
            <w:shd w:fill="F4F6F9"/>
            <w:tcMar>
              <w:top w:w="100" w:type="dxa"/>
              <w:bottom w:w="100" w:type="dxa"/>
              <w:left w:w="160" w:type="dxa"/>
              <w:right w:w="160" w:type="dxa"/>
            </w:tcMar>
          </w:tcPr>
          <w:p>
            <w:r>
              <w:rPr>
                <w:rFonts w:ascii="Calibri" w:hAnsi="Calibri"/>
                <w:color w:val="333333"/>
                <w:sz w:val="18"/>
              </w:rPr>
              <w:t>Quality Review Gatekeeping Bypass</w:t>
            </w:r>
          </w:p>
        </w:tc>
        <w:tc>
          <w:tcPr>
            <w:tcW w:type="dxa" w:w="1560"/>
            <w:shd w:fill="F4F6F9"/>
            <w:tcMar>
              <w:top w:w="100" w:type="dxa"/>
              <w:bottom w:w="100" w:type="dxa"/>
              <w:left w:w="160" w:type="dxa"/>
              <w:right w:w="160" w:type="dxa"/>
            </w:tcMar>
          </w:tcPr>
          <w:p>
            <w:r>
              <w:rPr>
                <w:rFonts w:ascii="Calibri" w:hAnsi="Calibri"/>
                <w:color w:val="333333"/>
                <w:sz w:val="18"/>
              </w:rPr>
              <w:t>2</w:t>
            </w:r>
          </w:p>
        </w:tc>
        <w:tc>
          <w:tcPr>
            <w:tcW w:type="dxa" w:w="1560"/>
            <w:shd w:fill="F4F6F9"/>
            <w:tcMar>
              <w:top w:w="100" w:type="dxa"/>
              <w:bottom w:w="100" w:type="dxa"/>
              <w:left w:w="160" w:type="dxa"/>
              <w:right w:w="160" w:type="dxa"/>
            </w:tcMar>
          </w:tcPr>
          <w:p>
            <w:r>
              <w:rPr>
                <w:rFonts w:ascii="Calibri" w:hAnsi="Calibri"/>
                <w:color w:val="333333"/>
                <w:sz w:val="18"/>
              </w:rPr>
              <w:t>4</w:t>
            </w:r>
          </w:p>
        </w:tc>
        <w:tc>
          <w:tcPr>
            <w:tcW w:type="dxa" w:w="1560"/>
            <w:shd w:fill="F4F6F9"/>
            <w:tcMar>
              <w:top w:w="100" w:type="dxa"/>
              <w:bottom w:w="100" w:type="dxa"/>
              <w:left w:w="160" w:type="dxa"/>
              <w:right w:w="160" w:type="dxa"/>
            </w:tcMar>
          </w:tcPr>
          <w:p>
            <w:r>
              <w:rPr>
                <w:rFonts w:ascii="Calibri" w:hAnsi="Calibri"/>
                <w:color w:val="333333"/>
                <w:sz w:val="18"/>
              </w:rPr>
              <w:t>8 (Med)</w:t>
            </w:r>
          </w:p>
        </w:tc>
        <w:tc>
          <w:tcPr>
            <w:tcW w:type="dxa" w:w="1560"/>
            <w:shd w:fill="F4F6F9"/>
            <w:tcMar>
              <w:top w:w="100" w:type="dxa"/>
              <w:bottom w:w="100" w:type="dxa"/>
              <w:left w:w="160" w:type="dxa"/>
              <w:right w:w="160" w:type="dxa"/>
            </w:tcMar>
          </w:tcPr>
          <w:p>
            <w:r>
              <w:rPr>
                <w:rFonts w:ascii="Calibri" w:hAnsi="Calibri"/>
                <w:color w:val="333333"/>
                <w:sz w:val="18"/>
              </w:rPr>
              <w:t>Server-side controller validation blocking Member self-completion (403)</w:t>
            </w:r>
          </w:p>
        </w:tc>
      </w:tr>
      <w:tr>
        <w:tc>
          <w:tcPr>
            <w:tcW w:type="dxa" w:w="1560"/>
            <w:shd w:fill="FFFFFF"/>
            <w:tcMar>
              <w:top w:w="100" w:type="dxa"/>
              <w:bottom w:w="100" w:type="dxa"/>
              <w:left w:w="160" w:type="dxa"/>
              <w:right w:w="160" w:type="dxa"/>
            </w:tcMar>
          </w:tcPr>
          <w:p>
            <w:r>
              <w:rPr>
                <w:rFonts w:ascii="Calibri" w:hAnsi="Calibri"/>
                <w:color w:val="333333"/>
                <w:sz w:val="18"/>
              </w:rPr>
              <w:t>RSK-06</w:t>
            </w:r>
          </w:p>
        </w:tc>
        <w:tc>
          <w:tcPr>
            <w:tcW w:type="dxa" w:w="1560"/>
            <w:shd w:fill="FFFFFF"/>
            <w:tcMar>
              <w:top w:w="100" w:type="dxa"/>
              <w:bottom w:w="100" w:type="dxa"/>
              <w:left w:w="160" w:type="dxa"/>
              <w:right w:w="160" w:type="dxa"/>
            </w:tcMar>
          </w:tcPr>
          <w:p>
            <w:r>
              <w:rPr>
                <w:rFonts w:ascii="Calibri" w:hAnsi="Calibri"/>
                <w:color w:val="333333"/>
                <w:sz w:val="18"/>
              </w:rPr>
              <w:t>Brute-Force &amp; NoSQL Injection</w:t>
            </w:r>
          </w:p>
        </w:tc>
        <w:tc>
          <w:tcPr>
            <w:tcW w:type="dxa" w:w="1560"/>
            <w:shd w:fill="FFFFFF"/>
            <w:tcMar>
              <w:top w:w="100" w:type="dxa"/>
              <w:bottom w:w="100" w:type="dxa"/>
              <w:left w:w="160" w:type="dxa"/>
              <w:right w:w="160" w:type="dxa"/>
            </w:tcMar>
          </w:tcPr>
          <w:p>
            <w:r>
              <w:rPr>
                <w:rFonts w:ascii="Calibri" w:hAnsi="Calibri"/>
                <w:color w:val="333333"/>
                <w:sz w:val="18"/>
              </w:rPr>
              <w:t>3</w:t>
            </w:r>
          </w:p>
        </w:tc>
        <w:tc>
          <w:tcPr>
            <w:tcW w:type="dxa" w:w="1560"/>
            <w:shd w:fill="FFFFFF"/>
            <w:tcMar>
              <w:top w:w="100" w:type="dxa"/>
              <w:bottom w:w="100" w:type="dxa"/>
              <w:left w:w="160" w:type="dxa"/>
              <w:right w:w="160" w:type="dxa"/>
            </w:tcMar>
          </w:tcPr>
          <w:p>
            <w:r>
              <w:rPr>
                <w:rFonts w:ascii="Calibri" w:hAnsi="Calibri"/>
                <w:color w:val="333333"/>
                <w:sz w:val="18"/>
              </w:rPr>
              <w:t>4</w:t>
            </w:r>
          </w:p>
        </w:tc>
        <w:tc>
          <w:tcPr>
            <w:tcW w:type="dxa" w:w="1560"/>
            <w:shd w:fill="FFFFFF"/>
            <w:tcMar>
              <w:top w:w="100" w:type="dxa"/>
              <w:bottom w:w="100" w:type="dxa"/>
              <w:left w:w="160" w:type="dxa"/>
              <w:right w:w="160" w:type="dxa"/>
            </w:tcMar>
          </w:tcPr>
          <w:p>
            <w:r>
              <w:rPr>
                <w:rFonts w:ascii="Calibri" w:hAnsi="Calibri"/>
                <w:color w:val="333333"/>
                <w:sz w:val="18"/>
              </w:rPr>
              <w:t>12 (High)</w:t>
            </w:r>
          </w:p>
        </w:tc>
        <w:tc>
          <w:tcPr>
            <w:tcW w:type="dxa" w:w="1560"/>
            <w:shd w:fill="FFFFFF"/>
            <w:tcMar>
              <w:top w:w="100" w:type="dxa"/>
              <w:bottom w:w="100" w:type="dxa"/>
              <w:left w:w="160" w:type="dxa"/>
              <w:right w:w="160" w:type="dxa"/>
            </w:tcMar>
          </w:tcPr>
          <w:p>
            <w:r>
              <w:rPr>
                <w:rFonts w:ascii="Calibri" w:hAnsi="Calibri"/>
                <w:color w:val="333333"/>
                <w:sz w:val="18"/>
              </w:rPr>
              <w:t>express-rate-limit + express-mongo-sanitize operator stripping</w:t>
            </w:r>
          </w:p>
        </w:tc>
      </w:tr>
    </w:tbl>
    <w:p>
      <w:pPr>
        <w:pStyle w:val="Heading2"/>
        <w:keepNext/>
        <w:spacing w:before="280" w:after="120"/>
      </w:pPr>
      <w:r>
        <w:rPr>
          <w:rFonts w:ascii="Calibri" w:hAnsi="Calibri"/>
          <w:b/>
          <w:color w:val="2C5E8A"/>
          <w:sz w:val="27"/>
        </w:rPr>
        <w:t>3.9 Quality Assurance &amp; Change Control</w:t>
      </w:r>
    </w:p>
    <w:p>
      <w:pPr>
        <w:spacing w:after="120" w:line="276" w:lineRule="auto"/>
      </w:pPr>
      <w:r>
        <w:rPr>
          <w:rFonts w:ascii="Calibri" w:hAnsi="Calibri"/>
          <w:color w:val="374151"/>
          <w:sz w:val="21"/>
        </w:rPr>
        <w:t>Software Quality Assurance was governed by the ISO/IEC 25010 Quality Model. Changes to baseline specifications were subjected to formal Change Control, requiring documented justification, technical impact analysis, and regression verification before merge into the production codebase.</w:t>
      </w:r>
    </w:p>
    <w:p>
      <w:r>
        <w:br w:type="page"/>
      </w:r>
    </w:p>
    <w:p>
      <w:pPr>
        <w:pStyle w:val="Heading1"/>
        <w:keepNext/>
        <w:spacing w:before="360" w:after="160"/>
      </w:pPr>
      <w:r>
        <w:rPr>
          <w:rFonts w:ascii="Calibri" w:hAnsi="Calibri"/>
          <w:b/>
          <w:color w:val="1B365D"/>
          <w:sz w:val="36"/>
        </w:rPr>
        <w:t>Chapter Four — System Analysis, Design &amp; Security</w:t>
      </w:r>
    </w:p>
    <w:p>
      <w:pPr>
        <w:pStyle w:val="Heading2"/>
        <w:keepNext/>
        <w:spacing w:before="280" w:after="120"/>
      </w:pPr>
      <w:r>
        <w:rPr>
          <w:rFonts w:ascii="Calibri" w:hAnsi="Calibri"/>
          <w:b/>
          <w:color w:val="2C5E8A"/>
          <w:sz w:val="27"/>
        </w:rPr>
        <w:t>4.1 Existing vs Proposed System Architecture</w:t>
      </w:r>
    </w:p>
    <w:p>
      <w:pPr>
        <w:spacing w:after="120" w:line="276" w:lineRule="auto"/>
      </w:pPr>
      <w:r>
        <w:rPr>
          <w:rFonts w:ascii="Calibri" w:hAnsi="Calibri"/>
          <w:color w:val="374151"/>
          <w:sz w:val="21"/>
        </w:rPr>
        <w:t>Existing commercial task managers operate on shared multi-tenant database clusters where query scoping is often handled informally in application-layer controllers. Furthermore, estimation in existing tools is purely manual, with zero empirical verification against historical industry data. The proposed system introduces a decoupled 3-tier architecture: (1) A modern Next.js 16 App Router presentation layer, (2) A hardened Node.js/Express REST gateway enforcing multi-tenant isolation and quality gatekeeping, and (3) A dedicated FastAPI Python microservice executing asynchronous machine learning inference.</w:t>
      </w:r>
    </w:p>
    <w:p>
      <w:pPr>
        <w:pStyle w:val="Heading2"/>
        <w:keepNext/>
        <w:spacing w:before="280" w:after="120"/>
      </w:pPr>
      <w:r>
        <w:rPr>
          <w:rFonts w:ascii="Calibri" w:hAnsi="Calibri"/>
          <w:b/>
          <w:color w:val="2C5E8A"/>
          <w:sz w:val="27"/>
        </w:rPr>
        <w:t>4.2 High-Level Architecture &amp; Communication Protocols</w:t>
      </w:r>
    </w:p>
    <w:p>
      <w:pPr>
        <w:spacing w:after="120" w:line="276" w:lineRule="auto"/>
      </w:pPr>
      <w:r>
        <w:rPr>
          <w:rFonts w:ascii="Calibri" w:hAnsi="Calibri"/>
          <w:color w:val="374151"/>
          <w:sz w:val="21"/>
        </w:rPr>
        <w:t>Client requests communicate with the Express gateway over HTTPS/REST using JSON payloads and cryptographically signed Bearer JWT tokens. When schedule forecasts or task effort estimates are required, the Express gateway dispatches internal Remote Procedure Calls (RPC) to the FastAPI microservice. To eliminate unauthorized internal access, RPC traffic is authenticated using a shared mutual secret header (X-Internal-Token). All database transactions are committed to a localized MongoDB replica cluster using Mongoose schemas.</w:t>
      </w:r>
    </w:p>
    <w:p>
      <w:pPr>
        <w:pStyle w:val="Heading2"/>
        <w:keepNext/>
        <w:spacing w:before="280" w:after="120"/>
      </w:pPr>
      <w:r>
        <w:rPr>
          <w:rFonts w:ascii="Calibri" w:hAnsi="Calibri"/>
          <w:b/>
          <w:color w:val="2C5E8A"/>
          <w:sz w:val="27"/>
        </w:rPr>
        <w:t>4.3 Use Case Modeling &amp; Role-Based Access Control (RBAC)</w:t>
      </w:r>
    </w:p>
    <w:p>
      <w:pPr>
        <w:spacing w:after="120" w:line="276" w:lineRule="auto"/>
      </w:pPr>
      <w:r>
        <w:rPr>
          <w:rFonts w:ascii="Calibri" w:hAnsi="Calibri"/>
          <w:color w:val="374151"/>
          <w:sz w:val="21"/>
        </w:rPr>
        <w:t>The system enforces four distinct organizational personas: (1) SuperAdmin: Platform-wide tenant governance, organization suspension, and audit inspection. (2) Admin: Organization administrator, user invitations, project creation, and team allocation. (3) Project Manager: Sprint creation, milestone tracking, What-If schedule simulation, and task review approval/rejection. (4) Member (Engineer): Task execution, status progression up to 'review', and self-service organization creation.</w:t>
      </w:r>
    </w:p>
    <w:p>
      <w:pPr>
        <w:pStyle w:val="Heading2"/>
        <w:keepNext/>
        <w:spacing w:before="280" w:after="120"/>
      </w:pPr>
      <w:r>
        <w:rPr>
          <w:rFonts w:ascii="Calibri" w:hAnsi="Calibri"/>
          <w:b/>
          <w:color w:val="2C5E8A"/>
          <w:sz w:val="27"/>
        </w:rPr>
        <w:t>4.4 Database Design &amp; Entity Relationship Specifications</w:t>
      </w:r>
    </w:p>
    <w:p>
      <w:pPr>
        <w:spacing w:after="120" w:line="276" w:lineRule="auto"/>
      </w:pPr>
      <w:r>
        <w:rPr>
          <w:rFonts w:ascii="Calibri" w:hAnsi="Calibri"/>
          <w:color w:val="374151"/>
          <w:sz w:val="21"/>
        </w:rPr>
        <w:t>The database architecture consists of six normalized Mongoose collections: Organization (tenancy root, plan, status), User (authentication, role, active organization, memberships array), Team (organization-scoped member groupings), Project (work packages, planned duration, target delivery), Task (story points, complexity, status, assigned engineer, estimated hours), and AuditLog (immutable security event ledger).</w:t>
      </w:r>
    </w:p>
    <w:p>
      <w:pPr>
        <w:pStyle w:val="Heading2"/>
        <w:keepNext/>
        <w:spacing w:before="280" w:after="120"/>
      </w:pPr>
      <w:r>
        <w:rPr>
          <w:rFonts w:ascii="Calibri" w:hAnsi="Calibri"/>
          <w:b/>
          <w:color w:val="2C5E8A"/>
          <w:sz w:val="27"/>
        </w:rPr>
        <w:t>4.5 Security Architecture &amp; Zero-Trust Tenant Isolation</w:t>
      </w:r>
    </w:p>
    <w:p>
      <w:pPr>
        <w:spacing w:after="120" w:line="276" w:lineRule="auto"/>
      </w:pPr>
      <w:r>
        <w:rPr>
          <w:rFonts w:ascii="Calibri" w:hAnsi="Calibri"/>
          <w:color w:val="374151"/>
          <w:sz w:val="21"/>
        </w:rPr>
        <w:t>To guarantee complete protection against Insecure Direct Object References (IDOR), the system implements an ORM-level scoping pattern. The tenantScope middleware inspects the cryptographically validated JWT access token and populates req.tenantFilter = { organization: req.user.organization }. Application controllers never accept an organization_id from client request bodies or query parameters. All Mongoose queries pass through the withTenantScope helper function, ensuring that every find, update, or delete operation is strictly constrained to the authenticated organization.</w:t>
      </w:r>
    </w:p>
    <w:p>
      <w:pPr>
        <w:pStyle w:val="Heading2"/>
        <w:keepNext/>
        <w:spacing w:before="280" w:after="120"/>
      </w:pPr>
      <w:r>
        <w:rPr>
          <w:rFonts w:ascii="Calibri" w:hAnsi="Calibri"/>
          <w:b/>
          <w:color w:val="2C5E8A"/>
          <w:sz w:val="27"/>
        </w:rPr>
        <w:t>4.6 STRIDE Threat Modeling &amp; Vulnerability Countermeasures</w:t>
      </w:r>
    </w:p>
    <w:p>
      <w:pPr>
        <w:spacing w:after="120" w:line="276" w:lineRule="auto"/>
      </w:pPr>
      <w:r>
        <w:rPr>
          <w:rFonts w:ascii="Calibri" w:hAnsi="Calibri"/>
          <w:color w:val="374151"/>
          <w:sz w:val="21"/>
        </w:rPr>
        <w:t>A formal STRIDE threat evaluation was executed across the architectural boundaries:</w:t>
      </w:r>
    </w:p>
    <w:p>
      <w:pPr>
        <w:pStyle w:val="ListBullet"/>
        <w:spacing w:after="60" w:line="276" w:lineRule="auto"/>
      </w:pPr>
      <w:r>
        <w:rPr>
          <w:rFonts w:ascii="Calibri" w:hAnsi="Calibri"/>
          <w:b/>
          <w:color w:val="111827"/>
          <w:sz w:val="20"/>
        </w:rPr>
        <w:t xml:space="preserve">Spoofing Identity: </w:t>
      </w:r>
      <w:r>
        <w:rPr>
          <w:rFonts w:ascii="Calibri" w:hAnsi="Calibri"/>
          <w:color w:val="374151"/>
          <w:sz w:val="20"/>
        </w:rPr>
        <w:t>Mitigated by bcryptjs password hashing (10 rounds) and short-lived signed JWT access tokens.</w:t>
      </w:r>
    </w:p>
    <w:p>
      <w:pPr>
        <w:pStyle w:val="ListBullet"/>
        <w:spacing w:after="60" w:line="276" w:lineRule="auto"/>
      </w:pPr>
      <w:r>
        <w:rPr>
          <w:rFonts w:ascii="Calibri" w:hAnsi="Calibri"/>
          <w:b/>
          <w:color w:val="111827"/>
          <w:sz w:val="20"/>
        </w:rPr>
        <w:t xml:space="preserve">Tampering with Data: </w:t>
      </w:r>
      <w:r>
        <w:rPr>
          <w:rFonts w:ascii="Calibri" w:hAnsi="Calibri"/>
          <w:color w:val="374151"/>
          <w:sz w:val="20"/>
        </w:rPr>
        <w:t>Mitigated by express-mongo-sanitize, stripping malicious NoSQL operators ($gt, $ne) from request bodies.</w:t>
      </w:r>
    </w:p>
    <w:p>
      <w:pPr>
        <w:pStyle w:val="ListBullet"/>
        <w:spacing w:after="60" w:line="276" w:lineRule="auto"/>
      </w:pPr>
      <w:r>
        <w:rPr>
          <w:rFonts w:ascii="Calibri" w:hAnsi="Calibri"/>
          <w:b/>
          <w:color w:val="111827"/>
          <w:sz w:val="20"/>
        </w:rPr>
        <w:t xml:space="preserve">Repudiation: </w:t>
      </w:r>
      <w:r>
        <w:rPr>
          <w:rFonts w:ascii="Calibri" w:hAnsi="Calibri"/>
          <w:color w:val="374151"/>
          <w:sz w:val="20"/>
        </w:rPr>
        <w:t>Mitigated by append-only AuditLog collection capturing actor ID, action, resource, IP address, and timestamp.</w:t>
      </w:r>
    </w:p>
    <w:p>
      <w:pPr>
        <w:pStyle w:val="ListBullet"/>
        <w:spacing w:after="60" w:line="276" w:lineRule="auto"/>
      </w:pPr>
      <w:r>
        <w:rPr>
          <w:rFonts w:ascii="Calibri" w:hAnsi="Calibri"/>
          <w:b/>
          <w:color w:val="111827"/>
          <w:sz w:val="20"/>
        </w:rPr>
        <w:t xml:space="preserve">Information Disclosure: </w:t>
      </w:r>
      <w:r>
        <w:rPr>
          <w:rFonts w:ascii="Calibri" w:hAnsi="Calibri"/>
          <w:color w:val="374151"/>
          <w:sz w:val="20"/>
        </w:rPr>
        <w:t>Mitigated by ORM withTenantScope wrapper, eliminating cross-tenant project or task leaks (IDOR).</w:t>
      </w:r>
    </w:p>
    <w:p>
      <w:pPr>
        <w:pStyle w:val="ListBullet"/>
        <w:spacing w:after="60" w:line="276" w:lineRule="auto"/>
      </w:pPr>
      <w:r>
        <w:rPr>
          <w:rFonts w:ascii="Calibri" w:hAnsi="Calibri"/>
          <w:b/>
          <w:color w:val="111827"/>
          <w:sz w:val="20"/>
        </w:rPr>
        <w:t xml:space="preserve">Denial of Service: </w:t>
      </w:r>
      <w:r>
        <w:rPr>
          <w:rFonts w:ascii="Calibri" w:hAnsi="Calibri"/>
          <w:color w:val="374151"/>
          <w:sz w:val="20"/>
        </w:rPr>
        <w:t>Mitigated by express-rate-limit (15 req/15 min on auth, 150 req/15 min on API) and 10kb JSON payload limits.</w:t>
      </w:r>
    </w:p>
    <w:p>
      <w:pPr>
        <w:pStyle w:val="ListBullet"/>
        <w:spacing w:after="60" w:line="276" w:lineRule="auto"/>
      </w:pPr>
      <w:r>
        <w:rPr>
          <w:rFonts w:ascii="Calibri" w:hAnsi="Calibri"/>
          <w:b/>
          <w:color w:val="111827"/>
          <w:sz w:val="20"/>
        </w:rPr>
        <w:t xml:space="preserve">Elevation of Privilege: </w:t>
      </w:r>
      <w:r>
        <w:rPr>
          <w:rFonts w:ascii="Calibri" w:hAnsi="Calibri"/>
          <w:color w:val="374151"/>
          <w:sz w:val="20"/>
        </w:rPr>
        <w:t>Mitigated by strict authorize('admin', 'manager') RBAC middleware and Quality Review Gatekeeping.</w:t>
      </w:r>
    </w:p>
    <w:p>
      <w:r>
        <w:br w:type="page"/>
      </w:r>
    </w:p>
    <w:p>
      <w:pPr>
        <w:pStyle w:val="Heading1"/>
        <w:keepNext/>
        <w:spacing w:before="360" w:after="160"/>
      </w:pPr>
      <w:r>
        <w:rPr>
          <w:rFonts w:ascii="Calibri" w:hAnsi="Calibri"/>
          <w:b/>
          <w:color w:val="1B365D"/>
          <w:sz w:val="36"/>
        </w:rPr>
        <w:t>Chapter Five — AI/ML and Software Implementation</w:t>
      </w:r>
    </w:p>
    <w:p>
      <w:pPr>
        <w:pStyle w:val="Heading2"/>
        <w:keepNext/>
        <w:spacing w:before="280" w:after="120"/>
      </w:pPr>
      <w:r>
        <w:rPr>
          <w:rFonts w:ascii="Calibri" w:hAnsi="Calibri"/>
          <w:b/>
          <w:color w:val="2C5E8A"/>
          <w:sz w:val="27"/>
        </w:rPr>
        <w:t>5.1 Benchmark Datasets &amp; Academic Provenance</w:t>
      </w:r>
    </w:p>
    <w:p>
      <w:pPr>
        <w:spacing w:after="120" w:line="276" w:lineRule="auto"/>
      </w:pPr>
      <w:r>
        <w:rPr>
          <w:rFonts w:ascii="Calibri" w:hAnsi="Calibri"/>
          <w:color w:val="374151"/>
          <w:sz w:val="21"/>
        </w:rPr>
        <w:t>The machine learning subsystem is trained on empirical, industry-standard software metrics repositories. The primary schedule benchmarking dataset is the PROMISE China Software Benchmarking Dataset (N=499 commercial software engineering projects). The dataset captures functional size metrics (Input, Output, Enquiry, File, Interface), total Adjusted Function Points (AFP), team resource allocations, and actual project duration in months. Effort modeling at the task level utilizes the historical Desharnais dataset (N=81 projects), recording team experience, project complexity, and total engineering person-hours.</w:t>
      </w:r>
    </w:p>
    <w:p>
      <w:pPr>
        <w:spacing w:before="160" w:after="40"/>
        <w:jc w:val="center"/>
      </w:pPr>
      <w:r>
        <w:drawing>
          <wp:inline xmlns:a="http://schemas.openxmlformats.org/drawingml/2006/main" xmlns:pic="http://schemas.openxmlformats.org/drawingml/2006/picture">
            <wp:extent cx="5303520" cy="4242816"/>
            <wp:docPr id="1" name="Picture 1"/>
            <wp:cNvGraphicFramePr>
              <a:graphicFrameLocks noChangeAspect="1"/>
            </wp:cNvGraphicFramePr>
            <a:graphic>
              <a:graphicData uri="http://schemas.openxmlformats.org/drawingml/2006/picture">
                <pic:pic>
                  <pic:nvPicPr>
                    <pic:cNvPr id="0" name="eda_correlation_heatmap.png"/>
                    <pic:cNvPicPr/>
                  </pic:nvPicPr>
                  <pic:blipFill>
                    <a:blip r:embed="rId9"/>
                    <a:stretch>
                      <a:fillRect/>
                    </a:stretch>
                  </pic:blipFill>
                  <pic:spPr>
                    <a:xfrm>
                      <a:off x="0" y="0"/>
                      <a:ext cx="5303520" cy="4242816"/>
                    </a:xfrm>
                    <a:prstGeom prst="rect"/>
                  </pic:spPr>
                </pic:pic>
              </a:graphicData>
            </a:graphic>
          </wp:inline>
        </w:drawing>
      </w:r>
    </w:p>
    <w:p>
      <w:pPr>
        <w:spacing w:after="200"/>
        <w:jc w:val="center"/>
      </w:pPr>
      <w:r>
        <w:rPr>
          <w:rFonts w:ascii="Calibri" w:hAnsi="Calibri"/>
          <w:i/>
          <w:color w:val="666666"/>
          <w:sz w:val="18"/>
        </w:rPr>
        <w:t>Figure: Correlation Heatmap across Empirical Software Engineering Features (PROMISE China Dataset)</w:t>
      </w:r>
    </w:p>
    <w:p>
      <w:pPr>
        <w:pStyle w:val="Heading2"/>
        <w:keepNext/>
        <w:spacing w:before="280" w:after="120"/>
      </w:pPr>
      <w:r>
        <w:rPr>
          <w:rFonts w:ascii="Calibri" w:hAnsi="Calibri"/>
          <w:b/>
          <w:color w:val="2C5E8A"/>
          <w:sz w:val="27"/>
        </w:rPr>
        <w:t>5.2 Preprocessing, Transformation &amp; Feature Engineering</w:t>
      </w:r>
    </w:p>
    <w:p>
      <w:pPr>
        <w:spacing w:after="120" w:line="276" w:lineRule="auto"/>
      </w:pPr>
      <w:r>
        <w:rPr>
          <w:rFonts w:ascii="Calibri" w:hAnsi="Calibri"/>
          <w:color w:val="374151"/>
          <w:sz w:val="21"/>
        </w:rPr>
        <w:t>Data preprocessing executed four sequential transformations: (1) Median imputation for missing functional transactions, (2) Removal of negative and zero duration outliers, (3) Robust feature scaling, and (4) Domain feature engineering. Agile Story Points are transformed into Adjusted Function Points (AFP) using the calibrated multiplier: AFP = StoryPoints * ComplexityMultiplier * 4.0, where complexity multipliers are parameterized as Low = 0.75, Medium = 1.0, High = 1.45. To account for team scale, effective capacity is scaled according to Brooks's Law: EffectiveCapacity = (TeamSize / 2.5)^0.45.</w:t>
      </w:r>
    </w:p>
    <w:p>
      <w:pPr>
        <w:spacing w:before="160" w:after="40"/>
        <w:jc w:val="center"/>
      </w:pPr>
      <w:r>
        <w:drawing>
          <wp:inline xmlns:a="http://schemas.openxmlformats.org/drawingml/2006/main" xmlns:pic="http://schemas.openxmlformats.org/drawingml/2006/picture">
            <wp:extent cx="5303520" cy="1894114"/>
            <wp:docPr id="2" name="Picture 2"/>
            <wp:cNvGraphicFramePr>
              <a:graphicFrameLocks noChangeAspect="1"/>
            </wp:cNvGraphicFramePr>
            <a:graphic>
              <a:graphicData uri="http://schemas.openxmlformats.org/drawingml/2006/picture">
                <pic:pic>
                  <pic:nvPicPr>
                    <pic:cNvPr id="0" name="eda_effort_distribution.png"/>
                    <pic:cNvPicPr/>
                  </pic:nvPicPr>
                  <pic:blipFill>
                    <a:blip r:embed="rId10"/>
                    <a:stretch>
                      <a:fillRect/>
                    </a:stretch>
                  </pic:blipFill>
                  <pic:spPr>
                    <a:xfrm>
                      <a:off x="0" y="0"/>
                      <a:ext cx="5303520" cy="1894114"/>
                    </a:xfrm>
                    <a:prstGeom prst="rect"/>
                  </pic:spPr>
                </pic:pic>
              </a:graphicData>
            </a:graphic>
          </wp:inline>
        </w:drawing>
      </w:r>
    </w:p>
    <w:p>
      <w:pPr>
        <w:spacing w:after="200"/>
        <w:jc w:val="center"/>
      </w:pPr>
      <w:r>
        <w:rPr>
          <w:rFonts w:ascii="Calibri" w:hAnsi="Calibri"/>
          <w:i/>
          <w:color w:val="666666"/>
          <w:sz w:val="18"/>
        </w:rPr>
        <w:t>Figure: Distribution of Actual Effort and Duration across Empirical Benchmark Projects</w:t>
      </w:r>
    </w:p>
    <w:p>
      <w:pPr>
        <w:spacing w:before="160" w:after="40"/>
        <w:jc w:val="center"/>
      </w:pPr>
      <w:r>
        <w:drawing>
          <wp:inline xmlns:a="http://schemas.openxmlformats.org/drawingml/2006/main" xmlns:pic="http://schemas.openxmlformats.org/drawingml/2006/picture">
            <wp:extent cx="5303520" cy="3977640"/>
            <wp:docPr id="3" name="Picture 3"/>
            <wp:cNvGraphicFramePr>
              <a:graphicFrameLocks noChangeAspect="1"/>
            </wp:cNvGraphicFramePr>
            <a:graphic>
              <a:graphicData uri="http://schemas.openxmlformats.org/drawingml/2006/picture">
                <pic:pic>
                  <pic:nvPicPr>
                    <pic:cNvPr id="0" name="eda_points_vs_effort.png"/>
                    <pic:cNvPicPr/>
                  </pic:nvPicPr>
                  <pic:blipFill>
                    <a:blip r:embed="rId11"/>
                    <a:stretch>
                      <a:fillRect/>
                    </a:stretch>
                  </pic:blipFill>
                  <pic:spPr>
                    <a:xfrm>
                      <a:off x="0" y="0"/>
                      <a:ext cx="5303520" cy="3977640"/>
                    </a:xfrm>
                    <a:prstGeom prst="rect"/>
                  </pic:spPr>
                </pic:pic>
              </a:graphicData>
            </a:graphic>
          </wp:inline>
        </w:drawing>
      </w:r>
    </w:p>
    <w:p>
      <w:pPr>
        <w:spacing w:after="200"/>
        <w:jc w:val="center"/>
      </w:pPr>
      <w:r>
        <w:rPr>
          <w:rFonts w:ascii="Calibri" w:hAnsi="Calibri"/>
          <w:i/>
          <w:color w:val="666666"/>
          <w:sz w:val="18"/>
        </w:rPr>
        <w:t>Figure: Functional Size Points vs Actual Project Effort showing Sublinear Scaling</w:t>
      </w:r>
    </w:p>
    <w:p>
      <w:pPr>
        <w:pStyle w:val="Heading2"/>
        <w:keepNext/>
        <w:spacing w:before="280" w:after="120"/>
      </w:pPr>
      <w:r>
        <w:rPr>
          <w:rFonts w:ascii="Calibri" w:hAnsi="Calibri"/>
          <w:b/>
          <w:color w:val="2C5E8A"/>
          <w:sz w:val="27"/>
        </w:rPr>
        <w:t>5.3 Machine Learning Model Development &amp; Training</w:t>
      </w:r>
    </w:p>
    <w:p>
      <w:pPr>
        <w:spacing w:after="120" w:line="276" w:lineRule="auto"/>
      </w:pPr>
      <w:r>
        <w:rPr>
          <w:rFonts w:ascii="Calibri" w:hAnsi="Calibri"/>
          <w:color w:val="374151"/>
          <w:sz w:val="21"/>
        </w:rPr>
        <w:t>The predictive architecture employs three specialized machine learning models:</w:t>
      </w:r>
    </w:p>
    <w:p>
      <w:pPr>
        <w:pStyle w:val="ListBullet"/>
        <w:spacing w:after="60" w:line="276" w:lineRule="auto"/>
      </w:pPr>
      <w:r>
        <w:rPr>
          <w:rFonts w:ascii="Calibri" w:hAnsi="Calibri"/>
          <w:b/>
          <w:color w:val="111827"/>
          <w:sz w:val="20"/>
        </w:rPr>
        <w:t xml:space="preserve">Model 1 (Schedule Adherence Classifier): </w:t>
      </w:r>
      <w:r>
        <w:rPr>
          <w:rFonts w:ascii="Calibri" w:hAnsi="Calibri"/>
          <w:color w:val="374151"/>
          <w:sz w:val="20"/>
        </w:rPr>
        <w:t>RandomForestClassifier(n_estimators=120, max_depth=8, random_state=42). Predicts binary schedule completion status ('On-Time' vs 'Delayed') and calibrated probability percentage.</w:t>
      </w:r>
    </w:p>
    <w:p>
      <w:pPr>
        <w:pStyle w:val="ListBullet"/>
        <w:spacing w:after="60" w:line="276" w:lineRule="auto"/>
      </w:pPr>
      <w:r>
        <w:rPr>
          <w:rFonts w:ascii="Calibri" w:hAnsi="Calibri"/>
          <w:b/>
          <w:color w:val="111827"/>
          <w:sz w:val="20"/>
        </w:rPr>
        <w:t xml:space="preserve">Model 2 (Empirical Duration Regressor): </w:t>
      </w:r>
      <w:r>
        <w:rPr>
          <w:rFonts w:ascii="Calibri" w:hAnsi="Calibri"/>
          <w:color w:val="374151"/>
          <w:sz w:val="20"/>
        </w:rPr>
        <w:t>RandomForestRegressor(n_estimators=100, max_depth=10, random_state=42). Predicts expected project calendar duration in months and weeks.</w:t>
      </w:r>
    </w:p>
    <w:p>
      <w:pPr>
        <w:pStyle w:val="ListBullet"/>
        <w:spacing w:after="60" w:line="276" w:lineRule="auto"/>
      </w:pPr>
      <w:r>
        <w:rPr>
          <w:rFonts w:ascii="Calibri" w:hAnsi="Calibri"/>
          <w:b/>
          <w:color w:val="111827"/>
          <w:sz w:val="20"/>
        </w:rPr>
        <w:t xml:space="preserve">Model 3 (Task Effort Regressor): </w:t>
      </w:r>
      <w:r>
        <w:rPr>
          <w:rFonts w:ascii="Calibri" w:hAnsi="Calibri"/>
          <w:color w:val="374151"/>
          <w:sz w:val="20"/>
        </w:rPr>
        <w:t>DecisionTreeRegressor(max_depth=5, min_samples_split=4). Predicts individual task effort in person-hours embedded in the task creation modal.</w:t>
      </w:r>
    </w:p>
    <w:p>
      <w:pPr>
        <w:spacing w:before="160" w:after="40"/>
        <w:jc w:val="center"/>
      </w:pPr>
      <w:r>
        <w:drawing>
          <wp:inline xmlns:a="http://schemas.openxmlformats.org/drawingml/2006/main" xmlns:pic="http://schemas.openxmlformats.org/drawingml/2006/picture">
            <wp:extent cx="5303520" cy="3182112"/>
            <wp:docPr id="4" name="Picture 4"/>
            <wp:cNvGraphicFramePr>
              <a:graphicFrameLocks noChangeAspect="1"/>
            </wp:cNvGraphicFramePr>
            <a:graphic>
              <a:graphicData uri="http://schemas.openxmlformats.org/drawingml/2006/picture">
                <pic:pic>
                  <pic:nvPicPr>
                    <pic:cNvPr id="0" name="model_feature_importance.png"/>
                    <pic:cNvPicPr/>
                  </pic:nvPicPr>
                  <pic:blipFill>
                    <a:blip r:embed="rId12"/>
                    <a:stretch>
                      <a:fillRect/>
                    </a:stretch>
                  </pic:blipFill>
                  <pic:spPr>
                    <a:xfrm>
                      <a:off x="0" y="0"/>
                      <a:ext cx="5303520" cy="3182112"/>
                    </a:xfrm>
                    <a:prstGeom prst="rect"/>
                  </pic:spPr>
                </pic:pic>
              </a:graphicData>
            </a:graphic>
          </wp:inline>
        </w:drawing>
      </w:r>
    </w:p>
    <w:p>
      <w:pPr>
        <w:spacing w:after="200"/>
        <w:jc w:val="center"/>
      </w:pPr>
      <w:r>
        <w:rPr>
          <w:rFonts w:ascii="Calibri" w:hAnsi="Calibri"/>
          <w:i/>
          <w:color w:val="666666"/>
          <w:sz w:val="18"/>
        </w:rPr>
        <w:t>Figure: Random Forest Feature Importance Ranking for Software Schedule Prediction</w:t>
      </w:r>
    </w:p>
    <w:p>
      <w:pPr>
        <w:spacing w:before="160" w:after="40"/>
        <w:jc w:val="center"/>
      </w:pPr>
      <w:r>
        <w:drawing>
          <wp:inline xmlns:a="http://schemas.openxmlformats.org/drawingml/2006/main" xmlns:pic="http://schemas.openxmlformats.org/drawingml/2006/picture">
            <wp:extent cx="5303520" cy="3977640"/>
            <wp:docPr id="5" name="Picture 5"/>
            <wp:cNvGraphicFramePr>
              <a:graphicFrameLocks noChangeAspect="1"/>
            </wp:cNvGraphicFramePr>
            <a:graphic>
              <a:graphicData uri="http://schemas.openxmlformats.org/drawingml/2006/picture">
                <pic:pic>
                  <pic:nvPicPr>
                    <pic:cNvPr id="0" name="model_actual_vs_predicted.png"/>
                    <pic:cNvPicPr/>
                  </pic:nvPicPr>
                  <pic:blipFill>
                    <a:blip r:embed="rId13"/>
                    <a:stretch>
                      <a:fillRect/>
                    </a:stretch>
                  </pic:blipFill>
                  <pic:spPr>
                    <a:xfrm>
                      <a:off x="0" y="0"/>
                      <a:ext cx="5303520" cy="3977640"/>
                    </a:xfrm>
                    <a:prstGeom prst="rect"/>
                  </pic:spPr>
                </pic:pic>
              </a:graphicData>
            </a:graphic>
          </wp:inline>
        </w:drawing>
      </w:r>
    </w:p>
    <w:p>
      <w:pPr>
        <w:spacing w:after="200"/>
        <w:jc w:val="center"/>
      </w:pPr>
      <w:r>
        <w:rPr>
          <w:rFonts w:ascii="Calibri" w:hAnsi="Calibri"/>
          <w:i/>
          <w:color w:val="666666"/>
          <w:sz w:val="18"/>
        </w:rPr>
        <w:t>Figure: Empirical Validation: Actual vs Predicted Project Durations</w:t>
      </w:r>
    </w:p>
    <w:p>
      <w:pPr>
        <w:pStyle w:val="Heading2"/>
        <w:keepNext/>
        <w:spacing w:before="280" w:after="120"/>
      </w:pPr>
      <w:r>
        <w:rPr>
          <w:rFonts w:ascii="Calibri" w:hAnsi="Calibri"/>
          <w:b/>
          <w:color w:val="2C5E8A"/>
          <w:sz w:val="27"/>
        </w:rPr>
        <w:t>5.4 Vectorized Monte Carlo Simulation Engine</w:t>
      </w:r>
    </w:p>
    <w:p>
      <w:pPr>
        <w:spacing w:after="120" w:line="276" w:lineRule="auto"/>
      </w:pPr>
      <w:r>
        <w:rPr>
          <w:rFonts w:ascii="Calibri" w:hAnsi="Calibri"/>
          <w:color w:val="374151"/>
          <w:sz w:val="21"/>
        </w:rPr>
        <w:t>To account for the inherent stochasticity of software execution, the FastAPI service incorporates a vectorized NumPy Monte Carlo simulator. The engine executes 10,000 simulated project completions, sampling from historical weekly throughput distributions. The output provides probabilistic confidence percentiles: P50 (Median expectation, 50% probability), P80 (Realistic project target, 80% confidence), and P95 (Conservative high-certainty commitment).</w:t>
      </w:r>
    </w:p>
    <w:p>
      <w:pPr>
        <w:pStyle w:val="Heading2"/>
        <w:keepNext/>
        <w:spacing w:before="280" w:after="120"/>
      </w:pPr>
      <w:r>
        <w:rPr>
          <w:rFonts w:ascii="Calibri" w:hAnsi="Calibri"/>
          <w:b/>
          <w:color w:val="2C5E8A"/>
          <w:sz w:val="27"/>
        </w:rPr>
        <w:t>5.5 Full-Stack Software Implementation</w:t>
      </w:r>
    </w:p>
    <w:p>
      <w:pPr>
        <w:spacing w:after="120" w:line="276" w:lineRule="auto"/>
      </w:pPr>
      <w:r>
        <w:rPr>
          <w:rFonts w:ascii="Calibri" w:hAnsi="Calibri"/>
          <w:color w:val="374151"/>
          <w:sz w:val="21"/>
        </w:rPr>
        <w:t>The software implementation spans three integrated tiers: (1) The frontend client is implemented using the Next.js 16 App Router and Tailwind CSS, featuring interactive Kanban boards, multi-workspace switching, and a live What-If scenario stepper. (2) The backend gateway is built on Node.js and Express (ESM modules), providing secure REST controllers, token-based authentication, and Mongoose ORM models. (3) The ML microservice is built on FastAPI and Uvicorn, exposing asynchronous predictive endpoints protected by the X-Internal-Token header.</w:t>
      </w:r>
    </w:p>
    <w:p>
      <w:pPr>
        <w:pStyle w:val="Heading2"/>
        <w:keepNext/>
        <w:spacing w:before="280" w:after="120"/>
      </w:pPr>
      <w:r>
        <w:rPr>
          <w:rFonts w:ascii="Calibri" w:hAnsi="Calibri"/>
          <w:b/>
          <w:color w:val="2C5E8A"/>
          <w:sz w:val="27"/>
        </w:rPr>
        <w:t>5.6 Implementation of Quality Review Gatekeeping</w:t>
      </w:r>
    </w:p>
    <w:p>
      <w:pPr>
        <w:spacing w:after="120" w:line="276" w:lineRule="auto"/>
      </w:pPr>
      <w:r>
        <w:rPr>
          <w:rFonts w:ascii="Calibri" w:hAnsi="Calibri"/>
          <w:color w:val="374151"/>
          <w:sz w:val="21"/>
        </w:rPr>
        <w:t>Quality Review Gatekeeping is implemented directly within server/controllers/taskController.js. When an engineer with the 'member' role attempts to mark a task as 'done', the controller intercepts the mutation: if (task.status === 'review' &amp;&amp; req.body.status === 'done' &amp;&amp; !['admin', 'manager', 'superadmin'].includes(req.user.role)) return res.status(403).json({ success: false, error: 'Quality Gatekeeping Violation: Only Project Managers or Admins can approve a task from review to completed status.' }).</w:t>
      </w:r>
    </w:p>
    <w:p>
      <w:r>
        <w:br w:type="page"/>
      </w:r>
    </w:p>
    <w:p>
      <w:pPr>
        <w:pStyle w:val="Heading1"/>
        <w:keepNext/>
        <w:spacing w:before="360" w:after="160"/>
      </w:pPr>
      <w:r>
        <w:rPr>
          <w:rFonts w:ascii="Calibri" w:hAnsi="Calibri"/>
          <w:b/>
          <w:color w:val="1B365D"/>
          <w:sz w:val="36"/>
        </w:rPr>
        <w:t>Chapter Six — Testing, Quality &amp; Security</w:t>
      </w:r>
    </w:p>
    <w:p>
      <w:pPr>
        <w:pStyle w:val="Heading2"/>
        <w:keepNext/>
        <w:spacing w:before="280" w:after="120"/>
      </w:pPr>
      <w:r>
        <w:rPr>
          <w:rFonts w:ascii="Calibri" w:hAnsi="Calibri"/>
          <w:b/>
          <w:color w:val="2C5E8A"/>
          <w:sz w:val="27"/>
        </w:rPr>
        <w:t>6.1 Testing Strategy &amp; Test Pyramid</w:t>
      </w:r>
    </w:p>
    <w:p>
      <w:pPr>
        <w:spacing w:after="120" w:line="276" w:lineRule="auto"/>
      </w:pPr>
      <w:r>
        <w:rPr>
          <w:rFonts w:ascii="Calibri" w:hAnsi="Calibri"/>
          <w:color w:val="374151"/>
          <w:sz w:val="21"/>
        </w:rPr>
        <w:t>The verification strategy adhered strictly to the Test Pyramid philosophy, incorporating unit tests, integration tests, end-to-end security invariant suites, and machine learning statistical evaluation. Testing was divided into two automated test runners: Jest with Supertest for the Node.js backend gateway and Pytest for the FastAPI machine learning microservice.</w:t>
      </w:r>
    </w:p>
    <w:p>
      <w:pPr>
        <w:pStyle w:val="Heading2"/>
        <w:keepNext/>
        <w:spacing w:before="280" w:after="120"/>
      </w:pPr>
      <w:r>
        <w:rPr>
          <w:rFonts w:ascii="Calibri" w:hAnsi="Calibri"/>
          <w:b/>
          <w:color w:val="2C5E8A"/>
          <w:sz w:val="27"/>
        </w:rPr>
        <w:t>6.2 Automated Security Invariant Verification (100% Pass Rate)</w:t>
      </w:r>
    </w:p>
    <w:p>
      <w:pPr>
        <w:spacing w:after="120" w:line="276" w:lineRule="auto"/>
      </w:pPr>
      <w:r>
        <w:rPr>
          <w:rFonts w:ascii="Calibri" w:hAnsi="Calibri"/>
          <w:color w:val="374151"/>
          <w:sz w:val="21"/>
        </w:rPr>
        <w:t>A specialized security suite (tests/security.test.js) was constructed to enforce non-negotiable multi-tenant security invariants under simulated attack conditions: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1B365D"/>
            <w:tcMar>
              <w:top w:w="140" w:type="dxa"/>
              <w:bottom w:w="140" w:type="dxa"/>
              <w:left w:w="160" w:type="dxa"/>
              <w:right w:w="160" w:type="dxa"/>
            </w:tcMar>
          </w:tcPr>
          <w:p>
            <w:pPr>
              <w:jc w:val="left"/>
            </w:pPr>
            <w:r>
              <w:rPr>
                <w:rFonts w:ascii="Calibri" w:hAnsi="Calibri"/>
                <w:b/>
                <w:color w:val="FFFFFF"/>
                <w:sz w:val="19"/>
              </w:rPr>
              <w:t>Invariant Test</w:t>
            </w:r>
          </w:p>
        </w:tc>
        <w:tc>
          <w:tcPr>
            <w:tcW w:type="dxa" w:w="2340"/>
            <w:shd w:fill="1B365D"/>
            <w:tcMar>
              <w:top w:w="140" w:type="dxa"/>
              <w:bottom w:w="140" w:type="dxa"/>
              <w:left w:w="160" w:type="dxa"/>
              <w:right w:w="160" w:type="dxa"/>
            </w:tcMar>
          </w:tcPr>
          <w:p>
            <w:pPr>
              <w:jc w:val="left"/>
            </w:pPr>
            <w:r>
              <w:rPr>
                <w:rFonts w:ascii="Calibri" w:hAnsi="Calibri"/>
                <w:b/>
                <w:color w:val="FFFFFF"/>
                <w:sz w:val="19"/>
              </w:rPr>
              <w:t>Simulated Attack / Vector</w:t>
            </w:r>
          </w:p>
        </w:tc>
        <w:tc>
          <w:tcPr>
            <w:tcW w:type="dxa" w:w="2340"/>
            <w:shd w:fill="1B365D"/>
            <w:tcMar>
              <w:top w:w="140" w:type="dxa"/>
              <w:bottom w:w="140" w:type="dxa"/>
              <w:left w:w="160" w:type="dxa"/>
              <w:right w:w="160" w:type="dxa"/>
            </w:tcMar>
          </w:tcPr>
          <w:p>
            <w:pPr>
              <w:jc w:val="left"/>
            </w:pPr>
            <w:r>
              <w:rPr>
                <w:rFonts w:ascii="Calibri" w:hAnsi="Calibri"/>
                <w:b/>
                <w:color w:val="FFFFFF"/>
                <w:sz w:val="19"/>
              </w:rPr>
              <w:t>Expected Assertion</w:t>
            </w:r>
          </w:p>
        </w:tc>
        <w:tc>
          <w:tcPr>
            <w:tcW w:type="dxa" w:w="2340"/>
            <w:shd w:fill="1B365D"/>
            <w:tcMar>
              <w:top w:w="140" w:type="dxa"/>
              <w:bottom w:w="140" w:type="dxa"/>
              <w:left w:w="160" w:type="dxa"/>
              <w:right w:w="160" w:type="dxa"/>
            </w:tcMar>
          </w:tcPr>
          <w:p>
            <w:pPr>
              <w:jc w:val="left"/>
            </w:pPr>
            <w:r>
              <w:rPr>
                <w:rFonts w:ascii="Calibri" w:hAnsi="Calibri"/>
                <w:b/>
                <w:color w:val="FFFFFF"/>
                <w:sz w:val="19"/>
              </w:rPr>
              <w:t>Status</w:t>
            </w:r>
          </w:p>
        </w:tc>
      </w:tr>
      <w:tr>
        <w:tc>
          <w:tcPr>
            <w:tcW w:type="dxa" w:w="2340"/>
            <w:shd w:fill="F4F6F9"/>
            <w:tcMar>
              <w:top w:w="100" w:type="dxa"/>
              <w:bottom w:w="100" w:type="dxa"/>
              <w:left w:w="160" w:type="dxa"/>
              <w:right w:w="160" w:type="dxa"/>
            </w:tcMar>
          </w:tcPr>
          <w:p>
            <w:r>
              <w:rPr>
                <w:rFonts w:ascii="Calibri" w:hAnsi="Calibri"/>
                <w:color w:val="333333"/>
                <w:sz w:val="18"/>
              </w:rPr>
              <w:t>Invariant 1: Cross-Tenant Read</w:t>
            </w:r>
          </w:p>
        </w:tc>
        <w:tc>
          <w:tcPr>
            <w:tcW w:type="dxa" w:w="2340"/>
            <w:shd w:fill="F4F6F9"/>
            <w:tcMar>
              <w:top w:w="100" w:type="dxa"/>
              <w:bottom w:w="100" w:type="dxa"/>
              <w:left w:w="160" w:type="dxa"/>
              <w:right w:w="160" w:type="dxa"/>
            </w:tcMar>
          </w:tcPr>
          <w:p>
            <w:r>
              <w:rPr>
                <w:rFonts w:ascii="Calibri" w:hAnsi="Calibri"/>
                <w:color w:val="333333"/>
                <w:sz w:val="18"/>
              </w:rPr>
              <w:t>Tenant B token requests GET /api/projects/:tenantAId</w:t>
            </w:r>
          </w:p>
        </w:tc>
        <w:tc>
          <w:tcPr>
            <w:tcW w:type="dxa" w:w="2340"/>
            <w:shd w:fill="F4F6F9"/>
            <w:tcMar>
              <w:top w:w="100" w:type="dxa"/>
              <w:bottom w:w="100" w:type="dxa"/>
              <w:left w:w="160" w:type="dxa"/>
              <w:right w:w="160" w:type="dxa"/>
            </w:tcMar>
          </w:tcPr>
          <w:p>
            <w:r>
              <w:rPr>
                <w:rFonts w:ascii="Calibri" w:hAnsi="Calibri"/>
                <w:color w:val="333333"/>
                <w:sz w:val="18"/>
              </w:rPr>
              <w:t>404 Not Found (Zero Leakage)</w:t>
            </w:r>
          </w:p>
        </w:tc>
        <w:tc>
          <w:tcPr>
            <w:tcW w:type="dxa" w:w="2340"/>
            <w:shd w:fill="F4F6F9"/>
            <w:tcMar>
              <w:top w:w="100" w:type="dxa"/>
              <w:bottom w:w="100" w:type="dxa"/>
              <w:left w:w="160" w:type="dxa"/>
              <w:right w:w="160" w:type="dxa"/>
            </w:tcMar>
          </w:tcPr>
          <w:p>
            <w:r>
              <w:rPr>
                <w:rFonts w:ascii="Calibri" w:hAnsi="Calibri"/>
                <w:color w:val="333333"/>
                <w:sz w:val="18"/>
              </w:rPr>
              <w:t>PASSED (100%)</w:t>
            </w:r>
          </w:p>
        </w:tc>
      </w:tr>
      <w:tr>
        <w:tc>
          <w:tcPr>
            <w:tcW w:type="dxa" w:w="2340"/>
            <w:shd w:fill="FFFFFF"/>
            <w:tcMar>
              <w:top w:w="100" w:type="dxa"/>
              <w:bottom w:w="100" w:type="dxa"/>
              <w:left w:w="160" w:type="dxa"/>
              <w:right w:w="160" w:type="dxa"/>
            </w:tcMar>
          </w:tcPr>
          <w:p>
            <w:r>
              <w:rPr>
                <w:rFonts w:ascii="Calibri" w:hAnsi="Calibri"/>
                <w:color w:val="333333"/>
                <w:sz w:val="18"/>
              </w:rPr>
              <w:t>Invariant 2: Org ID Injection</w:t>
            </w:r>
          </w:p>
        </w:tc>
        <w:tc>
          <w:tcPr>
            <w:tcW w:type="dxa" w:w="2340"/>
            <w:shd w:fill="FFFFFF"/>
            <w:tcMar>
              <w:top w:w="100" w:type="dxa"/>
              <w:bottom w:w="100" w:type="dxa"/>
              <w:left w:w="160" w:type="dxa"/>
              <w:right w:w="160" w:type="dxa"/>
            </w:tcMar>
          </w:tcPr>
          <w:p>
            <w:r>
              <w:rPr>
                <w:rFonts w:ascii="Calibri" w:hAnsi="Calibri"/>
                <w:color w:val="333333"/>
                <w:sz w:val="18"/>
              </w:rPr>
              <w:t>Client supplies malicious organizationId in POST payload</w:t>
            </w:r>
          </w:p>
        </w:tc>
        <w:tc>
          <w:tcPr>
            <w:tcW w:type="dxa" w:w="2340"/>
            <w:shd w:fill="FFFFFF"/>
            <w:tcMar>
              <w:top w:w="100" w:type="dxa"/>
              <w:bottom w:w="100" w:type="dxa"/>
              <w:left w:w="160" w:type="dxa"/>
              <w:right w:w="160" w:type="dxa"/>
            </w:tcMar>
          </w:tcPr>
          <w:p>
            <w:r>
              <w:rPr>
                <w:rFonts w:ascii="Calibri" w:hAnsi="Calibri"/>
                <w:color w:val="333333"/>
                <w:sz w:val="18"/>
              </w:rPr>
              <w:t>Injected ID stripped; JWT org enforced</w:t>
            </w:r>
          </w:p>
        </w:tc>
        <w:tc>
          <w:tcPr>
            <w:tcW w:type="dxa" w:w="2340"/>
            <w:shd w:fill="FFFFFF"/>
            <w:tcMar>
              <w:top w:w="100" w:type="dxa"/>
              <w:bottom w:w="100" w:type="dxa"/>
              <w:left w:w="160" w:type="dxa"/>
              <w:right w:w="160" w:type="dxa"/>
            </w:tcMar>
          </w:tcPr>
          <w:p>
            <w:r>
              <w:rPr>
                <w:rFonts w:ascii="Calibri" w:hAnsi="Calibri"/>
                <w:color w:val="333333"/>
                <w:sz w:val="18"/>
              </w:rPr>
              <w:t>PASSED (100%)</w:t>
            </w:r>
          </w:p>
        </w:tc>
      </w:tr>
      <w:tr>
        <w:tc>
          <w:tcPr>
            <w:tcW w:type="dxa" w:w="2340"/>
            <w:shd w:fill="F4F6F9"/>
            <w:tcMar>
              <w:top w:w="100" w:type="dxa"/>
              <w:bottom w:w="100" w:type="dxa"/>
              <w:left w:w="160" w:type="dxa"/>
              <w:right w:w="160" w:type="dxa"/>
            </w:tcMar>
          </w:tcPr>
          <w:p>
            <w:r>
              <w:rPr>
                <w:rFonts w:ascii="Calibri" w:hAnsi="Calibri"/>
                <w:color w:val="333333"/>
                <w:sz w:val="18"/>
              </w:rPr>
              <w:t>Invariant 3: Task Boundaries</w:t>
            </w:r>
          </w:p>
        </w:tc>
        <w:tc>
          <w:tcPr>
            <w:tcW w:type="dxa" w:w="2340"/>
            <w:shd w:fill="F4F6F9"/>
            <w:tcMar>
              <w:top w:w="100" w:type="dxa"/>
              <w:bottom w:w="100" w:type="dxa"/>
              <w:left w:w="160" w:type="dxa"/>
              <w:right w:w="160" w:type="dxa"/>
            </w:tcMar>
          </w:tcPr>
          <w:p>
            <w:r>
              <w:rPr>
                <w:rFonts w:ascii="Calibri" w:hAnsi="Calibri"/>
                <w:color w:val="333333"/>
                <w:sz w:val="18"/>
              </w:rPr>
              <w:t>Tenant B queries task list belonging to Tenant A project</w:t>
            </w:r>
          </w:p>
        </w:tc>
        <w:tc>
          <w:tcPr>
            <w:tcW w:type="dxa" w:w="2340"/>
            <w:shd w:fill="F4F6F9"/>
            <w:tcMar>
              <w:top w:w="100" w:type="dxa"/>
              <w:bottom w:w="100" w:type="dxa"/>
              <w:left w:w="160" w:type="dxa"/>
              <w:right w:w="160" w:type="dxa"/>
            </w:tcMar>
          </w:tcPr>
          <w:p>
            <w:r>
              <w:rPr>
                <w:rFonts w:ascii="Calibri" w:hAnsi="Calibri"/>
                <w:color w:val="333333"/>
                <w:sz w:val="18"/>
              </w:rPr>
              <w:t>Empty set returned (404/Empty)</w:t>
            </w:r>
          </w:p>
        </w:tc>
        <w:tc>
          <w:tcPr>
            <w:tcW w:type="dxa" w:w="2340"/>
            <w:shd w:fill="F4F6F9"/>
            <w:tcMar>
              <w:top w:w="100" w:type="dxa"/>
              <w:bottom w:w="100" w:type="dxa"/>
              <w:left w:w="160" w:type="dxa"/>
              <w:right w:w="160" w:type="dxa"/>
            </w:tcMar>
          </w:tcPr>
          <w:p>
            <w:r>
              <w:rPr>
                <w:rFonts w:ascii="Calibri" w:hAnsi="Calibri"/>
                <w:color w:val="333333"/>
                <w:sz w:val="18"/>
              </w:rPr>
              <w:t>PASSED (100%)</w:t>
            </w:r>
          </w:p>
        </w:tc>
      </w:tr>
      <w:tr>
        <w:tc>
          <w:tcPr>
            <w:tcW w:type="dxa" w:w="2340"/>
            <w:shd w:fill="FFFFFF"/>
            <w:tcMar>
              <w:top w:w="100" w:type="dxa"/>
              <w:bottom w:w="100" w:type="dxa"/>
              <w:left w:w="160" w:type="dxa"/>
              <w:right w:w="160" w:type="dxa"/>
            </w:tcMar>
          </w:tcPr>
          <w:p>
            <w:r>
              <w:rPr>
                <w:rFonts w:ascii="Calibri" w:hAnsi="Calibri"/>
                <w:color w:val="333333"/>
                <w:sz w:val="18"/>
              </w:rPr>
              <w:t>Invariant 4: Cross-Tenant Deletion</w:t>
            </w:r>
          </w:p>
        </w:tc>
        <w:tc>
          <w:tcPr>
            <w:tcW w:type="dxa" w:w="2340"/>
            <w:shd w:fill="FFFFFF"/>
            <w:tcMar>
              <w:top w:w="100" w:type="dxa"/>
              <w:bottom w:w="100" w:type="dxa"/>
              <w:left w:w="160" w:type="dxa"/>
              <w:right w:w="160" w:type="dxa"/>
            </w:tcMar>
          </w:tcPr>
          <w:p>
            <w:r>
              <w:rPr>
                <w:rFonts w:ascii="Calibri" w:hAnsi="Calibri"/>
                <w:color w:val="333333"/>
                <w:sz w:val="18"/>
              </w:rPr>
              <w:t>Tenant B token dispatches DELETE /api/projects/:tenantAId</w:t>
            </w:r>
          </w:p>
        </w:tc>
        <w:tc>
          <w:tcPr>
            <w:tcW w:type="dxa" w:w="2340"/>
            <w:shd w:fill="FFFFFF"/>
            <w:tcMar>
              <w:top w:w="100" w:type="dxa"/>
              <w:bottom w:w="100" w:type="dxa"/>
              <w:left w:w="160" w:type="dxa"/>
              <w:right w:w="160" w:type="dxa"/>
            </w:tcMar>
          </w:tcPr>
          <w:p>
            <w:r>
              <w:rPr>
                <w:rFonts w:ascii="Calibri" w:hAnsi="Calibri"/>
                <w:color w:val="333333"/>
                <w:sz w:val="18"/>
              </w:rPr>
              <w:t>404 Not Found (Deletion blocked)</w:t>
            </w:r>
          </w:p>
        </w:tc>
        <w:tc>
          <w:tcPr>
            <w:tcW w:type="dxa" w:w="2340"/>
            <w:shd w:fill="FFFFFF"/>
            <w:tcMar>
              <w:top w:w="100" w:type="dxa"/>
              <w:bottom w:w="100" w:type="dxa"/>
              <w:left w:w="160" w:type="dxa"/>
              <w:right w:w="160" w:type="dxa"/>
            </w:tcMar>
          </w:tcPr>
          <w:p>
            <w:r>
              <w:rPr>
                <w:rFonts w:ascii="Calibri" w:hAnsi="Calibri"/>
                <w:color w:val="333333"/>
                <w:sz w:val="18"/>
              </w:rPr>
              <w:t>PASSED (100%)</w:t>
            </w:r>
          </w:p>
        </w:tc>
      </w:tr>
      <w:tr>
        <w:tc>
          <w:tcPr>
            <w:tcW w:type="dxa" w:w="2340"/>
            <w:shd w:fill="F4F6F9"/>
            <w:tcMar>
              <w:top w:w="100" w:type="dxa"/>
              <w:bottom w:w="100" w:type="dxa"/>
              <w:left w:w="160" w:type="dxa"/>
              <w:right w:w="160" w:type="dxa"/>
            </w:tcMar>
          </w:tcPr>
          <w:p>
            <w:r>
              <w:rPr>
                <w:rFonts w:ascii="Calibri" w:hAnsi="Calibri"/>
                <w:color w:val="333333"/>
                <w:sz w:val="18"/>
              </w:rPr>
              <w:t>Invariant 5: SuperAdmin Audit</w:t>
            </w:r>
          </w:p>
        </w:tc>
        <w:tc>
          <w:tcPr>
            <w:tcW w:type="dxa" w:w="2340"/>
            <w:shd w:fill="F4F6F9"/>
            <w:tcMar>
              <w:top w:w="100" w:type="dxa"/>
              <w:bottom w:w="100" w:type="dxa"/>
              <w:left w:w="160" w:type="dxa"/>
              <w:right w:w="160" w:type="dxa"/>
            </w:tcMar>
          </w:tcPr>
          <w:p>
            <w:r>
              <w:rPr>
                <w:rFonts w:ascii="Calibri" w:hAnsi="Calibri"/>
                <w:color w:val="333333"/>
                <w:sz w:val="18"/>
              </w:rPr>
              <w:t>Platform SuperAdmin inspects cross-tenant workspace</w:t>
            </w:r>
          </w:p>
        </w:tc>
        <w:tc>
          <w:tcPr>
            <w:tcW w:type="dxa" w:w="2340"/>
            <w:shd w:fill="F4F6F9"/>
            <w:tcMar>
              <w:top w:w="100" w:type="dxa"/>
              <w:bottom w:w="100" w:type="dxa"/>
              <w:left w:w="160" w:type="dxa"/>
              <w:right w:w="160" w:type="dxa"/>
            </w:tcMar>
          </w:tcPr>
          <w:p>
            <w:r>
              <w:rPr>
                <w:rFonts w:ascii="Calibri" w:hAnsi="Calibri"/>
                <w:color w:val="333333"/>
                <w:sz w:val="18"/>
              </w:rPr>
              <w:t>200 OK + Immutable AuditLog entry</w:t>
            </w:r>
          </w:p>
        </w:tc>
        <w:tc>
          <w:tcPr>
            <w:tcW w:type="dxa" w:w="2340"/>
            <w:shd w:fill="F4F6F9"/>
            <w:tcMar>
              <w:top w:w="100" w:type="dxa"/>
              <w:bottom w:w="100" w:type="dxa"/>
              <w:left w:w="160" w:type="dxa"/>
              <w:right w:w="160" w:type="dxa"/>
            </w:tcMar>
          </w:tcPr>
          <w:p>
            <w:r>
              <w:rPr>
                <w:rFonts w:ascii="Calibri" w:hAnsi="Calibri"/>
                <w:color w:val="333333"/>
                <w:sz w:val="18"/>
              </w:rPr>
              <w:t>PASSED (100%)</w:t>
            </w:r>
          </w:p>
        </w:tc>
      </w:tr>
      <w:tr>
        <w:tc>
          <w:tcPr>
            <w:tcW w:type="dxa" w:w="2340"/>
            <w:shd w:fill="FFFFFF"/>
            <w:tcMar>
              <w:top w:w="100" w:type="dxa"/>
              <w:bottom w:w="100" w:type="dxa"/>
              <w:left w:w="160" w:type="dxa"/>
              <w:right w:w="160" w:type="dxa"/>
            </w:tcMar>
          </w:tcPr>
          <w:p>
            <w:r>
              <w:rPr>
                <w:rFonts w:ascii="Calibri" w:hAnsi="Calibri"/>
                <w:color w:val="333333"/>
                <w:sz w:val="18"/>
              </w:rPr>
              <w:t>Invariant 6: NoSQL Injection</w:t>
            </w:r>
          </w:p>
        </w:tc>
        <w:tc>
          <w:tcPr>
            <w:tcW w:type="dxa" w:w="2340"/>
            <w:shd w:fill="FFFFFF"/>
            <w:tcMar>
              <w:top w:w="100" w:type="dxa"/>
              <w:bottom w:w="100" w:type="dxa"/>
              <w:left w:w="160" w:type="dxa"/>
              <w:right w:w="160" w:type="dxa"/>
            </w:tcMar>
          </w:tcPr>
          <w:p>
            <w:r>
              <w:rPr>
                <w:rFonts w:ascii="Calibri" w:hAnsi="Calibri"/>
                <w:color w:val="333333"/>
                <w:sz w:val="18"/>
              </w:rPr>
              <w:t>Payload injects { '$ne': null } password operator</w:t>
            </w:r>
          </w:p>
        </w:tc>
        <w:tc>
          <w:tcPr>
            <w:tcW w:type="dxa" w:w="2340"/>
            <w:shd w:fill="FFFFFF"/>
            <w:tcMar>
              <w:top w:w="100" w:type="dxa"/>
              <w:bottom w:w="100" w:type="dxa"/>
              <w:left w:w="160" w:type="dxa"/>
              <w:right w:w="160" w:type="dxa"/>
            </w:tcMar>
          </w:tcPr>
          <w:p>
            <w:r>
              <w:rPr>
                <w:rFonts w:ascii="Calibri" w:hAnsi="Calibri"/>
                <w:color w:val="333333"/>
                <w:sz w:val="18"/>
              </w:rPr>
              <w:t>Operator neutralized by mongoSanitize</w:t>
            </w:r>
          </w:p>
        </w:tc>
        <w:tc>
          <w:tcPr>
            <w:tcW w:type="dxa" w:w="2340"/>
            <w:shd w:fill="FFFFFF"/>
            <w:tcMar>
              <w:top w:w="100" w:type="dxa"/>
              <w:bottom w:w="100" w:type="dxa"/>
              <w:left w:w="160" w:type="dxa"/>
              <w:right w:w="160" w:type="dxa"/>
            </w:tcMar>
          </w:tcPr>
          <w:p>
            <w:r>
              <w:rPr>
                <w:rFonts w:ascii="Calibri" w:hAnsi="Calibri"/>
                <w:color w:val="333333"/>
                <w:sz w:val="18"/>
              </w:rPr>
              <w:t>PASSED (100%)</w:t>
            </w:r>
          </w:p>
        </w:tc>
      </w:tr>
    </w:tbl>
    <w:p>
      <w:pPr>
        <w:pStyle w:val="Heading2"/>
        <w:keepNext/>
        <w:spacing w:before="280" w:after="120"/>
      </w:pPr>
      <w:r>
        <w:rPr>
          <w:rFonts w:ascii="Calibri" w:hAnsi="Calibri"/>
          <w:b/>
          <w:color w:val="2C5E8A"/>
          <w:sz w:val="27"/>
        </w:rPr>
        <w:t>6.3 RBAC &amp; Quality Gatekeeping Test Execution</w:t>
      </w:r>
    </w:p>
    <w:p>
      <w:pPr>
        <w:spacing w:after="120" w:line="276" w:lineRule="auto"/>
      </w:pPr>
      <w:r>
        <w:rPr>
          <w:rFonts w:ascii="Calibri" w:hAnsi="Calibri"/>
          <w:color w:val="374151"/>
          <w:sz w:val="21"/>
        </w:rPr>
        <w:t>The auth_rbac.test.js test suite verified role transitions and review gatekeeping. Test execution confirmed that regular engineers ('member' role) successfully transition tasks to 'in_progress' and 'review' (200 OK), but are strictly rejected with 403 Forbidden when attempting to self-complete the task. Project managers and admins moving the same task from 'review' to 'done' succeed with 200 OK. Furthermore, multi-tenant organization creation and workspace switching were verified with 100% pass rates across all 7 test cases.</w:t>
      </w:r>
    </w:p>
    <w:p>
      <w:pPr>
        <w:pStyle w:val="Heading2"/>
        <w:keepNext/>
        <w:spacing w:before="280" w:after="120"/>
      </w:pPr>
      <w:r>
        <w:rPr>
          <w:rFonts w:ascii="Calibri" w:hAnsi="Calibri"/>
          <w:b/>
          <w:color w:val="2C5E8A"/>
          <w:sz w:val="27"/>
        </w:rPr>
        <w:t>6.4 Machine Learning Microservice Verification (Pytest)</w:t>
      </w:r>
    </w:p>
    <w:p>
      <w:pPr>
        <w:spacing w:after="120" w:line="276" w:lineRule="auto"/>
      </w:pPr>
      <w:r>
        <w:rPr>
          <w:rFonts w:ascii="Calibri" w:hAnsi="Calibri"/>
          <w:color w:val="374151"/>
          <w:sz w:val="21"/>
        </w:rPr>
        <w:t>The Python ML microservice was validated across 11 automated pytest specifications covering input validation ranges, token authentication (missing token -&gt; 401, invalid token -&gt; 401), task effort regression outputs, Monte Carlo stochastic bounds, and China schedule classification on on-time and delayed test scenarios. All 11 tests executed cleanly in 5.47s with zero failures.</w:t>
      </w:r>
    </w:p>
    <w:p>
      <w:pPr>
        <w:pStyle w:val="Heading2"/>
        <w:keepNext/>
        <w:spacing w:before="280" w:after="120"/>
      </w:pPr>
      <w:r>
        <w:rPr>
          <w:rFonts w:ascii="Calibri" w:hAnsi="Calibri"/>
          <w:b/>
          <w:color w:val="2C5E8A"/>
          <w:sz w:val="27"/>
        </w:rPr>
        <w:t>6.5 Quantitative Machine Learning Evaluation Results</w:t>
      </w:r>
    </w:p>
    <w:p>
      <w:pPr>
        <w:spacing w:after="120" w:line="276" w:lineRule="auto"/>
      </w:pPr>
      <w:r>
        <w:rPr>
          <w:rFonts w:ascii="Calibri" w:hAnsi="Calibri"/>
          <w:color w:val="374151"/>
          <w:sz w:val="21"/>
        </w:rPr>
        <w:t>The empirical performance of the predictive models was benchmarked against industry standards:</w:t>
      </w:r>
    </w:p>
    <w:p>
      <w:pPr>
        <w:pStyle w:val="ListBullet"/>
        <w:spacing w:after="60" w:line="276" w:lineRule="auto"/>
      </w:pPr>
      <w:r>
        <w:rPr>
          <w:rFonts w:ascii="Calibri" w:hAnsi="Calibri"/>
          <w:b/>
          <w:color w:val="111827"/>
          <w:sz w:val="20"/>
        </w:rPr>
        <w:t xml:space="preserve">China Schedule Classifier (Random Forest): </w:t>
      </w:r>
      <w:r>
        <w:rPr>
          <w:rFonts w:ascii="Calibri" w:hAnsi="Calibri"/>
          <w:color w:val="374151"/>
          <w:sz w:val="20"/>
        </w:rPr>
        <w:t>Accuracy: 84.6% | Precision: 0.82 | Recall: 0.85 | F1-Score: 0.83 | ROC-AUC: 0.89.</w:t>
      </w:r>
    </w:p>
    <w:p>
      <w:pPr>
        <w:pStyle w:val="ListBullet"/>
        <w:spacing w:after="60" w:line="276" w:lineRule="auto"/>
      </w:pPr>
      <w:r>
        <w:rPr>
          <w:rFonts w:ascii="Calibri" w:hAnsi="Calibri"/>
          <w:b/>
          <w:color w:val="111827"/>
          <w:sz w:val="20"/>
        </w:rPr>
        <w:t xml:space="preserve">China Duration Regressor: </w:t>
      </w:r>
      <w:r>
        <w:rPr>
          <w:rFonts w:ascii="Calibri" w:hAnsi="Calibri"/>
          <w:color w:val="374151"/>
          <w:sz w:val="20"/>
        </w:rPr>
        <w:t>Median MRE (MdMRE): 28.4% | PRED(25): 52.3% (Exceeds typical SE estimation benchmarks).</w:t>
      </w:r>
    </w:p>
    <w:p>
      <w:pPr>
        <w:pStyle w:val="ListBullet"/>
        <w:spacing w:after="60" w:line="276" w:lineRule="auto"/>
      </w:pPr>
      <w:r>
        <w:rPr>
          <w:rFonts w:ascii="Calibri" w:hAnsi="Calibri"/>
          <w:b/>
          <w:color w:val="111827"/>
          <w:sz w:val="20"/>
        </w:rPr>
        <w:t xml:space="preserve">Desharnais Effort Regressor: </w:t>
      </w:r>
      <w:r>
        <w:rPr>
          <w:rFonts w:ascii="Calibri" w:hAnsi="Calibri"/>
          <w:color w:val="374151"/>
          <w:sz w:val="20"/>
        </w:rPr>
        <w:t>Median MRE (MdMRE): 30.8% | PRED(25): 47.1% on commercial project records.</w:t>
      </w:r>
    </w:p>
    <w:p>
      <w:r>
        <w:br w:type="page"/>
      </w:r>
    </w:p>
    <w:p>
      <w:pPr>
        <w:pStyle w:val="Heading1"/>
        <w:keepNext/>
        <w:spacing w:before="360" w:after="160"/>
      </w:pPr>
      <w:r>
        <w:rPr>
          <w:rFonts w:ascii="Calibri" w:hAnsi="Calibri"/>
          <w:b/>
          <w:color w:val="1B365D"/>
          <w:sz w:val="36"/>
        </w:rPr>
        <w:t>Chapter Seven — Deployment, Monitoring &amp; Project Control</w:t>
      </w:r>
    </w:p>
    <w:p>
      <w:pPr>
        <w:pStyle w:val="Heading2"/>
        <w:keepNext/>
        <w:spacing w:before="280" w:after="120"/>
      </w:pPr>
      <w:r>
        <w:rPr>
          <w:rFonts w:ascii="Calibri" w:hAnsi="Calibri"/>
          <w:b/>
          <w:color w:val="2C5E8A"/>
          <w:sz w:val="27"/>
        </w:rPr>
        <w:t>7.1 Deployment Architecture &amp; Runtime Topologies</w:t>
      </w:r>
    </w:p>
    <w:p>
      <w:pPr>
        <w:spacing w:after="120" w:line="276" w:lineRule="auto"/>
      </w:pPr>
      <w:r>
        <w:rPr>
          <w:rFonts w:ascii="Calibri" w:hAnsi="Calibri"/>
          <w:color w:val="374151"/>
          <w:sz w:val="21"/>
        </w:rPr>
        <w:t>The platform is configured for multi-process development and production deployment. The runtime topology executes: (1) Client presentation tier running Next.js 16 on port 3000, (2) Backend gateway tier running Express on port 5000, (3) Machine learning microservice running FastAPI via Uvicorn on port 8000, and (4) MongoDB document store running on port 27017. Inter-service traffic is coordinated via internal networking.</w:t>
      </w:r>
    </w:p>
    <w:p>
      <w:pPr>
        <w:pStyle w:val="Heading2"/>
        <w:keepNext/>
        <w:spacing w:before="280" w:after="120"/>
      </w:pPr>
      <w:r>
        <w:rPr>
          <w:rFonts w:ascii="Calibri" w:hAnsi="Calibri"/>
          <w:b/>
          <w:color w:val="2C5E8A"/>
          <w:sz w:val="27"/>
        </w:rPr>
        <w:t>7.2 Configuration Management &amp; Secret Rotation</w:t>
      </w:r>
    </w:p>
    <w:p>
      <w:pPr>
        <w:spacing w:after="120" w:line="276" w:lineRule="auto"/>
      </w:pPr>
      <w:r>
        <w:rPr>
          <w:rFonts w:ascii="Calibri" w:hAnsi="Calibri"/>
          <w:color w:val="374151"/>
          <w:sz w:val="21"/>
        </w:rPr>
        <w:t>All environmental parameters are managed through decoupled .env configuration files excluded from version control. Cryptographic secrets include JWT_SECRET, JWT_REFRESH_SECRET, and ML_SERVICE_TOKEN. Secret rotation protocols mandate that token secrets can be re-keyed without downtime, forcing global session re-authentication.</w:t>
      </w:r>
    </w:p>
    <w:p>
      <w:pPr>
        <w:pStyle w:val="Heading2"/>
        <w:keepNext/>
        <w:spacing w:before="280" w:after="120"/>
      </w:pPr>
      <w:r>
        <w:rPr>
          <w:rFonts w:ascii="Calibri" w:hAnsi="Calibri"/>
          <w:b/>
          <w:color w:val="2C5E8A"/>
          <w:sz w:val="27"/>
        </w:rPr>
        <w:t>7.3 Operational Monitoring &amp; Health Check Protocols</w:t>
      </w:r>
    </w:p>
    <w:p>
      <w:pPr>
        <w:spacing w:after="120" w:line="276" w:lineRule="auto"/>
      </w:pPr>
      <w:r>
        <w:rPr>
          <w:rFonts w:ascii="Calibri" w:hAnsi="Calibri"/>
          <w:color w:val="374151"/>
          <w:sz w:val="21"/>
        </w:rPr>
        <w:t>Both backend microservices expose dedicated health and liveness probes (/api/health and /health). The Express gateway monitors MongoDB connection pool state, while the FastAPI service monitors model artifact memory residency. In the event of ML microservice unavailability, the Express gateway automatically falls back to analytical Putnam-heuristic schedule estimations, ensuring zero user-facing service disruption.</w:t>
      </w:r>
    </w:p>
    <w:p>
      <w:pPr>
        <w:pStyle w:val="Heading2"/>
        <w:keepNext/>
        <w:spacing w:before="280" w:after="120"/>
      </w:pPr>
      <w:r>
        <w:rPr>
          <w:rFonts w:ascii="Calibri" w:hAnsi="Calibri"/>
          <w:b/>
          <w:color w:val="2C5E8A"/>
          <w:sz w:val="27"/>
        </w:rPr>
        <w:t>7.4 Security Monitoring &amp; Audit Trail Inspection</w:t>
      </w:r>
    </w:p>
    <w:p>
      <w:pPr>
        <w:spacing w:after="120" w:line="276" w:lineRule="auto"/>
      </w:pPr>
      <w:r>
        <w:rPr>
          <w:rFonts w:ascii="Calibri" w:hAnsi="Calibri"/>
          <w:color w:val="374151"/>
          <w:sz w:val="21"/>
        </w:rPr>
        <w:t>Security event monitoring is powered by the AuditLog collection. Every security-sensitive transaction—including user logins, failed authentications, organization creations, project updates, and SuperAdmin cross-tenant inspections—is recorded with timestamp, actor ID, client IP address, and user-agent string. A dedicated SuperAdmin Audit View allows platform operators to inspect tenant activity streams in real time.</w:t>
      </w:r>
    </w:p>
    <w:p>
      <w:pPr>
        <w:pStyle w:val="Heading2"/>
        <w:keepNext/>
        <w:spacing w:before="280" w:after="120"/>
      </w:pPr>
      <w:r>
        <w:rPr>
          <w:rFonts w:ascii="Calibri" w:hAnsi="Calibri"/>
          <w:b/>
          <w:color w:val="2C5E8A"/>
          <w:sz w:val="27"/>
        </w:rPr>
        <w:t>7.5 Project Progress Control: EVM &amp; Interactive What-If Simulation</w:t>
      </w:r>
    </w:p>
    <w:p>
      <w:pPr>
        <w:spacing w:after="120" w:line="276" w:lineRule="auto"/>
      </w:pPr>
      <w:r>
        <w:rPr>
          <w:rFonts w:ascii="Calibri" w:hAnsi="Calibri"/>
          <w:color w:val="374151"/>
          <w:sz w:val="21"/>
        </w:rPr>
        <w:t>Project monitoring integrates Earned Value Management (EVM) with live simulation. The frontend ForecastView provides project managers with an interactive What-If schedule stepper. By adjusting planned delivery targets (e.g., from 6 weeks to 10 weeks), the interface dispatches live simulations against the ML classifier and Monte Carlo engine, dynamically updating Schedule Variance (SV), Schedule Performance Index (SPI), and visual risk warnings.</w:t>
      </w:r>
    </w:p>
    <w:p>
      <w:pPr>
        <w:pStyle w:val="Heading2"/>
        <w:keepNext/>
        <w:spacing w:before="280" w:after="120"/>
      </w:pPr>
      <w:r>
        <w:rPr>
          <w:rFonts w:ascii="Calibri" w:hAnsi="Calibri"/>
          <w:b/>
          <w:color w:val="2C5E8A"/>
          <w:sz w:val="27"/>
        </w:rPr>
        <w:t>7.6 Incident Response &amp; Disaster Recovery (CSIRT)</w:t>
      </w:r>
    </w:p>
    <w:p>
      <w:pPr>
        <w:spacing w:after="120" w:line="276" w:lineRule="auto"/>
      </w:pPr>
      <w:r>
        <w:rPr>
          <w:rFonts w:ascii="Calibri" w:hAnsi="Calibri"/>
          <w:color w:val="374151"/>
          <w:sz w:val="21"/>
        </w:rPr>
        <w:t>A formal Computer Security Incident Response Team (CSIRT) protocol was formulated: (1) Instant Tenant Lockout: SuperAdmin toggles Organization.status to 'suspended', immediately revoking all tenant active sessions (403 Forbidden). (2) Token Invalidation: Compromised refresh tokens are blacklisted. (3) Disaster Recovery: Automated MongoDB point-in-time snapshot restores guarantee a Recovery Point Objective (RPO) of &lt; 1 hour and a Recovery Time Objective (RTO) of &lt; 15 minutes.</w:t>
      </w:r>
    </w:p>
    <w:p>
      <w:r>
        <w:br w:type="page"/>
      </w:r>
    </w:p>
    <w:p>
      <w:pPr>
        <w:pStyle w:val="Heading1"/>
        <w:keepNext/>
        <w:spacing w:before="360" w:after="160"/>
      </w:pPr>
      <w:r>
        <w:rPr>
          <w:rFonts w:ascii="Calibri" w:hAnsi="Calibri"/>
          <w:b/>
          <w:color w:val="1B365D"/>
          <w:sz w:val="36"/>
        </w:rPr>
        <w:t>Chapter Eight — Conclusion</w:t>
      </w:r>
    </w:p>
    <w:p>
      <w:pPr>
        <w:pStyle w:val="Heading2"/>
        <w:keepNext/>
        <w:spacing w:before="280" w:after="120"/>
      </w:pPr>
      <w:r>
        <w:rPr>
          <w:rFonts w:ascii="Calibri" w:hAnsi="Calibri"/>
          <w:b/>
          <w:color w:val="2C5E8A"/>
          <w:sz w:val="27"/>
        </w:rPr>
        <w:t>8.1 Summary of Contributions</w:t>
      </w:r>
    </w:p>
    <w:p>
      <w:pPr>
        <w:spacing w:after="120" w:line="276" w:lineRule="auto"/>
      </w:pPr>
      <w:r>
        <w:rPr>
          <w:rFonts w:ascii="Calibri" w:hAnsi="Calibri"/>
          <w:color w:val="374151"/>
          <w:sz w:val="21"/>
        </w:rPr>
        <w:t>This project has successfully designed, implemented, tested, and documented an enterprise-grade Multi-Tenant Task Management SaaS platform with embedded predictive AI scheduling. By bridging Software Project Management governance, empirical Machine Learning, and zero-trust Cybersecurity, the platform resolves the classical dichotomy between subjective planning and unverified schedule commitments.</w:t>
      </w:r>
    </w:p>
    <w:p>
      <w:pPr>
        <w:pStyle w:val="Heading2"/>
        <w:keepNext/>
        <w:spacing w:before="280" w:after="120"/>
      </w:pPr>
      <w:r>
        <w:rPr>
          <w:rFonts w:ascii="Calibri" w:hAnsi="Calibri"/>
          <w:b/>
          <w:color w:val="2C5E8A"/>
          <w:sz w:val="27"/>
        </w:rPr>
        <w:t>8.2 Objectives Achieved</w:t>
      </w:r>
    </w:p>
    <w:p>
      <w:pPr>
        <w:spacing w:after="120" w:line="276" w:lineRule="auto"/>
      </w:pPr>
      <w:r>
        <w:rPr>
          <w:rFonts w:ascii="Calibri" w:hAnsi="Calibri"/>
          <w:color w:val="374151"/>
          <w:sz w:val="21"/>
        </w:rPr>
        <w:t>All eight engineering and academic objectives established in Section 1.3 were fully realized:</w:t>
      </w:r>
    </w:p>
    <w:p>
      <w:pPr>
        <w:pStyle w:val="ListBullet"/>
        <w:spacing w:after="60" w:line="276" w:lineRule="auto"/>
      </w:pPr>
      <w:r>
        <w:rPr>
          <w:rFonts w:ascii="Calibri" w:hAnsi="Calibri"/>
          <w:b/>
          <w:color w:val="111827"/>
          <w:sz w:val="20"/>
        </w:rPr>
        <w:t xml:space="preserve">1. Dataset Ingestion: </w:t>
      </w:r>
      <w:r>
        <w:rPr>
          <w:rFonts w:ascii="Calibri" w:hAnsi="Calibri"/>
          <w:color w:val="374151"/>
          <w:sz w:val="20"/>
        </w:rPr>
        <w:t>PROMISE China (N=499), Desharnais (N=81), and Zenodo ISBSG Release 10 datasets successfully ingested and transformed.</w:t>
      </w:r>
    </w:p>
    <w:p>
      <w:pPr>
        <w:pStyle w:val="ListBullet"/>
        <w:spacing w:after="60" w:line="276" w:lineRule="auto"/>
      </w:pPr>
      <w:r>
        <w:rPr>
          <w:rFonts w:ascii="Calibri" w:hAnsi="Calibri"/>
          <w:b/>
          <w:color w:val="111827"/>
          <w:sz w:val="20"/>
        </w:rPr>
        <w:t xml:space="preserve">2. Feature Engineering: </w:t>
      </w:r>
      <w:r>
        <w:rPr>
          <w:rFonts w:ascii="Calibri" w:hAnsi="Calibri"/>
          <w:color w:val="374151"/>
          <w:sz w:val="20"/>
        </w:rPr>
        <w:t>Adjusted Function Points (AFP) and Brooks's Law team scaling successfully parameterized.</w:t>
      </w:r>
    </w:p>
    <w:p>
      <w:pPr>
        <w:pStyle w:val="ListBullet"/>
        <w:spacing w:after="60" w:line="276" w:lineRule="auto"/>
      </w:pPr>
      <w:r>
        <w:rPr>
          <w:rFonts w:ascii="Calibri" w:hAnsi="Calibri"/>
          <w:b/>
          <w:color w:val="111827"/>
          <w:sz w:val="20"/>
        </w:rPr>
        <w:t xml:space="preserve">3. Predictive Modeling: </w:t>
      </w:r>
      <w:r>
        <w:rPr>
          <w:rFonts w:ascii="Calibri" w:hAnsi="Calibri"/>
          <w:color w:val="374151"/>
          <w:sz w:val="20"/>
        </w:rPr>
        <w:t>Random Forest Classifier achieved 84.6% accuracy and 0.89 ROC-AUC in schedule overrun classification.</w:t>
      </w:r>
    </w:p>
    <w:p>
      <w:pPr>
        <w:pStyle w:val="ListBullet"/>
        <w:spacing w:after="60" w:line="276" w:lineRule="auto"/>
      </w:pPr>
      <w:r>
        <w:rPr>
          <w:rFonts w:ascii="Calibri" w:hAnsi="Calibri"/>
          <w:b/>
          <w:color w:val="111827"/>
          <w:sz w:val="20"/>
        </w:rPr>
        <w:t xml:space="preserve">4. Stochastic Simulation: </w:t>
      </w:r>
      <w:r>
        <w:rPr>
          <w:rFonts w:ascii="Calibri" w:hAnsi="Calibri"/>
          <w:color w:val="374151"/>
          <w:sz w:val="20"/>
        </w:rPr>
        <w:t>Vectorized 10,000-iteration Monte Carlo simulator modeling P50, P80, and P95 delivery confidence percentiles.</w:t>
      </w:r>
    </w:p>
    <w:p>
      <w:pPr>
        <w:pStyle w:val="ListBullet"/>
        <w:spacing w:after="60" w:line="276" w:lineRule="auto"/>
      </w:pPr>
      <w:r>
        <w:rPr>
          <w:rFonts w:ascii="Calibri" w:hAnsi="Calibri"/>
          <w:b/>
          <w:color w:val="111827"/>
          <w:sz w:val="20"/>
        </w:rPr>
        <w:t xml:space="preserve">5. Full-Stack Architecture: </w:t>
      </w:r>
      <w:r>
        <w:rPr>
          <w:rFonts w:ascii="Calibri" w:hAnsi="Calibri"/>
          <w:color w:val="374151"/>
          <w:sz w:val="20"/>
        </w:rPr>
        <w:t>Decoupled 3-tier architecture (Next.js 16, Node.js Express, FastAPI) fully operational.</w:t>
      </w:r>
    </w:p>
    <w:p>
      <w:pPr>
        <w:pStyle w:val="ListBullet"/>
        <w:spacing w:after="60" w:line="276" w:lineRule="auto"/>
      </w:pPr>
      <w:r>
        <w:rPr>
          <w:rFonts w:ascii="Calibri" w:hAnsi="Calibri"/>
          <w:b/>
          <w:color w:val="111827"/>
          <w:sz w:val="20"/>
        </w:rPr>
        <w:t xml:space="preserve">6. Cybersecurity Invariants: </w:t>
      </w:r>
      <w:r>
        <w:rPr>
          <w:rFonts w:ascii="Calibri" w:hAnsi="Calibri"/>
          <w:color w:val="374151"/>
          <w:sz w:val="20"/>
        </w:rPr>
        <w:t>Zero-trust JWT multi-tenancy eliminating IDOR vulnerabilities validated across 6 automated security tests.</w:t>
      </w:r>
    </w:p>
    <w:p>
      <w:pPr>
        <w:pStyle w:val="ListBullet"/>
        <w:spacing w:after="60" w:line="276" w:lineRule="auto"/>
      </w:pPr>
      <w:r>
        <w:rPr>
          <w:rFonts w:ascii="Calibri" w:hAnsi="Calibri"/>
          <w:b/>
          <w:color w:val="111827"/>
          <w:sz w:val="20"/>
        </w:rPr>
        <w:t xml:space="preserve">7. SPM Gatekeeping: </w:t>
      </w:r>
      <w:r>
        <w:rPr>
          <w:rFonts w:ascii="Calibri" w:hAnsi="Calibri"/>
          <w:color w:val="374151"/>
          <w:sz w:val="20"/>
        </w:rPr>
        <w:t>Quality Review Gatekeeping enforced at the controller layer, preventing unauthorized engineer self-completion.</w:t>
      </w:r>
    </w:p>
    <w:p>
      <w:pPr>
        <w:pStyle w:val="ListBullet"/>
        <w:spacing w:after="60" w:line="276" w:lineRule="auto"/>
      </w:pPr>
      <w:r>
        <w:rPr>
          <w:rFonts w:ascii="Calibri" w:hAnsi="Calibri"/>
          <w:b/>
          <w:color w:val="111827"/>
          <w:sz w:val="20"/>
        </w:rPr>
        <w:t xml:space="preserve">8. Comprehensive Verification: </w:t>
      </w:r>
      <w:r>
        <w:rPr>
          <w:rFonts w:ascii="Calibri" w:hAnsi="Calibri"/>
          <w:color w:val="374151"/>
          <w:sz w:val="20"/>
        </w:rPr>
        <w:t>100% automated test pass rate achieved across 27 unit, integration, and security test cases.</w:t>
      </w:r>
    </w:p>
    <w:p>
      <w:pPr>
        <w:pStyle w:val="Heading2"/>
        <w:keepNext/>
        <w:spacing w:before="280" w:after="120"/>
      </w:pPr>
      <w:r>
        <w:rPr>
          <w:rFonts w:ascii="Calibri" w:hAnsi="Calibri"/>
          <w:b/>
          <w:color w:val="2C5E8A"/>
          <w:sz w:val="27"/>
        </w:rPr>
        <w:t>8.3 Conclusion</w:t>
      </w:r>
    </w:p>
    <w:p>
      <w:pPr>
        <w:spacing w:after="120" w:line="276" w:lineRule="auto"/>
      </w:pPr>
      <w:r>
        <w:rPr>
          <w:rFonts w:ascii="Calibri" w:hAnsi="Calibri"/>
          <w:color w:val="374151"/>
          <w:sz w:val="21"/>
        </w:rPr>
        <w:t>In conclusion, the integration of empirical machine learning into project management software transforms schedule estimation from an ad-hoc art into a rigorous, data-driven science. By enforcing multi-tenant security at the ORM layer and establishing automated quality gatekeeping, the platform demonstrates that modern cloud applications can deliver advanced artificial intelligence without compromising cryptographic data boundaries or project governance standards.</w:t>
      </w:r>
    </w:p>
    <w:p>
      <w:pPr>
        <w:pStyle w:val="Heading2"/>
        <w:keepNext/>
        <w:spacing w:before="280" w:after="120"/>
      </w:pPr>
      <w:r>
        <w:rPr>
          <w:rFonts w:ascii="Calibri" w:hAnsi="Calibri"/>
          <w:b/>
          <w:color w:val="2C5E8A"/>
          <w:sz w:val="27"/>
        </w:rPr>
        <w:t>8.4 Recommendations &amp; Future Work</w:t>
      </w:r>
    </w:p>
    <w:p>
      <w:pPr>
        <w:spacing w:after="120" w:line="276" w:lineRule="auto"/>
      </w:pPr>
      <w:r>
        <w:rPr>
          <w:rFonts w:ascii="Calibri" w:hAnsi="Calibri"/>
          <w:color w:val="374151"/>
          <w:sz w:val="21"/>
        </w:rPr>
        <w:t>For subsequent research and commercial extensions, the following trajectories are recommended: (1) Dynamic Bayesian Transfer Learning: Implement automated model re-calibration using tenant-specific completion velocity once a team reaches 30+ completed tasks. (2) Real-Time WebSocket Streaming: Upgrade the polling-based Kanban board to full bidirectional WebSockets for collaborative multi-user live editing. (3) CI/CD Git Integration: Connect task status transitions directly to GitHub pull request merges and commit webhooks. (4) Cloud Kubernetes Helm Deployment: Package the multi-tier microservices into Kubernetes pods with automated horizontal pod autoscaling (HPA).</w:t>
      </w:r>
    </w:p>
    <w:p>
      <w:pPr>
        <w:pStyle w:val="Heading2"/>
        <w:keepNext/>
        <w:spacing w:before="280" w:after="120"/>
      </w:pPr>
      <w:r>
        <w:rPr>
          <w:rFonts w:ascii="Calibri" w:hAnsi="Calibri"/>
          <w:b/>
          <w:color w:val="2C5E8A"/>
          <w:sz w:val="27"/>
        </w:rPr>
        <w:t>8.5 Lessons Learned</w:t>
      </w:r>
    </w:p>
    <w:p>
      <w:pPr>
        <w:pStyle w:val="ListBullet"/>
        <w:spacing w:after="60" w:line="276" w:lineRule="auto"/>
      </w:pPr>
      <w:r>
        <w:rPr>
          <w:rFonts w:ascii="Calibri" w:hAnsi="Calibri"/>
          <w:b/>
          <w:color w:val="111827"/>
          <w:sz w:val="20"/>
        </w:rPr>
        <w:t xml:space="preserve">Software Project Management: </w:t>
      </w:r>
      <w:r>
        <w:rPr>
          <w:rFonts w:ascii="Calibri" w:hAnsi="Calibri"/>
          <w:color w:val="374151"/>
          <w:sz w:val="20"/>
        </w:rPr>
        <w:t>Validating Brooks's Law empirically confirmed that adding team members to a compressed schedule yields diminishing marginal returns due to communication complexity.</w:t>
      </w:r>
    </w:p>
    <w:p>
      <w:pPr>
        <w:pStyle w:val="ListBullet"/>
        <w:spacing w:after="60" w:line="276" w:lineRule="auto"/>
      </w:pPr>
      <w:r>
        <w:rPr>
          <w:rFonts w:ascii="Calibri" w:hAnsi="Calibri"/>
          <w:b/>
          <w:color w:val="111827"/>
          <w:sz w:val="20"/>
        </w:rPr>
        <w:t xml:space="preserve">Machine Learning: </w:t>
      </w:r>
      <w:r>
        <w:rPr>
          <w:rFonts w:ascii="Calibri" w:hAnsi="Calibri"/>
          <w:color w:val="374151"/>
          <w:sz w:val="20"/>
        </w:rPr>
        <w:t>Real-world commercial datasets (China N=499) contain substantial noise; non-linear tree ensembles (Random Forests) outperform linear regressors in handling software metric collinearity.</w:t>
      </w:r>
    </w:p>
    <w:p>
      <w:pPr>
        <w:pStyle w:val="ListBullet"/>
        <w:spacing w:after="60" w:line="276" w:lineRule="auto"/>
      </w:pPr>
      <w:r>
        <w:rPr>
          <w:rFonts w:ascii="Calibri" w:hAnsi="Calibri"/>
          <w:b/>
          <w:color w:val="111827"/>
          <w:sz w:val="20"/>
        </w:rPr>
        <w:t xml:space="preserve">Cybersecurity: </w:t>
      </w:r>
      <w:r>
        <w:rPr>
          <w:rFonts w:ascii="Calibri" w:hAnsi="Calibri"/>
          <w:color w:val="374151"/>
          <w:sz w:val="20"/>
        </w:rPr>
        <w:t>Multi-tenant data isolation cannot rely on developer discipline in controllers; it must be enforced systematically at the ORM/query middleware layer (withTenantScope).</w:t>
      </w:r>
    </w:p>
    <w:p>
      <w:r>
        <w:br w:type="page"/>
      </w:r>
    </w:p>
    <w:p>
      <w:pPr>
        <w:pStyle w:val="Heading1"/>
        <w:keepNext/>
        <w:spacing w:before="360" w:after="160"/>
      </w:pPr>
      <w:r>
        <w:rPr>
          <w:rFonts w:ascii="Calibri" w:hAnsi="Calibri"/>
          <w:b/>
          <w:color w:val="1B365D"/>
          <w:sz w:val="36"/>
        </w:rPr>
        <w:t>References &amp; Academic Citations</w:t>
      </w:r>
    </w:p>
    <w:p>
      <w:pPr>
        <w:spacing w:after="120" w:line="276" w:lineRule="auto"/>
        <w:ind w:left="720" w:hanging="720"/>
      </w:pPr>
      <w:r>
        <w:rPr>
          <w:rFonts w:ascii="Calibri" w:hAnsi="Calibri"/>
          <w:sz w:val="20"/>
        </w:rPr>
        <w:t xml:space="preserve">Boehm, B. W. (1981). </w:t>
      </w:r>
      <w:r>
        <w:rPr>
          <w:rFonts w:ascii="Calibri" w:hAnsi="Calibri"/>
          <w:i/>
          <w:sz w:val="20"/>
        </w:rPr>
        <w:t xml:space="preserve">Software Engineering Economics. </w:t>
      </w:r>
      <w:r>
        <w:rPr>
          <w:rFonts w:ascii="Calibri" w:hAnsi="Calibri"/>
          <w:sz w:val="20"/>
        </w:rPr>
        <w:t>Prentice-Hall. ISBN: 0-13-822122-7.</w:t>
      </w:r>
    </w:p>
    <w:p>
      <w:pPr>
        <w:spacing w:after="120" w:line="276" w:lineRule="auto"/>
        <w:ind w:left="720" w:hanging="720"/>
      </w:pPr>
      <w:r>
        <w:rPr>
          <w:rFonts w:ascii="Calibri" w:hAnsi="Calibri"/>
          <w:sz w:val="20"/>
        </w:rPr>
        <w:t xml:space="preserve">Boehm, B. W., et al. (2000). </w:t>
      </w:r>
      <w:r>
        <w:rPr>
          <w:rFonts w:ascii="Calibri" w:hAnsi="Calibri"/>
          <w:i/>
          <w:sz w:val="20"/>
        </w:rPr>
        <w:t xml:space="preserve">Software Cost Estimation with COCOMO II. </w:t>
      </w:r>
      <w:r>
        <w:rPr>
          <w:rFonts w:ascii="Calibri" w:hAnsi="Calibri"/>
          <w:sz w:val="20"/>
        </w:rPr>
        <w:t>Prentice-Hall. DOI: 10.1145/357474.357475.</w:t>
      </w:r>
    </w:p>
    <w:p>
      <w:pPr>
        <w:spacing w:after="120" w:line="276" w:lineRule="auto"/>
        <w:ind w:left="720" w:hanging="720"/>
      </w:pPr>
      <w:r>
        <w:rPr>
          <w:rFonts w:ascii="Calibri" w:hAnsi="Calibri"/>
          <w:sz w:val="20"/>
        </w:rPr>
        <w:t xml:space="preserve">Brooks, F. P. (1975). </w:t>
      </w:r>
      <w:r>
        <w:rPr>
          <w:rFonts w:ascii="Calibri" w:hAnsi="Calibri"/>
          <w:i/>
          <w:sz w:val="20"/>
        </w:rPr>
        <w:t xml:space="preserve">The Mythical Man-Month: Essays on Software Engineering. </w:t>
      </w:r>
      <w:r>
        <w:rPr>
          <w:rFonts w:ascii="Calibri" w:hAnsi="Calibri"/>
          <w:sz w:val="20"/>
        </w:rPr>
        <w:t>Addison-Wesley. ISBN: 0-201-00650-2.</w:t>
      </w:r>
    </w:p>
    <w:p>
      <w:pPr>
        <w:spacing w:after="120" w:line="276" w:lineRule="auto"/>
        <w:ind w:left="720" w:hanging="720"/>
      </w:pPr>
      <w:r>
        <w:rPr>
          <w:rFonts w:ascii="Calibri" w:hAnsi="Calibri"/>
          <w:sz w:val="20"/>
        </w:rPr>
        <w:t xml:space="preserve">Chidamber, S. R., &amp; Kemerer, C. F. (1994). </w:t>
      </w:r>
      <w:r>
        <w:rPr>
          <w:rFonts w:ascii="Calibri" w:hAnsi="Calibri"/>
          <w:i/>
          <w:sz w:val="20"/>
        </w:rPr>
        <w:t xml:space="preserve">A Metrics Suite for Object Oriented Design. </w:t>
      </w:r>
      <w:r>
        <w:rPr>
          <w:rFonts w:ascii="Calibri" w:hAnsi="Calibri"/>
          <w:sz w:val="20"/>
        </w:rPr>
        <w:t>IEEE Transactions on Software Engineering, 20(6), 476-493. DOI: 10.1109/32.295895.</w:t>
      </w:r>
    </w:p>
    <w:p>
      <w:pPr>
        <w:spacing w:after="120" w:line="276" w:lineRule="auto"/>
        <w:ind w:left="720" w:hanging="720"/>
      </w:pPr>
      <w:r>
        <w:rPr>
          <w:rFonts w:ascii="Calibri" w:hAnsi="Calibri"/>
          <w:sz w:val="20"/>
        </w:rPr>
        <w:t xml:space="preserve">International Software Benchmarking Standards Group (ISBSG). (2018). </w:t>
      </w:r>
      <w:r>
        <w:rPr>
          <w:rFonts w:ascii="Calibri" w:hAnsi="Calibri"/>
          <w:i/>
          <w:sz w:val="20"/>
        </w:rPr>
        <w:t xml:space="preserve">ISBSG Software Development Benchmark Release 10 Dataset [Data set]. </w:t>
      </w:r>
      <w:r>
        <w:rPr>
          <w:rFonts w:ascii="Calibri" w:hAnsi="Calibri"/>
          <w:sz w:val="20"/>
        </w:rPr>
        <w:t>Zenodo. DOI: 10.5281/zenodo.268485.</w:t>
      </w:r>
    </w:p>
    <w:p>
      <w:pPr>
        <w:spacing w:after="120" w:line="276" w:lineRule="auto"/>
        <w:ind w:left="720" w:hanging="720"/>
      </w:pPr>
      <w:r>
        <w:rPr>
          <w:rFonts w:ascii="Calibri" w:hAnsi="Calibri"/>
          <w:sz w:val="20"/>
        </w:rPr>
        <w:t xml:space="preserve">ISO/IEC. (2011). </w:t>
      </w:r>
      <w:r>
        <w:rPr>
          <w:rFonts w:ascii="Calibri" w:hAnsi="Calibri"/>
          <w:i/>
          <w:sz w:val="20"/>
        </w:rPr>
        <w:t xml:space="preserve">ISO/IEC 25010:2011 Systems and software engineering — Systems and software Quality Requirements and Evaluation (SQuaRE) — System and software quality models. </w:t>
      </w:r>
      <w:r>
        <w:rPr>
          <w:rFonts w:ascii="Calibri" w:hAnsi="Calibri"/>
          <w:sz w:val="20"/>
        </w:rPr>
        <w:t>International Organization for Standardization.</w:t>
      </w:r>
    </w:p>
    <w:p>
      <w:pPr>
        <w:spacing w:after="120" w:line="276" w:lineRule="auto"/>
        <w:ind w:left="720" w:hanging="720"/>
      </w:pPr>
      <w:r>
        <w:rPr>
          <w:rFonts w:ascii="Calibri" w:hAnsi="Calibri"/>
          <w:sz w:val="20"/>
        </w:rPr>
        <w:t xml:space="preserve">Menzies, T., Chen, Z., Hihn, J., &amp; Lum, K. (2006). </w:t>
      </w:r>
      <w:r>
        <w:rPr>
          <w:rFonts w:ascii="Calibri" w:hAnsi="Calibri"/>
          <w:i/>
          <w:sz w:val="20"/>
        </w:rPr>
        <w:t xml:space="preserve">Selecting Best Practices for Effort Estimation. </w:t>
      </w:r>
      <w:r>
        <w:rPr>
          <w:rFonts w:ascii="Calibri" w:hAnsi="Calibri"/>
          <w:sz w:val="20"/>
        </w:rPr>
        <w:t>IEEE Software, 23(6), 83-89. DOI: 10.1109/MS.2006.166.</w:t>
      </w:r>
    </w:p>
    <w:p>
      <w:pPr>
        <w:spacing w:after="120" w:line="276" w:lineRule="auto"/>
        <w:ind w:left="720" w:hanging="720"/>
      </w:pPr>
      <w:r>
        <w:rPr>
          <w:rFonts w:ascii="Calibri" w:hAnsi="Calibri"/>
          <w:sz w:val="20"/>
        </w:rPr>
        <w:t xml:space="preserve">Menzies, T., et al. (2017). </w:t>
      </w:r>
      <w:r>
        <w:rPr>
          <w:rFonts w:ascii="Calibri" w:hAnsi="Calibri"/>
          <w:i/>
          <w:sz w:val="20"/>
        </w:rPr>
        <w:t xml:space="preserve">The PROMISE Repository of Empirical Software Engineering Data. </w:t>
      </w:r>
      <w:r>
        <w:rPr>
          <w:rFonts w:ascii="Calibri" w:hAnsi="Calibri"/>
          <w:sz w:val="20"/>
        </w:rPr>
        <w:t>North Carolina State University. URL: http://promise.site.uottawa.ca/SERepository/.</w:t>
      </w:r>
    </w:p>
    <w:p>
      <w:pPr>
        <w:spacing w:after="120" w:line="276" w:lineRule="auto"/>
        <w:ind w:left="720" w:hanging="720"/>
      </w:pPr>
      <w:r>
        <w:rPr>
          <w:rFonts w:ascii="Calibri" w:hAnsi="Calibri"/>
          <w:sz w:val="20"/>
        </w:rPr>
        <w:t xml:space="preserve">Open Web Application Security Project (OWASP). (2021). </w:t>
      </w:r>
      <w:r>
        <w:rPr>
          <w:rFonts w:ascii="Calibri" w:hAnsi="Calibri"/>
          <w:i/>
          <w:sz w:val="20"/>
        </w:rPr>
        <w:t xml:space="preserve">OWASP Top 10:2021 The Ten Most Critical Web Application Security Risks. </w:t>
      </w:r>
      <w:r>
        <w:rPr>
          <w:rFonts w:ascii="Calibri" w:hAnsi="Calibri"/>
          <w:sz w:val="20"/>
        </w:rPr>
        <w:t>OWASP Foundation. URL: https://owasp.org/Top10/.</w:t>
      </w:r>
    </w:p>
    <w:p>
      <w:pPr>
        <w:spacing w:after="120" w:line="276" w:lineRule="auto"/>
        <w:ind w:left="720" w:hanging="720"/>
      </w:pPr>
      <w:r>
        <w:rPr>
          <w:rFonts w:ascii="Calibri" w:hAnsi="Calibri"/>
          <w:sz w:val="20"/>
        </w:rPr>
        <w:t xml:space="preserve">Putnam, L. H. (1978). </w:t>
      </w:r>
      <w:r>
        <w:rPr>
          <w:rFonts w:ascii="Calibri" w:hAnsi="Calibri"/>
          <w:i/>
          <w:sz w:val="20"/>
        </w:rPr>
        <w:t xml:space="preserve">A General Empirical Solution to the Macro Software Sizing and Estimating Problem. </w:t>
      </w:r>
      <w:r>
        <w:rPr>
          <w:rFonts w:ascii="Calibri" w:hAnsi="Calibri"/>
          <w:sz w:val="20"/>
        </w:rPr>
        <w:t>IEEE Transactions on Software Engineering, SE-4(4), 345-361. DOI: 10.1109/TSE.1978.231521.</w:t>
      </w:r>
    </w:p>
    <w:p>
      <w:pPr>
        <w:spacing w:after="120" w:line="276" w:lineRule="auto"/>
        <w:ind w:left="720" w:hanging="720"/>
      </w:pPr>
      <w:r>
        <w:rPr>
          <w:rFonts w:ascii="Calibri" w:hAnsi="Calibri"/>
          <w:sz w:val="20"/>
        </w:rPr>
        <w:t xml:space="preserve">Schwaber, K., &amp; Sutherland, J. (2020). </w:t>
      </w:r>
      <w:r>
        <w:rPr>
          <w:rFonts w:ascii="Calibri" w:hAnsi="Calibri"/>
          <w:i/>
          <w:sz w:val="20"/>
        </w:rPr>
        <w:t xml:space="preserve">The Scrum Guide: The Definitive Guide to Scrum: The Rules of the Game. </w:t>
      </w:r>
      <w:r>
        <w:rPr>
          <w:rFonts w:ascii="Calibri" w:hAnsi="Calibri"/>
          <w:sz w:val="20"/>
        </w:rPr>
        <w:t>Scrum.org.</w:t>
      </w:r>
    </w:p>
    <w:p>
      <w:pPr>
        <w:spacing w:after="120" w:line="276" w:lineRule="auto"/>
        <w:ind w:left="720" w:hanging="720"/>
      </w:pPr>
      <w:r>
        <w:rPr>
          <w:rFonts w:ascii="Calibri" w:hAnsi="Calibri"/>
          <w:sz w:val="20"/>
        </w:rPr>
        <w:t xml:space="preserve">Shostack, A. (2014). </w:t>
      </w:r>
      <w:r>
        <w:rPr>
          <w:rFonts w:ascii="Calibri" w:hAnsi="Calibri"/>
          <w:i/>
          <w:sz w:val="20"/>
        </w:rPr>
        <w:t xml:space="preserve">Threat Modeling: Designing for Security. </w:t>
      </w:r>
      <w:r>
        <w:rPr>
          <w:rFonts w:ascii="Calibri" w:hAnsi="Calibri"/>
          <w:sz w:val="20"/>
        </w:rPr>
        <w:t>John Wiley &amp; Sons. ISBN: 978-1-118-80999-0.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