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2.png" ContentType="image/png"/>
  <Override PartName="/word/media/rId46.png" ContentType="image/png"/>
  <Override PartName="/word/media/rId56.png" ContentType="image/png"/>
  <Override PartName="/word/media/rId35.png" ContentType="image/png"/>
  <Override PartName="/word/media/rId25.png" ContentType="image/png"/>
  <Override PartName="/word/media/rId3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bookmarkStart w:id="40" w:name="study-sites"/>
    <w:p>
      <w:pPr>
        <w:pStyle w:val="Heading1"/>
      </w:pPr>
      <w:r>
        <w:t xml:space="preserve">1. Study sites</w:t>
      </w:r>
    </w:p>
    <w:bookmarkStart w:id="24" w:name="stevens-brook-sb-pair-1"/>
    <w:p>
      <w:pPr>
        <w:pStyle w:val="Heading2"/>
      </w:pPr>
      <w:r>
        <w:t xml:space="preserve">1.1 Stevens Brook (SB, Pair 1)</w:t>
      </w:r>
    </w:p>
    <w:p>
      <w:pPr>
        <w:pStyle w:val="FirstParagraph"/>
      </w:pPr>
      <w:r>
        <w:t xml:space="preserve">The SB Project area is located in the Stevens Brook drainage in Rumney and Wentworth (Grafton County, NH) and spanning 400 ha of the WMNF (</w:t>
      </w:r>
      <w:hyperlink w:anchor="fig-sb">
        <w:r>
          <w:rPr>
            <w:rStyle w:val="Hyperlink"/>
          </w:rPr>
          <w:t xml:space="preserve">Figure 1</w:t>
        </w:r>
      </w:hyperlink>
      <w:r>
        <w:t xml:space="preserve">). A 2009 pre-management field survey showed a forested landscape with well-defined forest roads. In the past half a century, management on this area was carried out to retain wildlife habitat and forest products e.g., timber, which was last harvested in the early 1990s</w:t>
      </w:r>
      <w:r>
        <w:t xml:space="preserve"> </w:t>
      </w:r>
      <w:r>
        <w:t xml:space="preserve">(Fuller 2009)</w:t>
      </w:r>
      <w:r>
        <w:t xml:space="preserve">. Following the field survey, the Alternative 2 plan was written up by a group of interdisciplinary resource specialists to address wildlife habitat management, vegetation, as well as transportation objectives laid out in the WMNF Forest Plan</w:t>
      </w:r>
      <w:r>
        <w:t xml:space="preserve"> </w:t>
      </w:r>
      <w:r>
        <w:t xml:space="preserve">(USDA Forest Service 2005)</w:t>
      </w:r>
      <w:r>
        <w:t xml:space="preserve">. With regards to vegetation, three goals are specified: (1) to diversify habitat type and age class, (2) to achieve a sustainable yield of commercial forest products like high-quality sawtimber, and (3) to promote residual tree health and vigor through harvesting, timber stand improvement, and prescribed burns</w:t>
      </w:r>
      <w:r>
        <w:t xml:space="preserve"> </w:t>
      </w:r>
      <w:r>
        <w:t xml:space="preserve">(Fuller 2009)</w:t>
      </w:r>
      <w:r>
        <w:t xml:space="preserve">. More specifically, the Plan expected to perpetuate more of the oak-pine habitat type and proposed a shelterwood harvest and prescribed fire in stand 5-15 to reinforce oak dominance. Evidently, stand 3-16 was cut and burned instead while stand 5-15 only received a cut.</w:t>
      </w:r>
    </w:p>
    <w:tbl>
      <w:tblPr>
        <w:tblStyle w:val="Table"/>
        <w:tblW w:type="pct" w:w="5000"/>
        <w:tblLayout w:type="fixed"/>
        <w:tblLook w:firstRow="0" w:lastRow="0" w:firstColumn="0" w:lastColumn="0" w:noHBand="0" w:noVBand="0" w:val="0000"/>
      </w:tblPr>
      <w:tblGrid>
        <w:gridCol w:w="7920"/>
      </w:tblGrid>
      <w:tr>
        <w:tc>
          <w:tcPr/>
          <w:bookmarkStart w:id="23" w:name="fig-sb"/>
          <w:p>
            <w:pPr>
              <w:pStyle w:val="Compact"/>
              <w:jc w:val="center"/>
            </w:pPr>
            <w:r>
              <w:drawing>
                <wp:inline>
                  <wp:extent cx="5334000" cy="2675744"/>
                  <wp:effectExtent b="0" l="0" r="0" t="0"/>
                  <wp:docPr descr="" title="" id="21" name="Picture"/>
                  <a:graphic>
                    <a:graphicData uri="http://schemas.openxmlformats.org/drawingml/2006/picture">
                      <pic:pic>
                        <pic:nvPicPr>
                          <pic:cNvPr descr="images/SBmap.png" id="22" name="Picture"/>
                          <pic:cNvPicPr>
                            <a:picLocks noChangeArrowheads="1" noChangeAspect="1"/>
                          </pic:cNvPicPr>
                        </pic:nvPicPr>
                        <pic:blipFill>
                          <a:blip r:embed="rId20"/>
                          <a:stretch>
                            <a:fillRect/>
                          </a:stretch>
                        </pic:blipFill>
                        <pic:spPr bwMode="auto">
                          <a:xfrm>
                            <a:off x="0" y="0"/>
                            <a:ext cx="5334000" cy="267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Stevens Brook (SB, Pair 1) site. The burn stand is colored in red and the control stand in blue. Respective colored lines within the stands are transects establish for data collection.</w:t>
            </w:r>
          </w:p>
          <w:bookmarkEnd w:id="23"/>
        </w:tc>
      </w:tr>
    </w:tbl>
    <w:bookmarkEnd w:id="24"/>
    <w:bookmarkStart w:id="29" w:name="hogsback-hog-pairs-2-3"/>
    <w:p>
      <w:pPr>
        <w:pStyle w:val="Heading2"/>
      </w:pPr>
      <w:r>
        <w:t xml:space="preserve">1.2 Hogsback (HOG, Pairs 2-3)</w:t>
      </w:r>
    </w:p>
    <w:p>
      <w:pPr>
        <w:pStyle w:val="FirstParagraph"/>
      </w:pPr>
      <w:r>
        <w:t xml:space="preserve">HOG is part of the 2100-ha Oliverian Stewardship Project area, which comprises the Benton Range southern half in Benton and Warren (Grafton County, NH) (</w:t>
      </w:r>
      <w:hyperlink w:anchor="fig-hog">
        <w:r>
          <w:rPr>
            <w:rStyle w:val="Hyperlink"/>
          </w:rPr>
          <w:t xml:space="preserve">Figure 2</w:t>
        </w:r>
      </w:hyperlink>
      <w:r>
        <w:t xml:space="preserve">). A pre-management survey showed a landscape dominated by hardwood, mostly mature with only a small area of young forest and no regeneration-age (0-9 years old) forest</w:t>
      </w:r>
      <w:r>
        <w:t xml:space="preserve"> </w:t>
      </w:r>
      <w:r>
        <w:t xml:space="preserve">(Bayer 2010)</w:t>
      </w:r>
      <w:r>
        <w:t xml:space="preserve">. Similar to the Stevens Brook project, this project aimed to produce a sustainable yield of commercial forest products and increase habitat diversity, especially for the regeneration age class, using timber harvesting. Unlike the SB area, however, the oak-pine forest type is less common. Prescribed burning was carried out on about 79 ha to maintain this forest type as well as reduce hazardous fuel loading. This management plan, officially called Alternative 3, was to ensure the provision of about 19300 m</w:t>
      </w:r>
      <w:r>
        <w:rPr>
          <w:vertAlign w:val="superscript"/>
        </w:rPr>
        <w:t xml:space="preserve">3</w:t>
      </w:r>
      <w:r>
        <w:t xml:space="preserve"> </w:t>
      </w:r>
      <w:r>
        <w:t xml:space="preserve">of forest products.</w:t>
      </w:r>
    </w:p>
    <w:tbl>
      <w:tblPr>
        <w:tblStyle w:val="Table"/>
        <w:tblW w:type="pct" w:w="5000"/>
        <w:tblLayout w:type="fixed"/>
        <w:tblLook w:firstRow="0" w:lastRow="0" w:firstColumn="0" w:lastColumn="0" w:noHBand="0" w:noVBand="0" w:val="0000"/>
      </w:tblPr>
      <w:tblGrid>
        <w:gridCol w:w="7920"/>
      </w:tblGrid>
      <w:tr>
        <w:tc>
          <w:tcPr/>
          <w:bookmarkStart w:id="28" w:name="fig-hog"/>
          <w:p>
            <w:pPr>
              <w:pStyle w:val="Compact"/>
              <w:jc w:val="center"/>
            </w:pPr>
            <w:r>
              <w:drawing>
                <wp:inline>
                  <wp:extent cx="5334000" cy="2895708"/>
                  <wp:effectExtent b="0" l="0" r="0" t="0"/>
                  <wp:docPr descr="" title="" id="26" name="Picture"/>
                  <a:graphic>
                    <a:graphicData uri="http://schemas.openxmlformats.org/drawingml/2006/picture">
                      <pic:pic>
                        <pic:nvPicPr>
                          <pic:cNvPr descr="images/HOGmap.png" id="27" name="Picture"/>
                          <pic:cNvPicPr>
                            <a:picLocks noChangeArrowheads="1" noChangeAspect="1"/>
                          </pic:cNvPicPr>
                        </pic:nvPicPr>
                        <pic:blipFill>
                          <a:blip r:embed="rId25"/>
                          <a:stretch>
                            <a:fillRect/>
                          </a:stretch>
                        </pic:blipFill>
                        <pic:spPr bwMode="auto">
                          <a:xfrm>
                            <a:off x="0" y="0"/>
                            <a:ext cx="5334000" cy="28957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Hogsback (HOG, Pairs 2-3) site, with 20/2B and 3/1C being the seed tree harvests and 28/2B and 12/2C being shelterwoods. Burn stands are colored in red and control stands in blue. Respective colored lines within the stands are transects establish for data collection.</w:t>
            </w:r>
          </w:p>
          <w:bookmarkEnd w:id="28"/>
        </w:tc>
      </w:tr>
    </w:tbl>
    <w:bookmarkEnd w:id="29"/>
    <w:bookmarkStart w:id="34" w:name="crawford-notch-state-park-cf-pair-4"/>
    <w:p>
      <w:pPr>
        <w:pStyle w:val="Heading2"/>
      </w:pPr>
      <w:r>
        <w:t xml:space="preserve">1.3 Crawford Notch State Park (CF, Pair 4)</w:t>
      </w:r>
    </w:p>
    <w:p>
      <w:pPr>
        <w:pStyle w:val="FirstParagraph"/>
      </w:pPr>
      <w:r>
        <w:t xml:space="preserve">This 2400-ha state park was acquired in 1913 by the State of New Hampshire, as a result of a bill passed in 1912 to protect the northern region of Hart’s Location from excessive timber harvest</w:t>
      </w:r>
      <w:r>
        <w:t xml:space="preserve"> </w:t>
      </w:r>
      <w:r>
        <w:t xml:space="preserve">(NH State Parks 2010)</w:t>
      </w:r>
      <w:r>
        <w:t xml:space="preserve">. Our study stand (CF) is specifically situated at the south end of the notch, through which a railroad has run since 1875. In May 2022, the Bemis Fire burned 106 acres uphill from the train tracks for 14 days</w:t>
      </w:r>
      <w:r>
        <w:t xml:space="preserve"> </w:t>
      </w:r>
      <w:r>
        <w:t xml:space="preserve">(Angers 2022)</w:t>
      </w:r>
      <w:r>
        <w:t xml:space="preserve">. Other than that, the stand has been unmanaged since its acquisition, with disturbance patches primarily formed by windthrow</w:t>
      </w:r>
      <w:r>
        <w:t xml:space="preserve"> </w:t>
      </w:r>
      <w:r>
        <w:t xml:space="preserve">(Foster and Reiners 1983)</w:t>
      </w:r>
      <w:r>
        <w:t xml:space="preserve">. The study vegetation zone is a northern hardwood-spruce phase forest at the lowermost portion of the slope up to an elevation of 700 m, dominated by</w:t>
      </w:r>
      <w:r>
        <w:t xml:space="preserve"> </w:t>
      </w:r>
      <w:r>
        <w:rPr>
          <w:i/>
          <w:iCs/>
        </w:rPr>
        <w:t xml:space="preserve">A. grandifolia</w:t>
      </w:r>
      <w:r>
        <w:t xml:space="preserve">,</w:t>
      </w:r>
      <w:r>
        <w:t xml:space="preserve"> </w:t>
      </w:r>
      <w:r>
        <w:rPr>
          <w:i/>
          <w:iCs/>
        </w:rPr>
        <w:t xml:space="preserve">A. saccharum,</w:t>
      </w:r>
      <w:r>
        <w:t xml:space="preserve"> </w:t>
      </w:r>
      <w:r>
        <w:t xml:space="preserve">and</w:t>
      </w:r>
      <w:r>
        <w:t xml:space="preserve"> </w:t>
      </w:r>
      <w:r>
        <w:rPr>
          <w:i/>
          <w:iCs/>
        </w:rPr>
        <w:t xml:space="preserve">B. allenghensis</w:t>
      </w:r>
      <w:r>
        <w:t xml:space="preserve">.</w:t>
      </w:r>
    </w:p>
    <w:tbl>
      <w:tblPr>
        <w:tblStyle w:val="Table"/>
        <w:tblW w:type="pct" w:w="5000"/>
        <w:tblLayout w:type="fixed"/>
        <w:tblLook w:firstRow="0" w:lastRow="0" w:firstColumn="0" w:lastColumn="0" w:noHBand="0" w:noVBand="0" w:val="0000"/>
      </w:tblPr>
      <w:tblGrid>
        <w:gridCol w:w="7920"/>
      </w:tblGrid>
      <w:tr>
        <w:tc>
          <w:tcPr/>
          <w:bookmarkStart w:id="33" w:name="fig-cf"/>
          <w:p>
            <w:pPr>
              <w:pStyle w:val="Compact"/>
              <w:jc w:val="center"/>
            </w:pPr>
            <w:r>
              <w:drawing>
                <wp:inline>
                  <wp:extent cx="5334000" cy="2891927"/>
                  <wp:effectExtent b="0" l="0" r="0" t="0"/>
                  <wp:docPr descr="" title="" id="31" name="Picture"/>
                  <a:graphic>
                    <a:graphicData uri="http://schemas.openxmlformats.org/drawingml/2006/picture">
                      <pic:pic>
                        <pic:nvPicPr>
                          <pic:cNvPr descr="images/Map2.png" id="32" name="Picture"/>
                          <pic:cNvPicPr>
                            <a:picLocks noChangeArrowheads="1" noChangeAspect="1"/>
                          </pic:cNvPicPr>
                        </pic:nvPicPr>
                        <pic:blipFill>
                          <a:blip r:embed="rId30"/>
                          <a:stretch>
                            <a:fillRect/>
                          </a:stretch>
                        </pic:blipFill>
                        <pic:spPr bwMode="auto">
                          <a:xfrm>
                            <a:off x="0" y="0"/>
                            <a:ext cx="5334000" cy="28919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Crawford Notch (CF, Pair 4) site. The burn stand is colored in red and the control stand in blue. Respective colored lines within the stands are transects establish for data collection.</w:t>
            </w:r>
          </w:p>
          <w:bookmarkEnd w:id="33"/>
        </w:tc>
      </w:tr>
    </w:tbl>
    <w:bookmarkEnd w:id="34"/>
    <w:bookmarkStart w:id="39" w:name="X4509c1dfa9fe9f090ec285237ff16b99828de9e"/>
    <w:p>
      <w:pPr>
        <w:pStyle w:val="Heading2"/>
      </w:pPr>
      <w:r>
        <w:t xml:space="preserve">1.4 Bartlett Experimental Forest (BEF, Pairs 5-6)</w:t>
      </w:r>
    </w:p>
    <w:p>
      <w:pPr>
        <w:pStyle w:val="FirstParagraph"/>
      </w:pPr>
      <w:r>
        <w:t xml:space="preserve">1050 hectares were set aside by the US Forest Service in 1931 to conduct research on the ecology and management of northern forest ecosystems, including forest dynamics and structure as well as wildlife relationship with forest management (</w:t>
      </w:r>
      <w:hyperlink w:anchor="fig-bef">
        <w:r>
          <w:rPr>
            <w:rStyle w:val="Hyperlink"/>
          </w:rPr>
          <w:t xml:space="preserve">Figure 4</w:t>
        </w:r>
      </w:hyperlink>
      <w:r>
        <w:t xml:space="preserve">)</w:t>
      </w:r>
      <w:r>
        <w:t xml:space="preserve"> </w:t>
      </w:r>
      <w:r>
        <w:t xml:space="preserve">(Gamal-Eldin 1998)</w:t>
      </w:r>
      <w:r>
        <w:t xml:space="preserve">. The forest was chosen for its typical New England conditions in terms of soils, elevation gradients, climate, and tree species composition. It was selectively logged through the late 19</w:t>
      </w:r>
      <w:r>
        <w:rPr>
          <w:vertAlign w:val="superscript"/>
        </w:rPr>
        <w:t xml:space="preserve">th</w:t>
      </w:r>
      <w:r>
        <w:t xml:space="preserve"> </w:t>
      </w:r>
      <w:r>
        <w:t xml:space="preserve">into the early 20</w:t>
      </w:r>
      <w:r>
        <w:rPr>
          <w:vertAlign w:val="superscript"/>
        </w:rPr>
        <w:t xml:space="preserve">th</w:t>
      </w:r>
      <w:r>
        <w:t xml:space="preserve"> </w:t>
      </w:r>
      <w:r>
        <w:t xml:space="preserve">century for high-value timber, fuel, and building roads. At present, different silvicultural systems are implemented in different compartments to be studied over a long period of time</w:t>
      </w:r>
      <w:r>
        <w:t xml:space="preserve"> </w:t>
      </w:r>
      <w:r>
        <w:t xml:space="preserve">(Leak and Yamasaki 2011)</w:t>
      </w:r>
      <w:r>
        <w:t xml:space="preserve">. With regards to the even-aged silvicultural treatment, three compartments were clear-cut in 2018, and half of each also received prescribed fires in 2021. Whole tree harvesting as such promoted multi-species composition, especially allowing the successional paper birch and aspen to regenerate. The ultimate goal is to make Bartlett a mixed stand with multiple age classes, a diverse tree species composition, and appropriate levels of stocking.</w:t>
      </w:r>
    </w:p>
    <w:tbl>
      <w:tblPr>
        <w:tblStyle w:val="Table"/>
        <w:tblW w:type="pct" w:w="5000"/>
        <w:tblLayout w:type="fixed"/>
        <w:tblLook w:firstRow="0" w:lastRow="0" w:firstColumn="0" w:lastColumn="0" w:noHBand="0" w:noVBand="0" w:val="0000"/>
      </w:tblPr>
      <w:tblGrid>
        <w:gridCol w:w="7920"/>
      </w:tblGrid>
      <w:tr>
        <w:tc>
          <w:tcPr/>
          <w:bookmarkStart w:id="38" w:name="fig-bef"/>
          <w:p>
            <w:pPr>
              <w:pStyle w:val="Compact"/>
              <w:jc w:val="center"/>
            </w:pPr>
            <w:r>
              <w:drawing>
                <wp:inline>
                  <wp:extent cx="5334000" cy="2895708"/>
                  <wp:effectExtent b="0" l="0" r="0" t="0"/>
                  <wp:docPr descr="" title="" id="36" name="Picture"/>
                  <a:graphic>
                    <a:graphicData uri="http://schemas.openxmlformats.org/drawingml/2006/picture">
                      <pic:pic>
                        <pic:nvPicPr>
                          <pic:cNvPr descr="images/BEFmap.png" id="37" name="Picture"/>
                          <pic:cNvPicPr>
                            <a:picLocks noChangeArrowheads="1" noChangeAspect="1"/>
                          </pic:cNvPicPr>
                        </pic:nvPicPr>
                        <pic:blipFill>
                          <a:blip r:embed="rId35"/>
                          <a:stretch>
                            <a:fillRect/>
                          </a:stretch>
                        </pic:blipFill>
                        <pic:spPr bwMode="auto">
                          <a:xfrm>
                            <a:off x="0" y="0"/>
                            <a:ext cx="5334000" cy="28957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Bartlett (BEF, Pairs 5-6) site. The burn stand is colored in red and the control stand in blue. Respective colored lines within the stands are transects establish for data collection.</w:t>
            </w:r>
          </w:p>
          <w:bookmarkEnd w:id="38"/>
        </w:tc>
      </w:tr>
    </w:tbl>
    <w:bookmarkEnd w:id="39"/>
    <w:bookmarkEnd w:id="40"/>
    <w:bookmarkStart w:id="50" w:name="stand-characterization"/>
    <w:p>
      <w:pPr>
        <w:pStyle w:val="Heading1"/>
      </w:pPr>
      <w:r>
        <w:t xml:space="preserve">2. Stand characterization</w:t>
      </w:r>
    </w:p>
    <w:tbl>
      <w:tblPr>
        <w:tblStyle w:val="Table"/>
        <w:tblW w:type="pct" w:w="5000"/>
        <w:tblLayout w:type="fixed"/>
        <w:tblLook w:firstRow="0" w:lastRow="0" w:firstColumn="0" w:lastColumn="0" w:noHBand="0" w:noVBand="0" w:val="0000"/>
      </w:tblPr>
      <w:tblGrid>
        <w:gridCol w:w="7920"/>
      </w:tblGrid>
      <w:tr>
        <w:tc>
          <w:tcPr/>
          <w:bookmarkStart w:id="41" w:name="tbl-basalarea"/>
          <w:p>
            <w:pPr>
              <w:jc w:val="center"/>
            </w:pPr>
            <w:pPr>
              <w:jc w:val="start"/>
              <w:spacing w:before="200"/>
              <w:pStyle w:val="ImageCaption"/>
            </w:pPr>
            <w:r>
              <w:t xml:space="preserve">Table 1: Basal area per hectare of dead/alive overstory trees with DBH&gt;=30 cm in 2023 by study stands, burn treatments, and genus.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Pair</w:t>
                  </w:r>
                </w:p>
              </w:tc>
              <w:tc>
                <w:tcPr/>
                <w:p>
                  <w:pPr>
                    <w:pStyle w:val="Compact"/>
                    <w:jc w:val="left"/>
                    <w:jc w:val="center"/>
                  </w:pPr>
                  <w:r>
                    <w:t xml:space="preserve">Disturbance</w:t>
                  </w:r>
                </w:p>
              </w:tc>
              <w:tc>
                <w:tcPr/>
                <w:p>
                  <w:pPr>
                    <w:pStyle w:val="Compact"/>
                    <w:jc w:val="left"/>
                    <w:jc w:val="center"/>
                  </w:pPr>
                  <w:r>
                    <w:t xml:space="preserve">Genus</w:t>
                  </w:r>
                </w:p>
              </w:tc>
              <w:tc>
                <w:tcPr/>
                <w:p>
                  <w:pPr>
                    <w:pStyle w:val="Compact"/>
                    <w:jc w:val="left"/>
                    <w:jc w:val="center"/>
                  </w:pPr>
                  <w:r>
                    <w:t xml:space="preserve">Condition</w:t>
                  </w:r>
                </w:p>
              </w:tc>
              <w:tc>
                <w:tcPr/>
                <w:p>
                  <w:pPr>
                    <w:pStyle w:val="Compact"/>
                    <w:jc w:val="right"/>
                    <w:jc w:val="center"/>
                  </w:pPr>
                  <w:r>
                    <w:t xml:space="preserve">m2ha_sum</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4.9</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Betula</w:t>
                  </w:r>
                </w:p>
              </w:tc>
              <w:tc>
                <w:tcPr/>
                <w:p>
                  <w:pPr>
                    <w:pStyle w:val="Compact"/>
                    <w:jc w:val="left"/>
                    <w:jc w:val="center"/>
                  </w:pPr>
                  <w:r>
                    <w:t xml:space="preserve">Alive</w:t>
                  </w:r>
                </w:p>
              </w:tc>
              <w:tc>
                <w:tcPr/>
                <w:p>
                  <w:pPr>
                    <w:pStyle w:val="Compact"/>
                    <w:jc w:val="right"/>
                    <w:jc w:val="center"/>
                  </w:pPr>
                  <w:r>
                    <w:t xml:space="preserve">0.7</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0.5</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Others</w:t>
                  </w:r>
                </w:p>
              </w:tc>
              <w:tc>
                <w:tcPr/>
                <w:p>
                  <w:pPr>
                    <w:pStyle w:val="Compact"/>
                    <w:jc w:val="left"/>
                    <w:jc w:val="center"/>
                  </w:pPr>
                  <w:r>
                    <w:t xml:space="preserve">Alive</w:t>
                  </w:r>
                </w:p>
              </w:tc>
              <w:tc>
                <w:tcPr/>
                <w:p>
                  <w:pPr>
                    <w:pStyle w:val="Compact"/>
                    <w:jc w:val="right"/>
                    <w:jc w:val="center"/>
                  </w:pPr>
                  <w:r>
                    <w:t xml:space="preserve">6.6</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Others</w:t>
                  </w:r>
                </w:p>
              </w:tc>
              <w:tc>
                <w:tcPr/>
                <w:p>
                  <w:pPr>
                    <w:pStyle w:val="Compact"/>
                    <w:jc w:val="left"/>
                    <w:jc w:val="center"/>
                  </w:pPr>
                  <w:r>
                    <w:t xml:space="preserve">Dead</w:t>
                  </w:r>
                </w:p>
              </w:tc>
              <w:tc>
                <w:tcPr/>
                <w:p>
                  <w:pPr>
                    <w:pStyle w:val="Compact"/>
                    <w:jc w:val="right"/>
                    <w:jc w:val="center"/>
                  </w:pPr>
                  <w:r>
                    <w:t xml:space="preserve">0.1</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P. strobus</w:t>
                  </w:r>
                </w:p>
              </w:tc>
              <w:tc>
                <w:tcPr/>
                <w:p>
                  <w:pPr>
                    <w:pStyle w:val="Compact"/>
                    <w:jc w:val="left"/>
                    <w:jc w:val="center"/>
                  </w:pPr>
                  <w:r>
                    <w:t xml:space="preserve">Alive</w:t>
                  </w:r>
                </w:p>
              </w:tc>
              <w:tc>
                <w:tcPr/>
                <w:p>
                  <w:pPr>
                    <w:pStyle w:val="Compact"/>
                    <w:jc w:val="right"/>
                    <w:jc w:val="center"/>
                  </w:pPr>
                  <w:r>
                    <w:t xml:space="preserve">6.0</w:t>
                  </w:r>
                </w:p>
              </w:tc>
            </w:tr>
            <w:tr>
              <w:tc>
                <w:tcPr/>
                <w:p>
                  <w:pPr>
                    <w:pStyle w:val="Compact"/>
                    <w:jc w:val="left"/>
                    <w:jc w:val="center"/>
                  </w:pPr>
                  <w:r>
                    <w:t xml:space="preserve">1</w:t>
                  </w:r>
                </w:p>
              </w:tc>
              <w:tc>
                <w:tcPr/>
                <w:p>
                  <w:pPr>
                    <w:pStyle w:val="Compact"/>
                    <w:jc w:val="left"/>
                    <w:jc w:val="center"/>
                  </w:pPr>
                  <w:r>
                    <w:t xml:space="preserve">B</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13.3</w:t>
                  </w:r>
                </w:p>
              </w:tc>
            </w:tr>
            <w:tr>
              <w:tc>
                <w:tcPr/>
                <w:p>
                  <w:pPr>
                    <w:pStyle w:val="Compact"/>
                    <w:jc w:val="left"/>
                    <w:jc w:val="center"/>
                  </w:pPr>
                  <w:r>
                    <w:t xml:space="preserve">1</w:t>
                  </w:r>
                </w:p>
              </w:tc>
              <w:tc>
                <w:tcPr/>
                <w:p>
                  <w:pPr>
                    <w:pStyle w:val="Compact"/>
                    <w:jc w:val="left"/>
                    <w:jc w:val="center"/>
                  </w:pPr>
                  <w:r>
                    <w:t xml:space="preserve">C</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2.0</w:t>
                  </w:r>
                </w:p>
              </w:tc>
            </w:tr>
            <w:tr>
              <w:tc>
                <w:tcPr/>
                <w:p>
                  <w:pPr>
                    <w:pStyle w:val="Compact"/>
                    <w:jc w:val="left"/>
                    <w:jc w:val="center"/>
                  </w:pPr>
                  <w:r>
                    <w:t xml:space="preserve">1</w:t>
                  </w:r>
                </w:p>
              </w:tc>
              <w:tc>
                <w:tcPr/>
                <w:p>
                  <w:pPr>
                    <w:pStyle w:val="Compact"/>
                    <w:jc w:val="left"/>
                    <w:jc w:val="center"/>
                  </w:pPr>
                  <w:r>
                    <w:t xml:space="preserve">C</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0.4</w:t>
                  </w:r>
                </w:p>
              </w:tc>
            </w:tr>
            <w:tr>
              <w:tc>
                <w:tcPr/>
                <w:p>
                  <w:pPr>
                    <w:pStyle w:val="Compact"/>
                    <w:jc w:val="left"/>
                    <w:jc w:val="center"/>
                  </w:pPr>
                  <w:r>
                    <w:t xml:space="preserve">1</w:t>
                  </w:r>
                </w:p>
              </w:tc>
              <w:tc>
                <w:tcPr/>
                <w:p>
                  <w:pPr>
                    <w:pStyle w:val="Compact"/>
                    <w:jc w:val="left"/>
                    <w:jc w:val="center"/>
                  </w:pPr>
                  <w:r>
                    <w:t xml:space="preserve">C</w:t>
                  </w:r>
                </w:p>
              </w:tc>
              <w:tc>
                <w:tcPr/>
                <w:p>
                  <w:pPr>
                    <w:pStyle w:val="Compact"/>
                    <w:jc w:val="left"/>
                    <w:jc w:val="center"/>
                  </w:pPr>
                  <w:r>
                    <w:t xml:space="preserve">Others</w:t>
                  </w:r>
                </w:p>
              </w:tc>
              <w:tc>
                <w:tcPr/>
                <w:p>
                  <w:pPr>
                    <w:pStyle w:val="Compact"/>
                    <w:jc w:val="left"/>
                    <w:jc w:val="center"/>
                  </w:pPr>
                  <w:r>
                    <w:t xml:space="preserve">Alive</w:t>
                  </w:r>
                </w:p>
              </w:tc>
              <w:tc>
                <w:tcPr/>
                <w:p>
                  <w:pPr>
                    <w:pStyle w:val="Compact"/>
                    <w:jc w:val="right"/>
                    <w:jc w:val="center"/>
                  </w:pPr>
                  <w:r>
                    <w:t xml:space="preserve">0.3</w:t>
                  </w:r>
                </w:p>
              </w:tc>
            </w:tr>
            <w:tr>
              <w:tc>
                <w:tcPr/>
                <w:p>
                  <w:pPr>
                    <w:pStyle w:val="Compact"/>
                    <w:jc w:val="left"/>
                    <w:jc w:val="center"/>
                  </w:pPr>
                  <w:r>
                    <w:t xml:space="preserve">1</w:t>
                  </w:r>
                </w:p>
              </w:tc>
              <w:tc>
                <w:tcPr/>
                <w:p>
                  <w:pPr>
                    <w:pStyle w:val="Compact"/>
                    <w:jc w:val="left"/>
                    <w:jc w:val="center"/>
                  </w:pPr>
                  <w:r>
                    <w:t xml:space="preserve">C</w:t>
                  </w:r>
                </w:p>
              </w:tc>
              <w:tc>
                <w:tcPr/>
                <w:p>
                  <w:pPr>
                    <w:pStyle w:val="Compact"/>
                    <w:jc w:val="left"/>
                    <w:jc w:val="center"/>
                  </w:pPr>
                  <w:r>
                    <w:t xml:space="preserve">P. strobus</w:t>
                  </w:r>
                </w:p>
              </w:tc>
              <w:tc>
                <w:tcPr/>
                <w:p>
                  <w:pPr>
                    <w:pStyle w:val="Compact"/>
                    <w:jc w:val="left"/>
                    <w:jc w:val="center"/>
                  </w:pPr>
                  <w:r>
                    <w:t xml:space="preserve">Alive</w:t>
                  </w:r>
                </w:p>
              </w:tc>
              <w:tc>
                <w:tcPr/>
                <w:p>
                  <w:pPr>
                    <w:pStyle w:val="Compact"/>
                    <w:jc w:val="right"/>
                    <w:jc w:val="center"/>
                  </w:pPr>
                  <w:r>
                    <w:t xml:space="preserve">3.9</w:t>
                  </w:r>
                </w:p>
              </w:tc>
            </w:tr>
            <w:tr>
              <w:tc>
                <w:tcPr/>
                <w:p>
                  <w:pPr>
                    <w:pStyle w:val="Compact"/>
                    <w:jc w:val="left"/>
                    <w:jc w:val="center"/>
                  </w:pPr>
                  <w:r>
                    <w:t xml:space="preserve">1</w:t>
                  </w:r>
                </w:p>
              </w:tc>
              <w:tc>
                <w:tcPr/>
                <w:p>
                  <w:pPr>
                    <w:pStyle w:val="Compact"/>
                    <w:jc w:val="left"/>
                    <w:jc w:val="center"/>
                  </w:pPr>
                  <w:r>
                    <w:t xml:space="preserve">C</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16.3</w:t>
                  </w:r>
                </w:p>
              </w:tc>
            </w:tr>
            <w:tr>
              <w:tc>
                <w:tcPr/>
                <w:p>
                  <w:pPr>
                    <w:pStyle w:val="Compact"/>
                    <w:jc w:val="left"/>
                    <w:jc w:val="center"/>
                  </w:pPr>
                  <w:r>
                    <w:t xml:space="preserve">2</w:t>
                  </w:r>
                </w:p>
              </w:tc>
              <w:tc>
                <w:tcPr/>
                <w:p>
                  <w:pPr>
                    <w:pStyle w:val="Compact"/>
                    <w:jc w:val="left"/>
                    <w:jc w:val="center"/>
                  </w:pPr>
                  <w:r>
                    <w:t xml:space="preserve">B</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3.7</w:t>
                  </w:r>
                </w:p>
              </w:tc>
            </w:tr>
            <w:tr>
              <w:tc>
                <w:tcPr/>
                <w:p>
                  <w:pPr>
                    <w:pStyle w:val="Compact"/>
                    <w:jc w:val="left"/>
                    <w:jc w:val="center"/>
                  </w:pPr>
                  <w:r>
                    <w:t xml:space="preserve">2</w:t>
                  </w:r>
                </w:p>
              </w:tc>
              <w:tc>
                <w:tcPr/>
                <w:p>
                  <w:pPr>
                    <w:pStyle w:val="Compact"/>
                    <w:jc w:val="left"/>
                    <w:jc w:val="center"/>
                  </w:pPr>
                  <w:r>
                    <w:t xml:space="preserve">B</w:t>
                  </w:r>
                </w:p>
              </w:tc>
              <w:tc>
                <w:tcPr/>
                <w:p>
                  <w:pPr>
                    <w:pStyle w:val="Compact"/>
                    <w:jc w:val="left"/>
                    <w:jc w:val="center"/>
                  </w:pPr>
                  <w:r>
                    <w:t xml:space="preserve">Acer</w:t>
                  </w:r>
                </w:p>
              </w:tc>
              <w:tc>
                <w:tcPr/>
                <w:p>
                  <w:pPr>
                    <w:pStyle w:val="Compact"/>
                    <w:jc w:val="left"/>
                    <w:jc w:val="center"/>
                  </w:pPr>
                  <w:r>
                    <w:t xml:space="preserve">Dead</w:t>
                  </w:r>
                </w:p>
              </w:tc>
              <w:tc>
                <w:tcPr/>
                <w:p>
                  <w:pPr>
                    <w:pStyle w:val="Compact"/>
                    <w:jc w:val="right"/>
                    <w:jc w:val="center"/>
                  </w:pPr>
                  <w:r>
                    <w:t xml:space="preserve">0.7</w:t>
                  </w:r>
                </w:p>
              </w:tc>
            </w:tr>
            <w:tr>
              <w:tc>
                <w:tcPr/>
                <w:p>
                  <w:pPr>
                    <w:pStyle w:val="Compact"/>
                    <w:jc w:val="left"/>
                    <w:jc w:val="center"/>
                  </w:pPr>
                  <w:r>
                    <w:t xml:space="preserve">2</w:t>
                  </w:r>
                </w:p>
              </w:tc>
              <w:tc>
                <w:tcPr/>
                <w:p>
                  <w:pPr>
                    <w:pStyle w:val="Compact"/>
                    <w:jc w:val="left"/>
                    <w:jc w:val="center"/>
                  </w:pPr>
                  <w:r>
                    <w:t xml:space="preserve">B</w:t>
                  </w:r>
                </w:p>
              </w:tc>
              <w:tc>
                <w:tcPr/>
                <w:p>
                  <w:pPr>
                    <w:pStyle w:val="Compact"/>
                    <w:jc w:val="left"/>
                    <w:jc w:val="center"/>
                  </w:pPr>
                  <w:r>
                    <w:t xml:space="preserve">Betula</w:t>
                  </w:r>
                </w:p>
              </w:tc>
              <w:tc>
                <w:tcPr/>
                <w:p>
                  <w:pPr>
                    <w:pStyle w:val="Compact"/>
                    <w:jc w:val="left"/>
                    <w:jc w:val="center"/>
                  </w:pPr>
                  <w:r>
                    <w:t xml:space="preserve">Dead</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left"/>
                    <w:jc w:val="center"/>
                  </w:pPr>
                  <w:r>
                    <w:t xml:space="preserve">B</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0.5</w:t>
                  </w:r>
                </w:p>
              </w:tc>
            </w:tr>
            <w:tr>
              <w:tc>
                <w:tcPr/>
                <w:p>
                  <w:pPr>
                    <w:pStyle w:val="Compact"/>
                    <w:jc w:val="left"/>
                    <w:jc w:val="center"/>
                  </w:pPr>
                  <w:r>
                    <w:t xml:space="preserve">2</w:t>
                  </w:r>
                </w:p>
              </w:tc>
              <w:tc>
                <w:tcPr/>
                <w:p>
                  <w:pPr>
                    <w:pStyle w:val="Compact"/>
                    <w:jc w:val="left"/>
                    <w:jc w:val="center"/>
                  </w:pPr>
                  <w:r>
                    <w:t xml:space="preserve">B</w:t>
                  </w:r>
                </w:p>
              </w:tc>
              <w:tc>
                <w:tcPr/>
                <w:p>
                  <w:pPr>
                    <w:pStyle w:val="Compact"/>
                    <w:jc w:val="left"/>
                    <w:jc w:val="center"/>
                  </w:pPr>
                  <w:r>
                    <w:t xml:space="preserve">F. grandifolia</w:t>
                  </w:r>
                </w:p>
              </w:tc>
              <w:tc>
                <w:tcPr/>
                <w:p>
                  <w:pPr>
                    <w:pStyle w:val="Compact"/>
                    <w:jc w:val="left"/>
                    <w:jc w:val="center"/>
                  </w:pPr>
                  <w:r>
                    <w:t xml:space="preserve">Dead</w:t>
                  </w:r>
                </w:p>
              </w:tc>
              <w:tc>
                <w:tcPr/>
                <w:p>
                  <w:pPr>
                    <w:pStyle w:val="Compact"/>
                    <w:jc w:val="right"/>
                    <w:jc w:val="center"/>
                  </w:pPr>
                  <w:r>
                    <w:t xml:space="preserve">1.7</w:t>
                  </w:r>
                </w:p>
              </w:tc>
            </w:tr>
            <w:tr>
              <w:tc>
                <w:tcPr/>
                <w:p>
                  <w:pPr>
                    <w:pStyle w:val="Compact"/>
                    <w:jc w:val="left"/>
                    <w:jc w:val="center"/>
                  </w:pPr>
                  <w:r>
                    <w:t xml:space="preserve">2</w:t>
                  </w:r>
                </w:p>
              </w:tc>
              <w:tc>
                <w:tcPr/>
                <w:p>
                  <w:pPr>
                    <w:pStyle w:val="Compact"/>
                    <w:jc w:val="left"/>
                    <w:jc w:val="center"/>
                  </w:pPr>
                  <w:r>
                    <w:t xml:space="preserve">B</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6.8</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5.7</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Acer</w:t>
                  </w:r>
                </w:p>
              </w:tc>
              <w:tc>
                <w:tcPr/>
                <w:p>
                  <w:pPr>
                    <w:pStyle w:val="Compact"/>
                    <w:jc w:val="left"/>
                    <w:jc w:val="center"/>
                  </w:pPr>
                  <w:r>
                    <w:t xml:space="preserve">Dead</w:t>
                  </w:r>
                </w:p>
              </w:tc>
              <w:tc>
                <w:tcPr/>
                <w:p>
                  <w:pPr>
                    <w:pStyle w:val="Compact"/>
                    <w:jc w:val="right"/>
                    <w:jc w:val="center"/>
                  </w:pPr>
                  <w:r>
                    <w:t xml:space="preserve">0.8</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0.3</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F. grandifolia</w:t>
                  </w:r>
                </w:p>
              </w:tc>
              <w:tc>
                <w:tcPr/>
                <w:p>
                  <w:pPr>
                    <w:pStyle w:val="Compact"/>
                    <w:jc w:val="left"/>
                    <w:jc w:val="center"/>
                  </w:pPr>
                  <w:r>
                    <w:t xml:space="preserve">Dead</w:t>
                  </w:r>
                </w:p>
              </w:tc>
              <w:tc>
                <w:tcPr/>
                <w:p>
                  <w:pPr>
                    <w:pStyle w:val="Compact"/>
                    <w:jc w:val="right"/>
                    <w:jc w:val="center"/>
                  </w:pPr>
                  <w:r>
                    <w:t xml:space="preserve">1.1</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Others</w:t>
                  </w:r>
                </w:p>
              </w:tc>
              <w:tc>
                <w:tcPr/>
                <w:p>
                  <w:pPr>
                    <w:pStyle w:val="Compact"/>
                    <w:jc w:val="left"/>
                    <w:jc w:val="center"/>
                  </w:pPr>
                  <w:r>
                    <w:t xml:space="preserve">Alive</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11.5</w:t>
                  </w:r>
                </w:p>
              </w:tc>
            </w:tr>
            <w:tr>
              <w:tc>
                <w:tcPr/>
                <w:p>
                  <w:pPr>
                    <w:pStyle w:val="Compact"/>
                    <w:jc w:val="left"/>
                    <w:jc w:val="center"/>
                  </w:pPr>
                  <w:r>
                    <w:t xml:space="preserve">2</w:t>
                  </w:r>
                </w:p>
              </w:tc>
              <w:tc>
                <w:tcPr/>
                <w:p>
                  <w:pPr>
                    <w:pStyle w:val="Compact"/>
                    <w:jc w:val="left"/>
                    <w:jc w:val="center"/>
                  </w:pPr>
                  <w:r>
                    <w:t xml:space="preserve">C</w:t>
                  </w:r>
                </w:p>
              </w:tc>
              <w:tc>
                <w:tcPr/>
                <w:p>
                  <w:pPr>
                    <w:pStyle w:val="Compact"/>
                    <w:jc w:val="left"/>
                    <w:jc w:val="center"/>
                  </w:pPr>
                  <w:r>
                    <w:t xml:space="preserve">Populus</w:t>
                  </w:r>
                </w:p>
              </w:tc>
              <w:tc>
                <w:tcPr/>
                <w:p>
                  <w:pPr>
                    <w:pStyle w:val="Compact"/>
                    <w:jc w:val="left"/>
                    <w:jc w:val="center"/>
                  </w:pPr>
                  <w:r>
                    <w:t xml:space="preserve">Alive</w:t>
                  </w:r>
                </w:p>
              </w:tc>
              <w:tc>
                <w:tcPr/>
                <w:p>
                  <w:pPr>
                    <w:pStyle w:val="Compact"/>
                    <w:jc w:val="right"/>
                    <w:jc w:val="center"/>
                  </w:pPr>
                  <w:r>
                    <w:t xml:space="preserve">0.7</w:t>
                  </w:r>
                </w:p>
              </w:tc>
            </w:tr>
            <w:tr>
              <w:tc>
                <w:tcPr/>
                <w:p>
                  <w:pPr>
                    <w:pStyle w:val="Compact"/>
                    <w:jc w:val="left"/>
                    <w:jc w:val="center"/>
                  </w:pPr>
                  <w:r>
                    <w:t xml:space="preserve">3</w:t>
                  </w:r>
                </w:p>
              </w:tc>
              <w:tc>
                <w:tcPr/>
                <w:p>
                  <w:pPr>
                    <w:pStyle w:val="Compact"/>
                    <w:jc w:val="left"/>
                    <w:jc w:val="center"/>
                  </w:pPr>
                  <w:r>
                    <w:t xml:space="preserve">B</w:t>
                  </w:r>
                </w:p>
              </w:tc>
              <w:tc>
                <w:tcPr/>
                <w:p>
                  <w:pPr>
                    <w:pStyle w:val="Compact"/>
                    <w:jc w:val="left"/>
                    <w:jc w:val="center"/>
                  </w:pPr>
                  <w:r>
                    <w:t xml:space="preserve">Acer</w:t>
                  </w:r>
                </w:p>
              </w:tc>
              <w:tc>
                <w:tcPr/>
                <w:p>
                  <w:pPr>
                    <w:pStyle w:val="Compact"/>
                    <w:jc w:val="left"/>
                    <w:jc w:val="center"/>
                  </w:pPr>
                  <w:r>
                    <w:t xml:space="preserve">Dead</w:t>
                  </w:r>
                </w:p>
              </w:tc>
              <w:tc>
                <w:tcPr/>
                <w:p>
                  <w:pPr>
                    <w:pStyle w:val="Compact"/>
                    <w:jc w:val="right"/>
                    <w:jc w:val="center"/>
                  </w:pPr>
                  <w:r>
                    <w:t xml:space="preserve">0.3</w:t>
                  </w:r>
                </w:p>
              </w:tc>
            </w:tr>
            <w:tr>
              <w:tc>
                <w:tcPr/>
                <w:p>
                  <w:pPr>
                    <w:pStyle w:val="Compact"/>
                    <w:jc w:val="left"/>
                    <w:jc w:val="center"/>
                  </w:pPr>
                  <w:r>
                    <w:t xml:space="preserve">3</w:t>
                  </w:r>
                </w:p>
              </w:tc>
              <w:tc>
                <w:tcPr/>
                <w:p>
                  <w:pPr>
                    <w:pStyle w:val="Compact"/>
                    <w:jc w:val="left"/>
                    <w:jc w:val="center"/>
                  </w:pPr>
                  <w:r>
                    <w:t xml:space="preserve">B</w:t>
                  </w:r>
                </w:p>
              </w:tc>
              <w:tc>
                <w:tcPr/>
                <w:p>
                  <w:pPr>
                    <w:pStyle w:val="Compact"/>
                    <w:jc w:val="left"/>
                    <w:jc w:val="center"/>
                  </w:pPr>
                  <w:r>
                    <w:t xml:space="preserve">Betula</w:t>
                  </w:r>
                </w:p>
              </w:tc>
              <w:tc>
                <w:tcPr/>
                <w:p>
                  <w:pPr>
                    <w:pStyle w:val="Compact"/>
                    <w:jc w:val="left"/>
                    <w:jc w:val="center"/>
                  </w:pPr>
                  <w:r>
                    <w:t xml:space="preserve">Alive</w:t>
                  </w:r>
                </w:p>
              </w:tc>
              <w:tc>
                <w:tcPr/>
                <w:p>
                  <w:pPr>
                    <w:pStyle w:val="Compact"/>
                    <w:jc w:val="right"/>
                    <w:jc w:val="center"/>
                  </w:pPr>
                  <w:r>
                    <w:t xml:space="preserve">0.9</w:t>
                  </w:r>
                </w:p>
              </w:tc>
            </w:tr>
            <w:tr>
              <w:tc>
                <w:tcPr/>
                <w:p>
                  <w:pPr>
                    <w:pStyle w:val="Compact"/>
                    <w:jc w:val="left"/>
                    <w:jc w:val="center"/>
                  </w:pPr>
                  <w:r>
                    <w:t xml:space="preserve">3</w:t>
                  </w:r>
                </w:p>
              </w:tc>
              <w:tc>
                <w:tcPr/>
                <w:p>
                  <w:pPr>
                    <w:pStyle w:val="Compact"/>
                    <w:jc w:val="left"/>
                    <w:jc w:val="center"/>
                  </w:pPr>
                  <w:r>
                    <w:t xml:space="preserve">B</w:t>
                  </w:r>
                </w:p>
              </w:tc>
              <w:tc>
                <w:tcPr/>
                <w:p>
                  <w:pPr>
                    <w:pStyle w:val="Compact"/>
                    <w:jc w:val="left"/>
                    <w:jc w:val="center"/>
                  </w:pPr>
                  <w:r>
                    <w:t xml:space="preserve">P. strobus</w:t>
                  </w:r>
                </w:p>
              </w:tc>
              <w:tc>
                <w:tcPr/>
                <w:p>
                  <w:pPr>
                    <w:pStyle w:val="Compact"/>
                    <w:jc w:val="left"/>
                    <w:jc w:val="center"/>
                  </w:pPr>
                  <w:r>
                    <w:t xml:space="preserve">Alive</w:t>
                  </w:r>
                </w:p>
              </w:tc>
              <w:tc>
                <w:tcPr/>
                <w:p>
                  <w:pPr>
                    <w:pStyle w:val="Compact"/>
                    <w:jc w:val="right"/>
                    <w:jc w:val="center"/>
                  </w:pPr>
                  <w:r>
                    <w:t xml:space="preserve">1.2</w:t>
                  </w:r>
                </w:p>
              </w:tc>
            </w:tr>
            <w:tr>
              <w:tc>
                <w:tcPr/>
                <w:p>
                  <w:pPr>
                    <w:pStyle w:val="Compact"/>
                    <w:jc w:val="left"/>
                    <w:jc w:val="center"/>
                  </w:pPr>
                  <w:r>
                    <w:t xml:space="preserve">3</w:t>
                  </w:r>
                </w:p>
              </w:tc>
              <w:tc>
                <w:tcPr/>
                <w:p>
                  <w:pPr>
                    <w:pStyle w:val="Compact"/>
                    <w:jc w:val="left"/>
                    <w:jc w:val="center"/>
                  </w:pPr>
                  <w:r>
                    <w:t xml:space="preserve">B</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24.5</w:t>
                  </w:r>
                </w:p>
              </w:tc>
            </w:tr>
            <w:tr>
              <w:tc>
                <w:tcPr/>
                <w:p>
                  <w:pPr>
                    <w:pStyle w:val="Compact"/>
                    <w:jc w:val="left"/>
                    <w:jc w:val="center"/>
                  </w:pPr>
                  <w:r>
                    <w:t xml:space="preserve">3</w:t>
                  </w:r>
                </w:p>
              </w:tc>
              <w:tc>
                <w:tcPr/>
                <w:p>
                  <w:pPr>
                    <w:pStyle w:val="Compact"/>
                    <w:jc w:val="left"/>
                    <w:jc w:val="center"/>
                  </w:pPr>
                  <w:r>
                    <w:t xml:space="preserve">B</w:t>
                  </w:r>
                </w:p>
              </w:tc>
              <w:tc>
                <w:tcPr/>
                <w:p>
                  <w:pPr>
                    <w:pStyle w:val="Compact"/>
                    <w:jc w:val="left"/>
                    <w:jc w:val="center"/>
                  </w:pPr>
                  <w:r>
                    <w:t xml:space="preserve">Q. rubra</w:t>
                  </w:r>
                </w:p>
              </w:tc>
              <w:tc>
                <w:tcPr/>
                <w:p>
                  <w:pPr>
                    <w:pStyle w:val="Compact"/>
                    <w:jc w:val="left"/>
                    <w:jc w:val="center"/>
                  </w:pPr>
                  <w:r>
                    <w:t xml:space="preserve">Dead</w:t>
                  </w:r>
                </w:p>
              </w:tc>
              <w:tc>
                <w:tcPr/>
                <w:p>
                  <w:pPr>
                    <w:pStyle w:val="Compact"/>
                    <w:jc w:val="right"/>
                    <w:jc w:val="center"/>
                  </w:pPr>
                  <w:r>
                    <w:t xml:space="preserve">1.7</w:t>
                  </w:r>
                </w:p>
              </w:tc>
            </w:tr>
            <w:tr>
              <w:tc>
                <w:tcPr/>
                <w:p>
                  <w:pPr>
                    <w:pStyle w:val="Compact"/>
                    <w:jc w:val="left"/>
                    <w:jc w:val="center"/>
                  </w:pPr>
                  <w:r>
                    <w:t xml:space="preserve">3</w:t>
                  </w:r>
                </w:p>
              </w:tc>
              <w:tc>
                <w:tcPr/>
                <w:p>
                  <w:pPr>
                    <w:pStyle w:val="Compact"/>
                    <w:jc w:val="left"/>
                    <w:jc w:val="center"/>
                  </w:pPr>
                  <w:r>
                    <w:t xml:space="preserve">C</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4.3</w:t>
                  </w:r>
                </w:p>
              </w:tc>
            </w:tr>
            <w:tr>
              <w:tc>
                <w:tcPr/>
                <w:p>
                  <w:pPr>
                    <w:pStyle w:val="Compact"/>
                    <w:jc w:val="left"/>
                    <w:jc w:val="center"/>
                  </w:pPr>
                  <w:r>
                    <w:t xml:space="preserve">3</w:t>
                  </w:r>
                </w:p>
              </w:tc>
              <w:tc>
                <w:tcPr/>
                <w:p>
                  <w:pPr>
                    <w:pStyle w:val="Compact"/>
                    <w:jc w:val="left"/>
                    <w:jc w:val="center"/>
                  </w:pPr>
                  <w:r>
                    <w:t xml:space="preserve">C</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2.8</w:t>
                  </w:r>
                </w:p>
              </w:tc>
            </w:tr>
            <w:tr>
              <w:tc>
                <w:tcPr/>
                <w:p>
                  <w:pPr>
                    <w:pStyle w:val="Compact"/>
                    <w:jc w:val="left"/>
                    <w:jc w:val="center"/>
                  </w:pPr>
                  <w:r>
                    <w:t xml:space="preserve">3</w:t>
                  </w:r>
                </w:p>
              </w:tc>
              <w:tc>
                <w:tcPr/>
                <w:p>
                  <w:pPr>
                    <w:pStyle w:val="Compact"/>
                    <w:jc w:val="left"/>
                    <w:jc w:val="center"/>
                  </w:pPr>
                  <w:r>
                    <w:t xml:space="preserve">C</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13.9</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1.5</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Acer</w:t>
                  </w:r>
                </w:p>
              </w:tc>
              <w:tc>
                <w:tcPr/>
                <w:p>
                  <w:pPr>
                    <w:pStyle w:val="Compact"/>
                    <w:jc w:val="left"/>
                    <w:jc w:val="center"/>
                  </w:pPr>
                  <w:r>
                    <w:t xml:space="preserve">Dead</w:t>
                  </w:r>
                </w:p>
              </w:tc>
              <w:tc>
                <w:tcPr/>
                <w:p>
                  <w:pPr>
                    <w:pStyle w:val="Compact"/>
                    <w:jc w:val="right"/>
                    <w:jc w:val="center"/>
                  </w:pPr>
                  <w:r>
                    <w:t xml:space="preserve">0.5</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Betula</w:t>
                  </w:r>
                </w:p>
              </w:tc>
              <w:tc>
                <w:tcPr/>
                <w:p>
                  <w:pPr>
                    <w:pStyle w:val="Compact"/>
                    <w:jc w:val="left"/>
                    <w:jc w:val="center"/>
                  </w:pPr>
                  <w:r>
                    <w:t xml:space="preserve">Alive</w:t>
                  </w:r>
                </w:p>
              </w:tc>
              <w:tc>
                <w:tcPr/>
                <w:p>
                  <w:pPr>
                    <w:pStyle w:val="Compact"/>
                    <w:jc w:val="right"/>
                    <w:jc w:val="center"/>
                  </w:pPr>
                  <w:r>
                    <w:t xml:space="preserve">0.5</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Betula</w:t>
                  </w:r>
                </w:p>
              </w:tc>
              <w:tc>
                <w:tcPr/>
                <w:p>
                  <w:pPr>
                    <w:pStyle w:val="Compact"/>
                    <w:jc w:val="left"/>
                    <w:jc w:val="center"/>
                  </w:pPr>
                  <w:r>
                    <w:t xml:space="preserve">Dead</w:t>
                  </w:r>
                </w:p>
              </w:tc>
              <w:tc>
                <w:tcPr/>
                <w:p>
                  <w:pPr>
                    <w:pStyle w:val="Compact"/>
                    <w:jc w:val="right"/>
                    <w:jc w:val="center"/>
                  </w:pPr>
                  <w:r>
                    <w:t xml:space="preserve">0.5</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F. grandifolia</w:t>
                  </w:r>
                </w:p>
              </w:tc>
              <w:tc>
                <w:tcPr/>
                <w:p>
                  <w:pPr>
                    <w:pStyle w:val="Compact"/>
                    <w:jc w:val="left"/>
                    <w:jc w:val="center"/>
                  </w:pPr>
                  <w:r>
                    <w:t xml:space="preserve">Dead</w:t>
                  </w:r>
                </w:p>
              </w:tc>
              <w:tc>
                <w:tcPr/>
                <w:p>
                  <w:pPr>
                    <w:pStyle w:val="Compact"/>
                    <w:jc w:val="right"/>
                    <w:jc w:val="center"/>
                  </w:pPr>
                  <w:r>
                    <w:t xml:space="preserve">1.7</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13.2</w:t>
                  </w:r>
                </w:p>
              </w:tc>
            </w:tr>
            <w:tr>
              <w:tc>
                <w:tcPr/>
                <w:p>
                  <w:pPr>
                    <w:pStyle w:val="Compact"/>
                    <w:jc w:val="left"/>
                    <w:jc w:val="center"/>
                  </w:pPr>
                  <w:r>
                    <w:t xml:space="preserve">4</w:t>
                  </w:r>
                </w:p>
              </w:tc>
              <w:tc>
                <w:tcPr/>
                <w:p>
                  <w:pPr>
                    <w:pStyle w:val="Compact"/>
                    <w:jc w:val="left"/>
                    <w:jc w:val="center"/>
                  </w:pPr>
                  <w:r>
                    <w:t xml:space="preserve">B</w:t>
                  </w:r>
                </w:p>
              </w:tc>
              <w:tc>
                <w:tcPr/>
                <w:p>
                  <w:pPr>
                    <w:pStyle w:val="Compact"/>
                    <w:jc w:val="left"/>
                    <w:jc w:val="center"/>
                  </w:pPr>
                  <w:r>
                    <w:t xml:space="preserve">Q. rubra</w:t>
                  </w:r>
                </w:p>
              </w:tc>
              <w:tc>
                <w:tcPr/>
                <w:p>
                  <w:pPr>
                    <w:pStyle w:val="Compact"/>
                    <w:jc w:val="left"/>
                    <w:jc w:val="center"/>
                  </w:pPr>
                  <w:r>
                    <w:t xml:space="preserve">Dead</w:t>
                  </w:r>
                </w:p>
              </w:tc>
              <w:tc>
                <w:tcPr/>
                <w:p>
                  <w:pPr>
                    <w:pStyle w:val="Compact"/>
                    <w:jc w:val="right"/>
                    <w:jc w:val="center"/>
                  </w:pPr>
                  <w:r>
                    <w:t xml:space="preserve">1.9</w:t>
                  </w:r>
                </w:p>
              </w:tc>
            </w:tr>
            <w:tr>
              <w:tc>
                <w:tcPr/>
                <w:p>
                  <w:pPr>
                    <w:pStyle w:val="Compact"/>
                    <w:jc w:val="left"/>
                    <w:jc w:val="center"/>
                  </w:pPr>
                  <w:r>
                    <w:t xml:space="preserve">4</w:t>
                  </w:r>
                </w:p>
              </w:tc>
              <w:tc>
                <w:tcPr/>
                <w:p>
                  <w:pPr>
                    <w:pStyle w:val="Compact"/>
                    <w:jc w:val="left"/>
                    <w:jc w:val="center"/>
                  </w:pPr>
                  <w:r>
                    <w:t xml:space="preserve">C</w:t>
                  </w:r>
                </w:p>
              </w:tc>
              <w:tc>
                <w:tcPr/>
                <w:p>
                  <w:pPr>
                    <w:pStyle w:val="Compact"/>
                    <w:jc w:val="left"/>
                    <w:jc w:val="center"/>
                  </w:pPr>
                  <w:r>
                    <w:t xml:space="preserve">Acer</w:t>
                  </w:r>
                </w:p>
              </w:tc>
              <w:tc>
                <w:tcPr/>
                <w:p>
                  <w:pPr>
                    <w:pStyle w:val="Compact"/>
                    <w:jc w:val="left"/>
                    <w:jc w:val="center"/>
                  </w:pPr>
                  <w:r>
                    <w:t xml:space="preserve">Alive</w:t>
                  </w:r>
                </w:p>
              </w:tc>
              <w:tc>
                <w:tcPr/>
                <w:p>
                  <w:pPr>
                    <w:pStyle w:val="Compact"/>
                    <w:jc w:val="right"/>
                    <w:jc w:val="center"/>
                  </w:pPr>
                  <w:r>
                    <w:t xml:space="preserve">3.5</w:t>
                  </w:r>
                </w:p>
              </w:tc>
            </w:tr>
            <w:tr>
              <w:tc>
                <w:tcPr/>
                <w:p>
                  <w:pPr>
                    <w:pStyle w:val="Compact"/>
                    <w:jc w:val="left"/>
                    <w:jc w:val="center"/>
                  </w:pPr>
                  <w:r>
                    <w:t xml:space="preserve">4</w:t>
                  </w:r>
                </w:p>
              </w:tc>
              <w:tc>
                <w:tcPr/>
                <w:p>
                  <w:pPr>
                    <w:pStyle w:val="Compact"/>
                    <w:jc w:val="left"/>
                    <w:jc w:val="center"/>
                  </w:pPr>
                  <w:r>
                    <w:t xml:space="preserve">C</w:t>
                  </w:r>
                </w:p>
              </w:tc>
              <w:tc>
                <w:tcPr/>
                <w:p>
                  <w:pPr>
                    <w:pStyle w:val="Compact"/>
                    <w:jc w:val="left"/>
                    <w:jc w:val="center"/>
                  </w:pPr>
                  <w:r>
                    <w:t xml:space="preserve">Betula</w:t>
                  </w:r>
                </w:p>
              </w:tc>
              <w:tc>
                <w:tcPr/>
                <w:p>
                  <w:pPr>
                    <w:pStyle w:val="Compact"/>
                    <w:jc w:val="left"/>
                    <w:jc w:val="center"/>
                  </w:pPr>
                  <w:r>
                    <w:t xml:space="preserve">Alive</w:t>
                  </w:r>
                </w:p>
              </w:tc>
              <w:tc>
                <w:tcPr/>
                <w:p>
                  <w:pPr>
                    <w:pStyle w:val="Compact"/>
                    <w:jc w:val="right"/>
                    <w:jc w:val="center"/>
                  </w:pPr>
                  <w:r>
                    <w:t xml:space="preserve">1.4</w:t>
                  </w:r>
                </w:p>
              </w:tc>
            </w:tr>
            <w:tr>
              <w:tc>
                <w:tcPr/>
                <w:p>
                  <w:pPr>
                    <w:pStyle w:val="Compact"/>
                    <w:jc w:val="left"/>
                    <w:jc w:val="center"/>
                  </w:pPr>
                  <w:r>
                    <w:t xml:space="preserve">4</w:t>
                  </w:r>
                </w:p>
              </w:tc>
              <w:tc>
                <w:tcPr/>
                <w:p>
                  <w:pPr>
                    <w:pStyle w:val="Compact"/>
                    <w:jc w:val="left"/>
                    <w:jc w:val="center"/>
                  </w:pPr>
                  <w:r>
                    <w:t xml:space="preserve">C</w:t>
                  </w:r>
                </w:p>
              </w:tc>
              <w:tc>
                <w:tcPr/>
                <w:p>
                  <w:pPr>
                    <w:pStyle w:val="Compact"/>
                    <w:jc w:val="left"/>
                    <w:jc w:val="center"/>
                  </w:pPr>
                  <w:r>
                    <w:t xml:space="preserve">F. grandifolia</w:t>
                  </w:r>
                </w:p>
              </w:tc>
              <w:tc>
                <w:tcPr/>
                <w:p>
                  <w:pPr>
                    <w:pStyle w:val="Compact"/>
                    <w:jc w:val="left"/>
                    <w:jc w:val="center"/>
                  </w:pPr>
                  <w:r>
                    <w:t xml:space="preserve">Alive</w:t>
                  </w:r>
                </w:p>
              </w:tc>
              <w:tc>
                <w:tcPr/>
                <w:p>
                  <w:pPr>
                    <w:pStyle w:val="Compact"/>
                    <w:jc w:val="right"/>
                    <w:jc w:val="center"/>
                  </w:pPr>
                  <w:r>
                    <w:t xml:space="preserve">1.3</w:t>
                  </w:r>
                </w:p>
              </w:tc>
            </w:tr>
            <w:tr>
              <w:tc>
                <w:tcPr/>
                <w:p>
                  <w:pPr>
                    <w:pStyle w:val="Compact"/>
                    <w:jc w:val="left"/>
                    <w:jc w:val="center"/>
                  </w:pPr>
                  <w:r>
                    <w:t xml:space="preserve">4</w:t>
                  </w:r>
                </w:p>
              </w:tc>
              <w:tc>
                <w:tcPr/>
                <w:p>
                  <w:pPr>
                    <w:pStyle w:val="Compact"/>
                    <w:jc w:val="left"/>
                    <w:jc w:val="center"/>
                  </w:pPr>
                  <w:r>
                    <w:t xml:space="preserve">C</w:t>
                  </w:r>
                </w:p>
              </w:tc>
              <w:tc>
                <w:tcPr/>
                <w:p>
                  <w:pPr>
                    <w:pStyle w:val="Compact"/>
                    <w:jc w:val="left"/>
                    <w:jc w:val="center"/>
                  </w:pPr>
                  <w:r>
                    <w:t xml:space="preserve">Others</w:t>
                  </w:r>
                </w:p>
              </w:tc>
              <w:tc>
                <w:tcPr/>
                <w:p>
                  <w:pPr>
                    <w:pStyle w:val="Compact"/>
                    <w:jc w:val="left"/>
                    <w:jc w:val="center"/>
                  </w:pPr>
                  <w:r>
                    <w:t xml:space="preserve">Alive</w:t>
                  </w:r>
                </w:p>
              </w:tc>
              <w:tc>
                <w:tcPr/>
                <w:p>
                  <w:pPr>
                    <w:pStyle w:val="Compact"/>
                    <w:jc w:val="right"/>
                    <w:jc w:val="center"/>
                  </w:pPr>
                  <w:r>
                    <w:t xml:space="preserve">4.4</w:t>
                  </w:r>
                </w:p>
              </w:tc>
            </w:tr>
            <w:tr>
              <w:tc>
                <w:tcPr/>
                <w:p>
                  <w:pPr>
                    <w:pStyle w:val="Compact"/>
                    <w:jc w:val="left"/>
                    <w:jc w:val="center"/>
                  </w:pPr>
                  <w:r>
                    <w:t xml:space="preserve">4</w:t>
                  </w:r>
                </w:p>
              </w:tc>
              <w:tc>
                <w:tcPr/>
                <w:p>
                  <w:pPr>
                    <w:pStyle w:val="Compact"/>
                    <w:jc w:val="left"/>
                    <w:jc w:val="center"/>
                  </w:pPr>
                  <w:r>
                    <w:t xml:space="preserve">C</w:t>
                  </w:r>
                </w:p>
              </w:tc>
              <w:tc>
                <w:tcPr/>
                <w:p>
                  <w:pPr>
                    <w:pStyle w:val="Compact"/>
                    <w:jc w:val="left"/>
                    <w:jc w:val="center"/>
                  </w:pPr>
                  <w:r>
                    <w:t xml:space="preserve">Q. rubra</w:t>
                  </w:r>
                </w:p>
              </w:tc>
              <w:tc>
                <w:tcPr/>
                <w:p>
                  <w:pPr>
                    <w:pStyle w:val="Compact"/>
                    <w:jc w:val="left"/>
                    <w:jc w:val="center"/>
                  </w:pPr>
                  <w:r>
                    <w:t xml:space="preserve">Alive</w:t>
                  </w:r>
                </w:p>
              </w:tc>
              <w:tc>
                <w:tcPr/>
                <w:p>
                  <w:pPr>
                    <w:pStyle w:val="Compact"/>
                    <w:jc w:val="right"/>
                    <w:jc w:val="center"/>
                  </w:pPr>
                  <w:r>
                    <w:t xml:space="preserve">9.8</w:t>
                  </w:r>
                </w:p>
              </w:tc>
            </w:tr>
          </w:tbl>
          <w:bookmarkEnd w:id="41"/>
          <w:p/>
        </w:tc>
      </w:tr>
    </w:tbl>
    <w:p>
      <w:r>
        <w:br w:type="page"/>
      </w:r>
    </w:p>
    <w:tbl>
      <w:tblPr>
        <w:tblStyle w:val="Table"/>
        <w:tblW w:type="pct" w:w="5000"/>
        <w:tblLayout w:type="fixed"/>
        <w:tblLook w:firstRow="0" w:lastRow="0" w:firstColumn="0" w:lastColumn="0" w:noHBand="0" w:noVBand="0" w:val="0000"/>
      </w:tblPr>
      <w:tblGrid>
        <w:gridCol w:w="7920"/>
      </w:tblGrid>
      <w:tr>
        <w:tc>
          <w:tcPr/>
          <w:bookmarkStart w:id="45" w:name="fig-baresoil"/>
          <w:p>
            <w:pPr>
              <w:pStyle w:val="Compact"/>
              <w:jc w:val="center"/>
            </w:pPr>
            <w:r>
              <w:drawing>
                <wp:inline>
                  <wp:extent cx="5334000" cy="2133600"/>
                  <wp:effectExtent b="0" l="0" r="0" t="0"/>
                  <wp:docPr descr="" title="" id="43" name="Picture"/>
                  <a:graphic>
                    <a:graphicData uri="http://schemas.openxmlformats.org/drawingml/2006/picture">
                      <pic:pic>
                        <pic:nvPicPr>
                          <pic:cNvPr descr="Ton_Supplement_files/figure-docx/fig-baresoil-1.png" id="44"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Q. rubra density per hectare in 2023 (y-axis) by percent bare soil (x-axis), error bars = ±1 SE.</w:t>
            </w:r>
          </w:p>
          <w:bookmarkEnd w:id="45"/>
        </w:tc>
      </w:tr>
    </w:tbl>
    <w:tbl>
      <w:tblPr>
        <w:tblStyle w:val="Table"/>
        <w:tblW w:type="pct" w:w="5000"/>
        <w:tblLayout w:type="fixed"/>
        <w:tblLook w:firstRow="0" w:lastRow="0" w:firstColumn="0" w:lastColumn="0" w:noHBand="0" w:noVBand="0" w:val="0000"/>
      </w:tblPr>
      <w:tblGrid>
        <w:gridCol w:w="7920"/>
      </w:tblGrid>
      <w:tr>
        <w:tc>
          <w:tcPr/>
          <w:bookmarkStart w:id="49" w:name="fig-microtopography"/>
          <w:p>
            <w:pPr>
              <w:pStyle w:val="Compact"/>
              <w:jc w:val="center"/>
            </w:pPr>
            <w:r>
              <w:drawing>
                <wp:inline>
                  <wp:extent cx="5334000" cy="2133600"/>
                  <wp:effectExtent b="0" l="0" r="0" t="0"/>
                  <wp:docPr descr="" title="" id="47" name="Picture"/>
                  <a:graphic>
                    <a:graphicData uri="http://schemas.openxmlformats.org/drawingml/2006/picture">
                      <pic:pic>
                        <pic:nvPicPr>
                          <pic:cNvPr descr="Ton_Supplement_files/figure-docx/fig-microtopography-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Q. rubra density per hectare in 2023 (y-axis) by microtopography (x-axis), error bars = ±1 SE. Six microtopography categories include concave (CCV), convex (CVX), flat (FLT), midslope (MDS), slight slope (SLS), and steep slope (STS).</w:t>
            </w:r>
          </w:p>
          <w:bookmarkEnd w:id="49"/>
        </w:tc>
      </w:tr>
    </w:tbl>
    <w:bookmarkEnd w:id="50"/>
    <w:bookmarkStart w:id="61" w:name="soil-sampling-and-analysis"/>
    <w:p>
      <w:pPr>
        <w:pStyle w:val="Heading1"/>
      </w:pPr>
      <w:r>
        <w:t xml:space="preserve">3. Soil sampling and analysis</w:t>
      </w:r>
    </w:p>
    <w:bookmarkStart w:id="51" w:name="methods"/>
    <w:p>
      <w:pPr>
        <w:pStyle w:val="Heading2"/>
      </w:pPr>
      <w:r>
        <w:t xml:space="preserve">3.1 Methods</w:t>
      </w:r>
    </w:p>
    <w:p>
      <w:pPr>
        <w:pStyle w:val="FirstParagraph"/>
      </w:pPr>
      <w:r>
        <w:t xml:space="preserve">Composite soil samples of the top 10 cm representing each study site were collected along study transects in fall 2023 to characterize soil parameters of relevance to seedlings.</w:t>
      </w:r>
    </w:p>
    <w:p>
      <w:pPr>
        <w:pStyle w:val="BodyText"/>
      </w:pPr>
      <w:r>
        <w:t xml:space="preserve">Soil samples were air-dried, homogenized, and sieved to 2 mm. They were then sent to the University of New Hampshire Cooperative Extension in December 2023 to be tested for soil pH and concentrations of calcium (Ca), magnesium (Mg), potassium (K), phosphorus (P), lead (Pb), and organic matter (OM). In February 2025, more samples were sent to the Pennsylvania State University College of Agricultural Sciences’ Agricultural Analytical Services Laboratory to be tested for nitrate nitrogen (NO</w:t>
      </w:r>
      <w:r>
        <w:rPr>
          <w:vertAlign w:val="subscript"/>
        </w:rPr>
        <w:t xml:space="preserve">3</w:t>
      </w:r>
      <w:r>
        <w:t xml:space="preserve">) and ammonium nitrogen (NH</w:t>
      </w:r>
      <w:r>
        <w:rPr>
          <w:vertAlign w:val="subscript"/>
        </w:rPr>
        <w:t xml:space="preserve">4</w:t>
      </w:r>
      <w:r>
        <w:t xml:space="preserve">).</w:t>
      </w:r>
    </w:p>
    <w:bookmarkEnd w:id="51"/>
    <w:bookmarkStart w:id="60" w:name="results"/>
    <w:p>
      <w:pPr>
        <w:pStyle w:val="Heading2"/>
      </w:pPr>
      <w:r>
        <w:t xml:space="preserve">3.2 Results</w:t>
      </w:r>
    </w:p>
    <w:tbl>
      <w:tblPr>
        <w:tblStyle w:val="Table"/>
        <w:tblW w:type="pct" w:w="5000"/>
        <w:tblLayout w:type="fixed"/>
        <w:tblLook w:firstRow="0" w:lastRow="0" w:firstColumn="0" w:lastColumn="0" w:noHBand="0" w:noVBand="0" w:val="0000"/>
      </w:tblPr>
      <w:tblGrid>
        <w:gridCol w:w="7920"/>
      </w:tblGrid>
      <w:tr>
        <w:tc>
          <w:tcPr/>
          <w:bookmarkStart w:id="55" w:name="fig-ammonium"/>
          <w:p>
            <w:pPr>
              <w:pStyle w:val="Compact"/>
              <w:jc w:val="center"/>
            </w:pPr>
            <w:r>
              <w:drawing>
                <wp:inline>
                  <wp:extent cx="5334000" cy="2133600"/>
                  <wp:effectExtent b="0" l="0" r="0" t="0"/>
                  <wp:docPr descr="" title="" id="53" name="Picture"/>
                  <a:graphic>
                    <a:graphicData uri="http://schemas.openxmlformats.org/drawingml/2006/picture">
                      <pic:pic>
                        <pic:nvPicPr>
                          <pic:cNvPr descr="Ton_Supplement_files/figure-docx/fig-ammonium-1.png" id="54" name="Picture"/>
                          <pic:cNvPicPr>
                            <a:picLocks noChangeArrowheads="1" noChangeAspect="1"/>
                          </pic:cNvPicPr>
                        </pic:nvPicPr>
                        <pic:blipFill>
                          <a:blip r:embed="rId52"/>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Ammonium concetration in the soil (y-axis) by stand pairs (x-axis).</w:t>
            </w:r>
          </w:p>
          <w:bookmarkEnd w:id="55"/>
        </w:tc>
      </w:tr>
    </w:tbl>
    <w:tbl>
      <w:tblPr>
        <w:tblStyle w:val="Table"/>
        <w:tblW w:type="pct" w:w="5000"/>
        <w:tblLayout w:type="fixed"/>
        <w:tblLook w:firstRow="0" w:lastRow="0" w:firstColumn="0" w:lastColumn="0" w:noHBand="0" w:noVBand="0" w:val="0000"/>
      </w:tblPr>
      <w:tblGrid>
        <w:gridCol w:w="7920"/>
      </w:tblGrid>
      <w:tr>
        <w:tc>
          <w:tcPr/>
          <w:bookmarkStart w:id="59" w:name="fig-nitrate"/>
          <w:p>
            <w:pPr>
              <w:pStyle w:val="Compact"/>
              <w:jc w:val="center"/>
            </w:pPr>
            <w:r>
              <w:drawing>
                <wp:inline>
                  <wp:extent cx="5334000" cy="2133600"/>
                  <wp:effectExtent b="0" l="0" r="0" t="0"/>
                  <wp:docPr descr="" title="" id="57" name="Picture"/>
                  <a:graphic>
                    <a:graphicData uri="http://schemas.openxmlformats.org/drawingml/2006/picture">
                      <pic:pic>
                        <pic:nvPicPr>
                          <pic:cNvPr descr="Ton_Supplement_files/figure-docx/fig-nitrate-1.png" id="58" name="Picture"/>
                          <pic:cNvPicPr>
                            <a:picLocks noChangeArrowheads="1" noChangeAspect="1"/>
                          </pic:cNvPicPr>
                        </pic:nvPicPr>
                        <pic:blipFill>
                          <a:blip r:embed="rId5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Nitrate concetration in the soil (y-axis) by stand pairs (x-axis).</w:t>
            </w:r>
          </w:p>
          <w:bookmarkEnd w:id="59"/>
        </w:tc>
      </w:tr>
    </w:tbl>
    <w:p>
      <w:r>
        <w:br w:type="page"/>
      </w:r>
    </w:p>
    <w:bookmarkEnd w:id="60"/>
    <w:bookmarkEnd w:id="61"/>
    <w:bookmarkStart w:id="97" w:name="references"/>
    <w:p>
      <w:pPr>
        <w:pStyle w:val="Heading1"/>
      </w:pPr>
      <w:r>
        <w:t xml:space="preserve">4. References</w:t>
      </w:r>
    </w:p>
    <w:bookmarkStart w:id="81" w:name="r-packages"/>
    <w:p>
      <w:pPr>
        <w:pStyle w:val="Heading2"/>
      </w:pPr>
      <w:r>
        <w:t xml:space="preserve">R packages</w:t>
      </w:r>
    </w:p>
    <w:p>
      <w:pPr>
        <w:pStyle w:val="FirstParagraph"/>
      </w:pPr>
      <w:r>
        <w:t xml:space="preserve">[1] F. Aust.</w:t>
      </w:r>
      <w:r>
        <w:t xml:space="preserve"> </w:t>
      </w:r>
      <w:r>
        <w:rPr>
          <w:i/>
          <w:iCs/>
        </w:rPr>
        <w:t xml:space="preserve">citr: RStudio Add-in to Insert Markdown Citations</w:t>
      </w:r>
      <w:r>
        <w:t xml:space="preserve">. R</w:t>
      </w:r>
      <w:r>
        <w:t xml:space="preserve"> </w:t>
      </w:r>
      <w:r>
        <w:t xml:space="preserve">package version 0.3.2. 2019.</w:t>
      </w:r>
      <w:r>
        <w:t xml:space="preserve"> </w:t>
      </w:r>
      <w:hyperlink r:id="rId62">
        <w:r>
          <w:rPr>
            <w:rStyle w:val="Hyperlink"/>
          </w:rPr>
          <w:t xml:space="preserve">https://github.com/crsh/citr</w:t>
        </w:r>
      </w:hyperlink>
      <w:r>
        <w:t xml:space="preserve">.</w:t>
      </w:r>
    </w:p>
    <w:p>
      <w:pPr>
        <w:pStyle w:val="BodyText"/>
      </w:pPr>
      <w:r>
        <w:t xml:space="preserve">[2] C. Boettiger.</w:t>
      </w:r>
      <w:r>
        <w:t xml:space="preserve"> </w:t>
      </w:r>
      <w:r>
        <w:rPr>
          <w:i/>
          <w:iCs/>
        </w:rPr>
        <w:t xml:space="preserve">knitcitations: Citations for Knitr Markdown Files</w:t>
      </w:r>
      <w:r>
        <w:t xml:space="preserve">.</w:t>
      </w:r>
      <w:r>
        <w:t xml:space="preserve"> </w:t>
      </w:r>
      <w:r>
        <w:t xml:space="preserve">R package version 1.0.12. 2021.</w:t>
      </w:r>
      <w:r>
        <w:t xml:space="preserve"> </w:t>
      </w:r>
      <w:hyperlink r:id="rId63">
        <w:r>
          <w:rPr>
            <w:rStyle w:val="Hyperlink"/>
          </w:rPr>
          <w:t xml:space="preserve">https://github.com/cboettig/knitcitations</w:t>
        </w:r>
      </w:hyperlink>
      <w:r>
        <w:t xml:space="preserve">.</w:t>
      </w:r>
    </w:p>
    <w:p>
      <w:pPr>
        <w:pStyle w:val="BodyText"/>
      </w:pPr>
      <w:r>
        <w:t xml:space="preserve">[3] W. Chang, J. Cheng, J. Allaire, et al. </w:t>
      </w:r>
      <w:r>
        <w:rPr>
          <w:i/>
          <w:iCs/>
        </w:rPr>
        <w:t xml:space="preserve">shiny: Web Application</w:t>
      </w:r>
      <w:r>
        <w:rPr>
          <w:i/>
          <w:iCs/>
        </w:rPr>
        <w:t xml:space="preserve"> </w:t>
      </w:r>
      <w:r>
        <w:rPr>
          <w:i/>
          <w:iCs/>
        </w:rPr>
        <w:t xml:space="preserve">Framework for R</w:t>
      </w:r>
      <w:r>
        <w:t xml:space="preserve">. R package version 1.9.1. 2024.</w:t>
      </w:r>
      <w:r>
        <w:t xml:space="preserve"> </w:t>
      </w:r>
      <w:hyperlink r:id="rId64">
        <w:r>
          <w:rPr>
            <w:rStyle w:val="Hyperlink"/>
          </w:rPr>
          <w:t xml:space="preserve">https://CRAN.R-project.org/package=shiny</w:t>
        </w:r>
      </w:hyperlink>
      <w:r>
        <w:t xml:space="preserve">.</w:t>
      </w:r>
    </w:p>
    <w:p>
      <w:pPr>
        <w:pStyle w:val="BodyText"/>
      </w:pPr>
      <w:r>
        <w:t xml:space="preserve">[4] G. Grolemund and H. Wickham.</w:t>
      </w:r>
      <w:r>
        <w:t xml:space="preserve"> </w:t>
      </w:r>
      <w:r>
        <w:t xml:space="preserve">“</w:t>
      </w:r>
      <w:r>
        <w:t xml:space="preserve">Dates and Times Made Easy with</w:t>
      </w:r>
      <w:r>
        <w:t xml:space="preserve"> </w:t>
      </w:r>
      <w:r>
        <w:t xml:space="preserve">lubridate</w:t>
      </w:r>
      <w:r>
        <w:t xml:space="preserve">”</w:t>
      </w:r>
      <w:r>
        <w:t xml:space="preserve">. In:</w:t>
      </w:r>
      <w:r>
        <w:t xml:space="preserve"> </w:t>
      </w:r>
      <w:r>
        <w:rPr>
          <w:i/>
          <w:iCs/>
        </w:rPr>
        <w:t xml:space="preserve">Journal of Statistical Software</w:t>
      </w:r>
      <w:r>
        <w:t xml:space="preserve"> </w:t>
      </w:r>
      <w:r>
        <w:t xml:space="preserve">40.3 (2011), pp.</w:t>
      </w:r>
      <w:r>
        <w:t xml:space="preserve"> </w:t>
      </w:r>
      <w:r>
        <w:t xml:space="preserve">1-25.</w:t>
      </w:r>
      <w:r>
        <w:t xml:space="preserve"> </w:t>
      </w:r>
      <w:hyperlink r:id="rId65">
        <w:r>
          <w:rPr>
            <w:rStyle w:val="Hyperlink"/>
          </w:rPr>
          <w:t xml:space="preserve">https://www.jstatsoft.org/v40/i03/</w:t>
        </w:r>
      </w:hyperlink>
      <w:r>
        <w:t xml:space="preserve">.</w:t>
      </w:r>
    </w:p>
    <w:p>
      <w:pPr>
        <w:pStyle w:val="BodyText"/>
      </w:pPr>
      <w:r>
        <w:t xml:space="preserve">[5] K. Müller and H. Wickham.</w:t>
      </w:r>
      <w:r>
        <w:t xml:space="preserve"> </w:t>
      </w:r>
      <w:r>
        <w:rPr>
          <w:i/>
          <w:iCs/>
        </w:rPr>
        <w:t xml:space="preserve">tibble: Simple Data Frames</w:t>
      </w:r>
      <w:r>
        <w:t xml:space="preserve">. R package</w:t>
      </w:r>
      <w:r>
        <w:t xml:space="preserve"> </w:t>
      </w:r>
      <w:r>
        <w:t xml:space="preserve">version 3.2.1. 2023.</w:t>
      </w:r>
      <w:r>
        <w:t xml:space="preserve"> </w:t>
      </w:r>
      <w:hyperlink r:id="rId66">
        <w:r>
          <w:rPr>
            <w:rStyle w:val="Hyperlink"/>
          </w:rPr>
          <w:t xml:space="preserve">https://CRAN.R-project.org/package=tibble</w:t>
        </w:r>
      </w:hyperlink>
      <w:r>
        <w:t xml:space="preserve">.</w:t>
      </w:r>
    </w:p>
    <w:p>
      <w:pPr>
        <w:pStyle w:val="BodyText"/>
      </w:pPr>
      <w:r>
        <w:t xml:space="preserve">[6] R Core Team.</w:t>
      </w:r>
      <w:r>
        <w:t xml:space="preserve"> </w:t>
      </w:r>
      <w:r>
        <w:rPr>
          <w:i/>
          <w:iCs/>
        </w:rPr>
        <w:t xml:space="preserve">R: A Language and Environment for Statistical</w:t>
      </w:r>
      <w:r>
        <w:rPr>
          <w:i/>
          <w:iCs/>
        </w:rPr>
        <w:t xml:space="preserve"> </w:t>
      </w:r>
      <w:r>
        <w:rPr>
          <w:i/>
          <w:iCs/>
        </w:rPr>
        <w:t xml:space="preserve">Computing</w:t>
      </w:r>
      <w:r>
        <w:t xml:space="preserve">. R Foundation for Statistical Computing. Vienna, Austria,</w:t>
      </w:r>
      <w:r>
        <w:t xml:space="preserve"> </w:t>
      </w:r>
      <w:r>
        <w:t xml:space="preserve">2022.</w:t>
      </w:r>
      <w:r>
        <w:t xml:space="preserve"> </w:t>
      </w:r>
      <w:hyperlink r:id="rId67">
        <w:r>
          <w:rPr>
            <w:rStyle w:val="Hyperlink"/>
          </w:rPr>
          <w:t xml:space="preserve">https://www.R-project.org/</w:t>
        </w:r>
      </w:hyperlink>
      <w:r>
        <w:t xml:space="preserve">.</w:t>
      </w:r>
    </w:p>
    <w:p>
      <w:pPr>
        <w:pStyle w:val="BodyText"/>
      </w:pPr>
      <w:r>
        <w:t xml:space="preserve">[7] V. Spinu, G. Grolemund, and H. Wickham.</w:t>
      </w:r>
      <w:r>
        <w:t xml:space="preserve"> </w:t>
      </w:r>
      <w:r>
        <w:rPr>
          <w:i/>
          <w:iCs/>
        </w:rPr>
        <w:t xml:space="preserve">lubridate: Make Dealing</w:t>
      </w:r>
      <w:r>
        <w:rPr>
          <w:i/>
          <w:iCs/>
        </w:rPr>
        <w:t xml:space="preserve"> </w:t>
      </w:r>
      <w:r>
        <w:rPr>
          <w:i/>
          <w:iCs/>
        </w:rPr>
        <w:t xml:space="preserve">with Dates a Little Easier</w:t>
      </w:r>
      <w:r>
        <w:t xml:space="preserve">. R package version 1.9.3. 2023.</w:t>
      </w:r>
      <w:r>
        <w:t xml:space="preserve"> </w:t>
      </w:r>
      <w:hyperlink r:id="rId68">
        <w:r>
          <w:rPr>
            <w:rStyle w:val="Hyperlink"/>
          </w:rPr>
          <w:t xml:space="preserve">https://CRAN.R-project.org/package=lubridate</w:t>
        </w:r>
      </w:hyperlink>
      <w:r>
        <w:t xml:space="preserve">.</w:t>
      </w:r>
    </w:p>
    <w:p>
      <w:pPr>
        <w:pStyle w:val="BodyText"/>
      </w:pPr>
      <w:r>
        <w:t xml:space="preserve">[8] H. Wickham.</w:t>
      </w:r>
      <w:r>
        <w:t xml:space="preserve"> </w:t>
      </w:r>
      <w:r>
        <w:rPr>
          <w:i/>
          <w:iCs/>
        </w:rPr>
        <w:t xml:space="preserve">forcats: Tools for Working with Categorical Variables</w:t>
      </w:r>
      <w:r>
        <w:rPr>
          <w:i/>
          <w:iCs/>
        </w:rPr>
        <w:t xml:space="preserve"> </w:t>
      </w:r>
      <w:r>
        <w:rPr>
          <w:i/>
          <w:iCs/>
        </w:rPr>
        <w:t xml:space="preserve">(Factors)</w:t>
      </w:r>
      <w:r>
        <w:t xml:space="preserve">. R package version 1.0.0. 2023.</w:t>
      </w:r>
      <w:r>
        <w:t xml:space="preserve"> </w:t>
      </w:r>
      <w:hyperlink r:id="rId69">
        <w:r>
          <w:rPr>
            <w:rStyle w:val="Hyperlink"/>
          </w:rPr>
          <w:t xml:space="preserve">https://CRAN.R-project.org/package=forcats</w:t>
        </w:r>
      </w:hyperlink>
      <w:r>
        <w:t xml:space="preserve">.</w:t>
      </w:r>
    </w:p>
    <w:p>
      <w:pPr>
        <w:pStyle w:val="BodyText"/>
      </w:pPr>
      <w:r>
        <w:t xml:space="preserve">[9] H. Wickham.</w:t>
      </w:r>
      <w:r>
        <w:t xml:space="preserve"> </w:t>
      </w:r>
      <w:r>
        <w:rPr>
          <w:i/>
          <w:iCs/>
        </w:rPr>
        <w:t xml:space="preserve">ggplot2: Elegant Graphics for Data Analysis</w:t>
      </w:r>
      <w:r>
        <w:t xml:space="preserve">.</w:t>
      </w:r>
      <w:r>
        <w:t xml:space="preserve"> </w:t>
      </w:r>
      <w:r>
        <w:t xml:space="preserve">Springer-Verlag New York, 2016. ISBN: 978-3-319-24277-4.</w:t>
      </w:r>
      <w:r>
        <w:t xml:space="preserve"> </w:t>
      </w:r>
      <w:hyperlink r:id="rId70">
        <w:r>
          <w:rPr>
            <w:rStyle w:val="Hyperlink"/>
          </w:rPr>
          <w:t xml:space="preserve">https://ggplot2.tidyverse.org</w:t>
        </w:r>
      </w:hyperlink>
      <w:r>
        <w:t xml:space="preserve">.</w:t>
      </w:r>
    </w:p>
    <w:p>
      <w:pPr>
        <w:pStyle w:val="BodyText"/>
      </w:pPr>
      <w:r>
        <w:t xml:space="preserve">[10] H. Wickham.</w:t>
      </w:r>
      <w:r>
        <w:t xml:space="preserve"> </w:t>
      </w:r>
      <w:r>
        <w:rPr>
          <w:i/>
          <w:iCs/>
        </w:rPr>
        <w:t xml:space="preserve">stringr: Simple, Consistent Wrappers for Common</w:t>
      </w:r>
      <w:r>
        <w:rPr>
          <w:i/>
          <w:iCs/>
        </w:rPr>
        <w:t xml:space="preserve"> </w:t>
      </w:r>
      <w:r>
        <w:rPr>
          <w:i/>
          <w:iCs/>
        </w:rPr>
        <w:t xml:space="preserve">String Operations</w:t>
      </w:r>
      <w:r>
        <w:t xml:space="preserve">. R package version 1.5.1. 2023.</w:t>
      </w:r>
      <w:r>
        <w:t xml:space="preserve"> </w:t>
      </w:r>
      <w:hyperlink r:id="rId71">
        <w:r>
          <w:rPr>
            <w:rStyle w:val="Hyperlink"/>
          </w:rPr>
          <w:t xml:space="preserve">https://CRAN.R-project.org/package=stringr</w:t>
        </w:r>
      </w:hyperlink>
      <w:r>
        <w:t xml:space="preserve">.</w:t>
      </w:r>
    </w:p>
    <w:p>
      <w:pPr>
        <w:pStyle w:val="BodyText"/>
      </w:pPr>
      <w:r>
        <w:t xml:space="preserve">[11] H. Wickham.</w:t>
      </w:r>
      <w:r>
        <w:t xml:space="preserve"> </w:t>
      </w:r>
      <w:r>
        <w:rPr>
          <w:i/>
          <w:iCs/>
        </w:rPr>
        <w:t xml:space="preserve">tidyverse: Easily Install and Load the Tidyverse</w:t>
      </w:r>
      <w:r>
        <w:t xml:space="preserve">. R</w:t>
      </w:r>
      <w:r>
        <w:t xml:space="preserve"> </w:t>
      </w:r>
      <w:r>
        <w:t xml:space="preserve">package version 2.0.0. 2023.</w:t>
      </w:r>
      <w:r>
        <w:t xml:space="preserve"> </w:t>
      </w:r>
      <w:hyperlink r:id="rId72">
        <w:r>
          <w:rPr>
            <w:rStyle w:val="Hyperlink"/>
          </w:rPr>
          <w:t xml:space="preserve">https://CRAN.R-project.org/package=tidyverse</w:t>
        </w:r>
      </w:hyperlink>
      <w:r>
        <w:t xml:space="preserve">.</w:t>
      </w:r>
    </w:p>
    <w:p>
      <w:pPr>
        <w:pStyle w:val="BodyText"/>
      </w:pPr>
      <w:r>
        <w:t xml:space="preserve">[12] H. Wickham, M. Averick, J. Bryan, et al. </w:t>
      </w:r>
      <w:r>
        <w:t xml:space="preserve">“</w:t>
      </w:r>
      <w:r>
        <w:t xml:space="preserve">Welcome to the</w:t>
      </w:r>
      <w:r>
        <w:t xml:space="preserve"> </w:t>
      </w:r>
      <w:r>
        <w:t xml:space="preserve">tidyverse</w:t>
      </w:r>
      <w:r>
        <w:t xml:space="preserve">”</w:t>
      </w:r>
      <w:r>
        <w:t xml:space="preserve">. In:</w:t>
      </w:r>
      <w:r>
        <w:t xml:space="preserve"> </w:t>
      </w:r>
      <w:r>
        <w:rPr>
          <w:i/>
          <w:iCs/>
        </w:rPr>
        <w:t xml:space="preserve">Journal of Open Source Software</w:t>
      </w:r>
      <w:r>
        <w:t xml:space="preserve"> </w:t>
      </w:r>
      <w:r>
        <w:t xml:space="preserve">4.43 (2019), p. 1686.</w:t>
      </w:r>
      <w:r>
        <w:t xml:space="preserve"> </w:t>
      </w:r>
      <w:r>
        <w:t xml:space="preserve">DOI: 10.21105/joss.01686.</w:t>
      </w:r>
    </w:p>
    <w:p>
      <w:pPr>
        <w:pStyle w:val="BodyText"/>
      </w:pPr>
      <w:r>
        <w:t xml:space="preserve">[13] H. Wickham, W. Chang, L. Henry, et al. </w:t>
      </w:r>
      <w:r>
        <w:rPr>
          <w:i/>
          <w:iCs/>
        </w:rPr>
        <w:t xml:space="preserve">ggplot2: Create Elegant</w:t>
      </w:r>
      <w:r>
        <w:rPr>
          <w:i/>
          <w:iCs/>
        </w:rPr>
        <w:t xml:space="preserve"> </w:t>
      </w:r>
      <w:r>
        <w:rPr>
          <w:i/>
          <w:iCs/>
        </w:rPr>
        <w:t xml:space="preserve">Data Visualisations Using the Grammar of Graphics</w:t>
      </w:r>
      <w:r>
        <w:t xml:space="preserve">. R package version</w:t>
      </w:r>
      <w:r>
        <w:t xml:space="preserve"> </w:t>
      </w:r>
      <w:r>
        <w:t xml:space="preserve">3.5.1. 2024.</w:t>
      </w:r>
      <w:r>
        <w:t xml:space="preserve"> </w:t>
      </w:r>
      <w:hyperlink r:id="rId73">
        <w:r>
          <w:rPr>
            <w:rStyle w:val="Hyperlink"/>
          </w:rPr>
          <w:t xml:space="preserve">https://CRAN.R-project.org/package=ggplot2</w:t>
        </w:r>
      </w:hyperlink>
      <w:r>
        <w:t xml:space="preserve">.</w:t>
      </w:r>
    </w:p>
    <w:p>
      <w:pPr>
        <w:pStyle w:val="BodyText"/>
      </w:pPr>
      <w:r>
        <w:t xml:space="preserve">[14] H. Wickham, R. François, L. Henry, et al. </w:t>
      </w:r>
      <w:r>
        <w:rPr>
          <w:i/>
          <w:iCs/>
        </w:rPr>
        <w:t xml:space="preserve">dplyr: A Grammar of</w:t>
      </w:r>
      <w:r>
        <w:rPr>
          <w:i/>
          <w:iCs/>
        </w:rPr>
        <w:t xml:space="preserve"> </w:t>
      </w:r>
      <w:r>
        <w:rPr>
          <w:i/>
          <w:iCs/>
        </w:rPr>
        <w:t xml:space="preserve">Data Manipulation</w:t>
      </w:r>
      <w:r>
        <w:t xml:space="preserve">. R package version 1.1.4. 2023.</w:t>
      </w:r>
      <w:r>
        <w:t xml:space="preserve"> </w:t>
      </w:r>
      <w:hyperlink r:id="rId74">
        <w:r>
          <w:rPr>
            <w:rStyle w:val="Hyperlink"/>
          </w:rPr>
          <w:t xml:space="preserve">https://CRAN.R-project.org/package=dplyr</w:t>
        </w:r>
      </w:hyperlink>
      <w:r>
        <w:t xml:space="preserve">.</w:t>
      </w:r>
    </w:p>
    <w:p>
      <w:pPr>
        <w:pStyle w:val="BodyText"/>
      </w:pPr>
      <w:r>
        <w:t xml:space="preserve">[15] H. Wickham and L. Henry.</w:t>
      </w:r>
      <w:r>
        <w:t xml:space="preserve"> </w:t>
      </w:r>
      <w:r>
        <w:rPr>
          <w:i/>
          <w:iCs/>
        </w:rPr>
        <w:t xml:space="preserve">purrr: Functional Programming Tools</w:t>
      </w:r>
      <w:r>
        <w:t xml:space="preserve">. R</w:t>
      </w:r>
      <w:r>
        <w:t xml:space="preserve"> </w:t>
      </w:r>
      <w:r>
        <w:t xml:space="preserve">package version 1.0.2. 2023.</w:t>
      </w:r>
      <w:r>
        <w:t xml:space="preserve"> </w:t>
      </w:r>
      <w:hyperlink r:id="rId75">
        <w:r>
          <w:rPr>
            <w:rStyle w:val="Hyperlink"/>
          </w:rPr>
          <w:t xml:space="preserve">https://CRAN.R-project.org/package=purrr</w:t>
        </w:r>
      </w:hyperlink>
      <w:r>
        <w:t xml:space="preserve">.</w:t>
      </w:r>
    </w:p>
    <w:p>
      <w:pPr>
        <w:pStyle w:val="BodyText"/>
      </w:pPr>
      <w:r>
        <w:t xml:space="preserve">[16] H. Wickham, J. Hester, and J. Bryan.</w:t>
      </w:r>
      <w:r>
        <w:t xml:space="preserve"> </w:t>
      </w:r>
      <w:r>
        <w:rPr>
          <w:i/>
          <w:iCs/>
        </w:rPr>
        <w:t xml:space="preserve">readr: Read Rectangular Text</w:t>
      </w:r>
      <w:r>
        <w:rPr>
          <w:i/>
          <w:iCs/>
        </w:rPr>
        <w:t xml:space="preserve"> </w:t>
      </w:r>
      <w:r>
        <w:rPr>
          <w:i/>
          <w:iCs/>
        </w:rPr>
        <w:t xml:space="preserve">Data</w:t>
      </w:r>
      <w:r>
        <w:t xml:space="preserve">. R package version 2.1.5. 2024.</w:t>
      </w:r>
      <w:r>
        <w:t xml:space="preserve"> </w:t>
      </w:r>
      <w:hyperlink r:id="rId76">
        <w:r>
          <w:rPr>
            <w:rStyle w:val="Hyperlink"/>
          </w:rPr>
          <w:t xml:space="preserve">https://CRAN.R-project.org/package=readr</w:t>
        </w:r>
      </w:hyperlink>
      <w:r>
        <w:t xml:space="preserve">.</w:t>
      </w:r>
    </w:p>
    <w:p>
      <w:pPr>
        <w:pStyle w:val="BodyText"/>
      </w:pPr>
      <w:r>
        <w:t xml:space="preserve">[17] H. Wickham, D. Vaughan, and M. Girlich.</w:t>
      </w:r>
      <w:r>
        <w:t xml:space="preserve"> </w:t>
      </w:r>
      <w:r>
        <w:rPr>
          <w:i/>
          <w:iCs/>
        </w:rPr>
        <w:t xml:space="preserve">tidyr: Tidy Messy Data</w:t>
      </w:r>
      <w:r>
        <w:t xml:space="preserve">.</w:t>
      </w:r>
      <w:r>
        <w:t xml:space="preserve"> </w:t>
      </w:r>
      <w:r>
        <w:t xml:space="preserve">R package version 1.3.1. 2024.</w:t>
      </w:r>
      <w:r>
        <w:t xml:space="preserve"> </w:t>
      </w:r>
      <w:hyperlink r:id="rId77">
        <w:r>
          <w:rPr>
            <w:rStyle w:val="Hyperlink"/>
          </w:rPr>
          <w:t xml:space="preserve">https://CRAN.R-project.org/package=tidyr</w:t>
        </w:r>
      </w:hyperlink>
      <w:r>
        <w:t xml:space="preserve">.</w:t>
      </w:r>
    </w:p>
    <w:p>
      <w:pPr>
        <w:pStyle w:val="BodyText"/>
      </w:pPr>
      <w:r>
        <w:t xml:space="preserve">[18] Y. Xie.</w:t>
      </w:r>
      <w:r>
        <w:t xml:space="preserve"> </w:t>
      </w:r>
      <w:r>
        <w:rPr>
          <w:i/>
          <w:iCs/>
        </w:rPr>
        <w:t xml:space="preserve">Dynamic Documents with R and knitr</w:t>
      </w:r>
      <w:r>
        <w:t xml:space="preserve">. 2nd. ISBN</w:t>
      </w:r>
      <w:r>
        <w:t xml:space="preserve"> </w:t>
      </w:r>
      <w:r>
        <w:t xml:space="preserve">978-1498716963. Boca Raton, Florida: Chapman and Hall/CRC, 2015.</w:t>
      </w:r>
      <w:r>
        <w:t xml:space="preserve"> </w:t>
      </w:r>
      <w:hyperlink r:id="rId78">
        <w:r>
          <w:rPr>
            <w:rStyle w:val="Hyperlink"/>
          </w:rPr>
          <w:t xml:space="preserve">https://yihui.org/knitr/</w:t>
        </w:r>
      </w:hyperlink>
      <w:r>
        <w:t xml:space="preserve">.</w:t>
      </w:r>
    </w:p>
    <w:p>
      <w:pPr>
        <w:pStyle w:val="BodyText"/>
      </w:pPr>
      <w:r>
        <w:t xml:space="preserve">[19] Y. Xie.</w:t>
      </w:r>
      <w:r>
        <w:t xml:space="preserve"> </w:t>
      </w:r>
      <w:r>
        <w:t xml:space="preserve">“</w:t>
      </w:r>
      <w:r>
        <w:t xml:space="preserve">knitr: A Comprehensive Tool for Reproducible Research in</w:t>
      </w:r>
      <w:r>
        <w:t xml:space="preserve"> </w:t>
      </w:r>
      <w:r>
        <w:t xml:space="preserve">R</w:t>
      </w:r>
      <w:r>
        <w:t xml:space="preserve">”</w:t>
      </w:r>
      <w:r>
        <w:t xml:space="preserve">. In:</w:t>
      </w:r>
      <w:r>
        <w:t xml:space="preserve"> </w:t>
      </w:r>
      <w:r>
        <w:rPr>
          <w:i/>
          <w:iCs/>
        </w:rPr>
        <w:t xml:space="preserve">Implementing Reproducible Computational Research</w:t>
      </w:r>
      <w:r>
        <w:t xml:space="preserve">. Ed. by V.</w:t>
      </w:r>
      <w:r>
        <w:t xml:space="preserve"> </w:t>
      </w:r>
      <w:r>
        <w:t xml:space="preserve">Stodden, F. Leisch and R. D. Peng. ISBN 978-1466561595. Chapman and</w:t>
      </w:r>
      <w:r>
        <w:t xml:space="preserve"> </w:t>
      </w:r>
      <w:r>
        <w:t xml:space="preserve">Hall/CRC, 2014.</w:t>
      </w:r>
    </w:p>
    <w:p>
      <w:pPr>
        <w:pStyle w:val="BodyText"/>
      </w:pPr>
      <w:r>
        <w:t xml:space="preserve">[20] Y. Xie.</w:t>
      </w:r>
      <w:r>
        <w:t xml:space="preserve"> </w:t>
      </w:r>
      <w:r>
        <w:rPr>
          <w:i/>
          <w:iCs/>
        </w:rPr>
        <w:t xml:space="preserve">knitr: A General-Purpose Package for Dynamic Report</w:t>
      </w:r>
      <w:r>
        <w:rPr>
          <w:i/>
          <w:iCs/>
        </w:rPr>
        <w:t xml:space="preserve"> </w:t>
      </w:r>
      <w:r>
        <w:rPr>
          <w:i/>
          <w:iCs/>
        </w:rPr>
        <w:t xml:space="preserve">Generation in R</w:t>
      </w:r>
      <w:r>
        <w:t xml:space="preserve">. R package version 1.42. 2023.</w:t>
      </w:r>
      <w:r>
        <w:t xml:space="preserve"> </w:t>
      </w:r>
      <w:hyperlink r:id="rId78">
        <w:r>
          <w:rPr>
            <w:rStyle w:val="Hyperlink"/>
          </w:rPr>
          <w:t xml:space="preserve">https://yihui.org/knitr/</w:t>
        </w:r>
      </w:hyperlink>
      <w:r>
        <w:t xml:space="preserve">.</w:t>
      </w:r>
    </w:p>
    <w:p>
      <w:pPr>
        <w:pStyle w:val="BodyText"/>
      </w:pPr>
      <w:r>
        <w:t xml:space="preserve">[21] Y. Xie.</w:t>
      </w:r>
      <w:r>
        <w:t xml:space="preserve"> </w:t>
      </w:r>
      <w:r>
        <w:t xml:space="preserve">“</w:t>
      </w:r>
      <w:r>
        <w:t xml:space="preserve">TinyTeX: A lightweight, cross-platform, and</w:t>
      </w:r>
      <w:r>
        <w:t xml:space="preserve"> </w:t>
      </w:r>
      <w:r>
        <w:t xml:space="preserve">easy-to-maintain LaTeX distribution based on TeX Live</w:t>
      </w:r>
      <w:r>
        <w:t xml:space="preserve">”</w:t>
      </w:r>
      <w:r>
        <w:t xml:space="preserve">. In:</w:t>
      </w:r>
      <w:r>
        <w:t xml:space="preserve"> </w:t>
      </w:r>
      <w:r>
        <w:rPr>
          <w:i/>
          <w:iCs/>
        </w:rPr>
        <w:t xml:space="preserve">TUGboat</w:t>
      </w:r>
      <w:r>
        <w:t xml:space="preserve"> </w:t>
      </w:r>
      <w:r>
        <w:t xml:space="preserve">40.1 (2019), pp. 30-32.</w:t>
      </w:r>
      <w:r>
        <w:t xml:space="preserve"> </w:t>
      </w:r>
      <w:hyperlink r:id="rId79">
        <w:r>
          <w:rPr>
            <w:rStyle w:val="Hyperlink"/>
          </w:rPr>
          <w:t xml:space="preserve">https://tug.org/TUGboat/Contents/contents40-1.html</w:t>
        </w:r>
      </w:hyperlink>
      <w:r>
        <w:t xml:space="preserve">.</w:t>
      </w:r>
    </w:p>
    <w:p>
      <w:pPr>
        <w:pStyle w:val="BodyText"/>
      </w:pPr>
      <w:r>
        <w:t xml:space="preserve">[22] Y. Xie.</w:t>
      </w:r>
      <w:r>
        <w:t xml:space="preserve"> </w:t>
      </w:r>
      <w:r>
        <w:rPr>
          <w:i/>
          <w:iCs/>
        </w:rPr>
        <w:t xml:space="preserve">tinytex: Helper Functions to Install and Maintain TeX</w:t>
      </w:r>
      <w:r>
        <w:rPr>
          <w:i/>
          <w:iCs/>
        </w:rPr>
        <w:t xml:space="preserve"> </w:t>
      </w:r>
      <w:r>
        <w:rPr>
          <w:i/>
          <w:iCs/>
        </w:rPr>
        <w:t xml:space="preserve">Live, and Compile LaTeX Documents</w:t>
      </w:r>
      <w:r>
        <w:t xml:space="preserve">. R package version 0.53. 2024.</w:t>
      </w:r>
      <w:r>
        <w:t xml:space="preserve"> </w:t>
      </w:r>
      <w:hyperlink r:id="rId80">
        <w:r>
          <w:rPr>
            <w:rStyle w:val="Hyperlink"/>
          </w:rPr>
          <w:t xml:space="preserve">https://github.com/rstudio/tinytex</w:t>
        </w:r>
      </w:hyperlink>
      <w:r>
        <w:t xml:space="preserve">.</w:t>
      </w:r>
    </w:p>
    <w:bookmarkEnd w:id="81"/>
    <w:bookmarkStart w:id="96" w:name="literature"/>
    <w:p>
      <w:pPr>
        <w:pStyle w:val="Heading2"/>
      </w:pPr>
      <w:r>
        <w:t xml:space="preserve">4.1 Literature</w:t>
      </w:r>
    </w:p>
    <w:bookmarkStart w:id="95" w:name="refs"/>
    <w:bookmarkStart w:id="83" w:name="ref-angers2022"/>
    <w:p>
      <w:pPr>
        <w:pStyle w:val="Bibliography"/>
      </w:pPr>
      <w:r>
        <w:t xml:space="preserve">Angers, Shelly. 2022.</w:t>
      </w:r>
      <w:r>
        <w:t xml:space="preserve"> </w:t>
      </w:r>
      <w:r>
        <w:t xml:space="preserve">“Bemis Fire Media Advisory - May 20, 2022.”</w:t>
      </w:r>
      <w:r>
        <w:t xml:space="preserve"> </w:t>
      </w:r>
      <w:hyperlink r:id="rId82">
        <w:r>
          <w:rPr>
            <w:rStyle w:val="Hyperlink"/>
          </w:rPr>
          <w:t xml:space="preserve">https://www.dncr.nh.gov/news-and-media/bemis-fire-media-advisory-may-20-2022</w:t>
        </w:r>
      </w:hyperlink>
      <w:r>
        <w:t xml:space="preserve">.</w:t>
      </w:r>
    </w:p>
    <w:bookmarkEnd w:id="83"/>
    <w:bookmarkStart w:id="85" w:name="ref-bayer2010"/>
    <w:p>
      <w:pPr>
        <w:pStyle w:val="Bibliography"/>
      </w:pPr>
      <w:r>
        <w:t xml:space="preserve">Bayer, Brett. 2010.</w:t>
      </w:r>
      <w:r>
        <w:t xml:space="preserve"> </w:t>
      </w:r>
      <w:r>
        <w:t xml:space="preserve">“Oliverian Stewardship Project Decision Notice and Finding of No Significant Impact (FONSI),”</w:t>
      </w:r>
      <w:r>
        <w:t xml:space="preserve"> </w:t>
      </w:r>
      <w:r>
        <w:t xml:space="preserve">March.</w:t>
      </w:r>
      <w:r>
        <w:t xml:space="preserve"> </w:t>
      </w:r>
      <w:hyperlink r:id="rId84">
        <w:r>
          <w:rPr>
            <w:rStyle w:val="Hyperlink"/>
          </w:rPr>
          <w:t xml:space="preserve">https://www.fs.usda.gov/project/?project=23427&amp;exp=detail</w:t>
        </w:r>
      </w:hyperlink>
      <w:r>
        <w:t xml:space="preserve">.</w:t>
      </w:r>
    </w:p>
    <w:bookmarkEnd w:id="85"/>
    <w:bookmarkStart w:id="87" w:name="ref-foster1983"/>
    <w:p>
      <w:pPr>
        <w:pStyle w:val="Bibliography"/>
      </w:pPr>
      <w:r>
        <w:t xml:space="preserve">Foster, Jeffrey R., and William A. Reiners. 1983.</w:t>
      </w:r>
      <w:r>
        <w:t xml:space="preserve"> </w:t>
      </w:r>
      <w:r>
        <w:t xml:space="preserve">“Vegetation Patterns in a Virgin Subalpine Forest at Crawford Notch, White Mountains, New Hampshire.”</w:t>
      </w:r>
      <w:r>
        <w:t xml:space="preserve"> </w:t>
      </w:r>
      <w:r>
        <w:rPr>
          <w:i/>
          <w:iCs/>
        </w:rPr>
        <w:t xml:space="preserve">Bulletin of the Torrey Botanical Club</w:t>
      </w:r>
      <w:r>
        <w:t xml:space="preserve"> </w:t>
      </w:r>
      <w:r>
        <w:t xml:space="preserve">110 (2): 141.</w:t>
      </w:r>
      <w:r>
        <w:t xml:space="preserve"> </w:t>
      </w:r>
      <w:hyperlink r:id="rId86">
        <w:r>
          <w:rPr>
            <w:rStyle w:val="Hyperlink"/>
          </w:rPr>
          <w:t xml:space="preserve">https://doi.org/10.2307/2996334</w:t>
        </w:r>
      </w:hyperlink>
      <w:r>
        <w:t xml:space="preserve">.</w:t>
      </w:r>
    </w:p>
    <w:bookmarkEnd w:id="87"/>
    <w:bookmarkStart w:id="89" w:name="ref-fuller2009"/>
    <w:p>
      <w:pPr>
        <w:pStyle w:val="Bibliography"/>
      </w:pPr>
      <w:r>
        <w:t xml:space="preserve">Fuller, Molly. 2009.</w:t>
      </w:r>
      <w:r>
        <w:t xml:space="preserve"> </w:t>
      </w:r>
      <w:r>
        <w:t xml:space="preserve">“Stevens Brook Project Decision Notice and Finding of No Significance Impact (FONSI),”</w:t>
      </w:r>
      <w:r>
        <w:t xml:space="preserve"> </w:t>
      </w:r>
      <w:r>
        <w:t xml:space="preserve">May.</w:t>
      </w:r>
      <w:r>
        <w:t xml:space="preserve"> </w:t>
      </w:r>
      <w:hyperlink r:id="rId88">
        <w:r>
          <w:rPr>
            <w:rStyle w:val="Hyperlink"/>
          </w:rPr>
          <w:t xml:space="preserve">https://www.fs.usda.gov/Internet/FSE_DOCUMENTS/stelprdb5210222.pdf</w:t>
        </w:r>
      </w:hyperlink>
      <w:r>
        <w:t xml:space="preserve">.</w:t>
      </w:r>
    </w:p>
    <w:bookmarkEnd w:id="89"/>
    <w:bookmarkStart w:id="90" w:name="ref-gamal-eldin1998"/>
    <w:p>
      <w:pPr>
        <w:pStyle w:val="Bibliography"/>
      </w:pPr>
      <w:r>
        <w:t xml:space="preserve">Gamal-Eldin, Jane. 1998.</w:t>
      </w:r>
      <w:r>
        <w:t xml:space="preserve"> </w:t>
      </w:r>
      <w:r>
        <w:t xml:space="preserve">“Bartlett Experimental Forest.”</w:t>
      </w:r>
      <w:r>
        <w:t xml:space="preserve"> </w:t>
      </w:r>
      <w:r>
        <w:t xml:space="preserve">Radnor, PA.</w:t>
      </w:r>
    </w:p>
    <w:bookmarkEnd w:id="90"/>
    <w:bookmarkStart w:id="91" w:name="ref-leak2011"/>
    <w:p>
      <w:pPr>
        <w:pStyle w:val="Bibliography"/>
      </w:pPr>
      <w:r>
        <w:t xml:space="preserve">Leak, William, and Mariko Yamasaki. 2011.</w:t>
      </w:r>
      <w:r>
        <w:t xml:space="preserve"> </w:t>
      </w:r>
      <w:r>
        <w:t xml:space="preserve">“The Bartlett Experimental Forest, Its First 75 Years.”</w:t>
      </w:r>
      <w:r>
        <w:t xml:space="preserve"> </w:t>
      </w:r>
      <w:r>
        <w:t xml:space="preserve">Newtown Square, PA.</w:t>
      </w:r>
    </w:p>
    <w:bookmarkEnd w:id="91"/>
    <w:bookmarkStart w:id="92" w:name="ref-nhstateparks2010"/>
    <w:p>
      <w:pPr>
        <w:pStyle w:val="Bibliography"/>
      </w:pPr>
      <w:r>
        <w:t xml:space="preserve">NH State Parks. 2010.</w:t>
      </w:r>
      <w:r>
        <w:t xml:space="preserve"> </w:t>
      </w:r>
      <w:r>
        <w:t xml:space="preserve">“Crawford Notch History.”</w:t>
      </w:r>
    </w:p>
    <w:bookmarkEnd w:id="92"/>
    <w:bookmarkStart w:id="94" w:name="ref-usdaforestservice2005"/>
    <w:p>
      <w:pPr>
        <w:pStyle w:val="Bibliography"/>
      </w:pPr>
      <w:r>
        <w:t xml:space="preserve">USDA Forest Service. 2005.</w:t>
      </w:r>
      <w:r>
        <w:t xml:space="preserve"> </w:t>
      </w:r>
      <w:r>
        <w:t xml:space="preserve">“Land and Resource Management Plan.”</w:t>
      </w:r>
      <w:r>
        <w:t xml:space="preserve"> </w:t>
      </w:r>
      <w:r>
        <w:t xml:space="preserve">Laconia, NH.</w:t>
      </w:r>
      <w:r>
        <w:t xml:space="preserve"> </w:t>
      </w:r>
      <w:hyperlink r:id="rId93">
        <w:r>
          <w:rPr>
            <w:rStyle w:val="Hyperlink"/>
          </w:rPr>
          <w:t xml:space="preserve">https://www.fs.usda.gov/detail/whitemountain/landmanagement/planning/?cid=STELPRDB5199941</w:t>
        </w:r>
      </w:hyperlink>
      <w:r>
        <w:t xml:space="preserve">.</w:t>
      </w:r>
    </w:p>
    <w:bookmarkEnd w:id="94"/>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hyperlink" Id="rId74" Target="https://CRAN.R-project.org/package=dplyr" TargetMode="External" /><Relationship Type="http://schemas.openxmlformats.org/officeDocument/2006/relationships/hyperlink" Id="rId69" Target="https://CRAN.R-project.org/package=forcats" TargetMode="External" /><Relationship Type="http://schemas.openxmlformats.org/officeDocument/2006/relationships/hyperlink" Id="rId73" Target="https://CRAN.R-project.org/package=ggplot2" TargetMode="External" /><Relationship Type="http://schemas.openxmlformats.org/officeDocument/2006/relationships/hyperlink" Id="rId68" Target="https://CRAN.R-project.org/package=lubridate" TargetMode="External" /><Relationship Type="http://schemas.openxmlformats.org/officeDocument/2006/relationships/hyperlink" Id="rId75" Target="https://CRAN.R-project.org/package=purrr" TargetMode="External" /><Relationship Type="http://schemas.openxmlformats.org/officeDocument/2006/relationships/hyperlink" Id="rId76" Target="https://CRAN.R-project.org/package=readr" TargetMode="External" /><Relationship Type="http://schemas.openxmlformats.org/officeDocument/2006/relationships/hyperlink" Id="rId64" Target="https://CRAN.R-project.org/package=shiny" TargetMode="External" /><Relationship Type="http://schemas.openxmlformats.org/officeDocument/2006/relationships/hyperlink" Id="rId71" Target="https://CRAN.R-project.org/package=stringr" TargetMode="External" /><Relationship Type="http://schemas.openxmlformats.org/officeDocument/2006/relationships/hyperlink" Id="rId66" Target="https://CRAN.R-project.org/package=tibble" TargetMode="External" /><Relationship Type="http://schemas.openxmlformats.org/officeDocument/2006/relationships/hyperlink" Id="rId77" Target="https://CRAN.R-project.org/package=tidyr" TargetMode="External" /><Relationship Type="http://schemas.openxmlformats.org/officeDocument/2006/relationships/hyperlink" Id="rId72" Target="https://CRAN.R-project.org/package=tidyverse" TargetMode="External" /><Relationship Type="http://schemas.openxmlformats.org/officeDocument/2006/relationships/hyperlink" Id="rId86" Target="https://doi.org/10.2307/2996334" TargetMode="External" /><Relationship Type="http://schemas.openxmlformats.org/officeDocument/2006/relationships/hyperlink" Id="rId70" Target="https://ggplot2.tidyverse.org" TargetMode="External" /><Relationship Type="http://schemas.openxmlformats.org/officeDocument/2006/relationships/hyperlink" Id="rId63" Target="https://github.com/cboettig/knitcitations" TargetMode="External" /><Relationship Type="http://schemas.openxmlformats.org/officeDocument/2006/relationships/hyperlink" Id="rId62" Target="https://github.com/crsh/citr" TargetMode="External" /><Relationship Type="http://schemas.openxmlformats.org/officeDocument/2006/relationships/hyperlink" Id="rId80" Target="https://github.com/rstudio/tinytex" TargetMode="External" /><Relationship Type="http://schemas.openxmlformats.org/officeDocument/2006/relationships/hyperlink" Id="rId79" Target="https://tug.org/TUGboat/Contents/contents40-1.html" TargetMode="External" /><Relationship Type="http://schemas.openxmlformats.org/officeDocument/2006/relationships/hyperlink" Id="rId67" Target="https://www.R-project.org/" TargetMode="External" /><Relationship Type="http://schemas.openxmlformats.org/officeDocument/2006/relationships/hyperlink" Id="rId82" Target="https://www.dncr.nh.gov/news-and-media/bemis-fire-media-advisory-may-20-2022" TargetMode="External" /><Relationship Type="http://schemas.openxmlformats.org/officeDocument/2006/relationships/hyperlink" Id="rId88" Target="https://www.fs.usda.gov/Internet/FSE_DOCUMENTS/stelprdb5210222.pdf" TargetMode="External" /><Relationship Type="http://schemas.openxmlformats.org/officeDocument/2006/relationships/hyperlink" Id="rId93" Target="https://www.fs.usda.gov/detail/whitemountain/landmanagement/planning/?cid=STELPRDB5199941" TargetMode="External" /><Relationship Type="http://schemas.openxmlformats.org/officeDocument/2006/relationships/hyperlink" Id="rId84" Target="https://www.fs.usda.gov/project/?project=23427&amp;exp=detail" TargetMode="External" /><Relationship Type="http://schemas.openxmlformats.org/officeDocument/2006/relationships/hyperlink" Id="rId65" Target="https://www.jstatsoft.org/v40/i03/" TargetMode="External" /><Relationship Type="http://schemas.openxmlformats.org/officeDocument/2006/relationships/hyperlink" Id="rId78"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dplyr" TargetMode="External" /><Relationship Type="http://schemas.openxmlformats.org/officeDocument/2006/relationships/hyperlink" Id="rId69" Target="https://CRAN.R-project.org/package=forcats" TargetMode="External" /><Relationship Type="http://schemas.openxmlformats.org/officeDocument/2006/relationships/hyperlink" Id="rId73" Target="https://CRAN.R-project.org/package=ggplot2" TargetMode="External" /><Relationship Type="http://schemas.openxmlformats.org/officeDocument/2006/relationships/hyperlink" Id="rId68" Target="https://CRAN.R-project.org/package=lubridate" TargetMode="External" /><Relationship Type="http://schemas.openxmlformats.org/officeDocument/2006/relationships/hyperlink" Id="rId75" Target="https://CRAN.R-project.org/package=purrr" TargetMode="External" /><Relationship Type="http://schemas.openxmlformats.org/officeDocument/2006/relationships/hyperlink" Id="rId76" Target="https://CRAN.R-project.org/package=readr" TargetMode="External" /><Relationship Type="http://schemas.openxmlformats.org/officeDocument/2006/relationships/hyperlink" Id="rId64" Target="https://CRAN.R-project.org/package=shiny" TargetMode="External" /><Relationship Type="http://schemas.openxmlformats.org/officeDocument/2006/relationships/hyperlink" Id="rId71" Target="https://CRAN.R-project.org/package=stringr" TargetMode="External" /><Relationship Type="http://schemas.openxmlformats.org/officeDocument/2006/relationships/hyperlink" Id="rId66" Target="https://CRAN.R-project.org/package=tibble" TargetMode="External" /><Relationship Type="http://schemas.openxmlformats.org/officeDocument/2006/relationships/hyperlink" Id="rId77" Target="https://CRAN.R-project.org/package=tidyr" TargetMode="External" /><Relationship Type="http://schemas.openxmlformats.org/officeDocument/2006/relationships/hyperlink" Id="rId72" Target="https://CRAN.R-project.org/package=tidyverse" TargetMode="External" /><Relationship Type="http://schemas.openxmlformats.org/officeDocument/2006/relationships/hyperlink" Id="rId86" Target="https://doi.org/10.2307/2996334" TargetMode="External" /><Relationship Type="http://schemas.openxmlformats.org/officeDocument/2006/relationships/hyperlink" Id="rId70" Target="https://ggplot2.tidyverse.org" TargetMode="External" /><Relationship Type="http://schemas.openxmlformats.org/officeDocument/2006/relationships/hyperlink" Id="rId63" Target="https://github.com/cboettig/knitcitations" TargetMode="External" /><Relationship Type="http://schemas.openxmlformats.org/officeDocument/2006/relationships/hyperlink" Id="rId62" Target="https://github.com/crsh/citr" TargetMode="External" /><Relationship Type="http://schemas.openxmlformats.org/officeDocument/2006/relationships/hyperlink" Id="rId80" Target="https://github.com/rstudio/tinytex" TargetMode="External" /><Relationship Type="http://schemas.openxmlformats.org/officeDocument/2006/relationships/hyperlink" Id="rId79" Target="https://tug.org/TUGboat/Contents/contents40-1.html" TargetMode="External" /><Relationship Type="http://schemas.openxmlformats.org/officeDocument/2006/relationships/hyperlink" Id="rId67" Target="https://www.R-project.org/" TargetMode="External" /><Relationship Type="http://schemas.openxmlformats.org/officeDocument/2006/relationships/hyperlink" Id="rId82" Target="https://www.dncr.nh.gov/news-and-media/bemis-fire-media-advisory-may-20-2022" TargetMode="External" /><Relationship Type="http://schemas.openxmlformats.org/officeDocument/2006/relationships/hyperlink" Id="rId88" Target="https://www.fs.usda.gov/Internet/FSE_DOCUMENTS/stelprdb5210222.pdf" TargetMode="External" /><Relationship Type="http://schemas.openxmlformats.org/officeDocument/2006/relationships/hyperlink" Id="rId93" Target="https://www.fs.usda.gov/detail/whitemountain/landmanagement/planning/?cid=STELPRDB5199941" TargetMode="External" /><Relationship Type="http://schemas.openxmlformats.org/officeDocument/2006/relationships/hyperlink" Id="rId84" Target="https://www.fs.usda.gov/project/?project=23427&amp;exp=detail" TargetMode="External" /><Relationship Type="http://schemas.openxmlformats.org/officeDocument/2006/relationships/hyperlink" Id="rId65" Target="https://www.jstatsoft.org/v40/i03/" TargetMode="External" /><Relationship Type="http://schemas.openxmlformats.org/officeDocument/2006/relationships/hyperlink" Id="rId78"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
  <cp:keywords/>
  <dcterms:created xsi:type="dcterms:W3CDTF">2025-04-07T14:14:09Z</dcterms:created>
  <dcterms:modified xsi:type="dcterms:W3CDTF">2025-04-07T14:14:09Z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config">
    <vt:lpwstr>True</vt:lpwstr>
  </property>
  <property fmtid="{D5CDD505-2E9C-101B-9397-08002B2CF9AE}" pid="4" name="bibliography">
    <vt:lpwstr/>
  </property>
  <property fmtid="{D5CDD505-2E9C-101B-9397-08002B2CF9AE}" pid="5" name="documentclass">
    <vt:lpwstr>article</vt:lpwstr>
  </property>
  <property fmtid="{D5CDD505-2E9C-101B-9397-08002B2CF9AE}" pid="6" name="editor">
    <vt:lpwstr>visual</vt:lpwstr>
  </property>
  <property fmtid="{D5CDD505-2E9C-101B-9397-08002B2CF9AE}" pid="7" name="fig-cap-location">
    <vt:lpwstr>bottom</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estretch">
    <vt:lpwstr>2</vt:lpwstr>
  </property>
  <property fmtid="{D5CDD505-2E9C-101B-9397-08002B2CF9AE}" pid="15" name="mainfont">
    <vt:lpwstr>Times New Roman</vt:lpwstr>
  </property>
  <property fmtid="{D5CDD505-2E9C-101B-9397-08002B2CF9AE}" pid="16" name="papersize">
    <vt:lpwstr>a4</vt:lpwstr>
  </property>
  <property fmtid="{D5CDD505-2E9C-101B-9397-08002B2CF9AE}" pid="17" name="tbl-cap-location">
    <vt:lpwstr>top</vt:lpwstr>
  </property>
  <property fmtid="{D5CDD505-2E9C-101B-9397-08002B2CF9AE}" pid="18" name="toc-title">
    <vt:lpwstr>Table of contents</vt:lpwstr>
  </property>
</Properties>
</file>