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136F2" w14:textId="77777777" w:rsidR="006F5578" w:rsidRDefault="006F5578">
      <w:pPr>
        <w:spacing w:before="40" w:after="40"/>
      </w:pPr>
    </w:p>
    <w:p w14:paraId="2015DFA5" w14:textId="77777777" w:rsidR="006F5578" w:rsidRDefault="006F5578">
      <w:pPr>
        <w:spacing w:before="40" w:after="40"/>
      </w:pPr>
    </w:p>
    <w:p w14:paraId="02318ED8" w14:textId="77777777" w:rsidR="006F5578" w:rsidRDefault="006F5578">
      <w:pPr>
        <w:spacing w:before="40" w:after="40"/>
      </w:pPr>
    </w:p>
    <w:p w14:paraId="42419609" w14:textId="77777777" w:rsidR="006F5578" w:rsidRDefault="006F5578">
      <w:pPr>
        <w:spacing w:before="40" w:after="40"/>
      </w:pPr>
    </w:p>
    <w:p w14:paraId="6925BF7F" w14:textId="77777777" w:rsidR="006F5578" w:rsidRDefault="00000000">
      <w:pPr>
        <w:spacing w:after="60"/>
        <w:jc w:val="center"/>
      </w:pPr>
      <w:r>
        <w:rPr>
          <w:b/>
          <w:bCs/>
          <w:color w:val="555577"/>
        </w:rPr>
        <w:t>FIAP — Faculdade de Informática e Administração Paulista</w:t>
      </w:r>
    </w:p>
    <w:p w14:paraId="68304F04" w14:textId="77777777" w:rsidR="006F5578" w:rsidRPr="00DB2E94" w:rsidRDefault="00000000">
      <w:pPr>
        <w:spacing w:after="200"/>
        <w:jc w:val="center"/>
        <w:rPr>
          <w:lang w:val="en-US"/>
        </w:rPr>
      </w:pPr>
      <w:r w:rsidRPr="00DB2E94">
        <w:rPr>
          <w:color w:val="555577"/>
          <w:lang w:val="en-US"/>
        </w:rPr>
        <w:t>Turma 1CCPS | Projeto Next Gen</w:t>
      </w:r>
    </w:p>
    <w:p w14:paraId="20542B2A" w14:textId="77777777" w:rsidR="006F5578" w:rsidRPr="00DB2E94" w:rsidRDefault="00000000">
      <w:pPr>
        <w:spacing w:before="200" w:after="40"/>
        <w:jc w:val="center"/>
        <w:rPr>
          <w:lang w:val="en-US"/>
        </w:rPr>
      </w:pPr>
      <w:r w:rsidRPr="00DB2E94">
        <w:rPr>
          <w:color w:val="0D3BB3"/>
          <w:sz w:val="56"/>
          <w:szCs w:val="56"/>
          <w:lang w:val="en-US"/>
        </w:rPr>
        <w:t>Care Plus</w:t>
      </w:r>
    </w:p>
    <w:p w14:paraId="5808B483" w14:textId="77777777" w:rsidR="006F5578" w:rsidRDefault="00000000">
      <w:pPr>
        <w:spacing w:after="60"/>
        <w:jc w:val="center"/>
      </w:pPr>
      <w:r>
        <w:rPr>
          <w:b/>
          <w:bCs/>
          <w:color w:val="1A56FF"/>
          <w:sz w:val="72"/>
          <w:szCs w:val="72"/>
        </w:rPr>
        <w:t>PREDICT</w:t>
      </w:r>
    </w:p>
    <w:p w14:paraId="6101DFA7" w14:textId="77777777" w:rsidR="006F5578" w:rsidRDefault="00000000">
      <w:pPr>
        <w:pBdr>
          <w:top w:val="single" w:sz="4" w:space="6" w:color="1A56FF"/>
          <w:bottom w:val="single" w:sz="4" w:space="6" w:color="1A56FF"/>
        </w:pBdr>
        <w:spacing w:before="80" w:after="80"/>
        <w:jc w:val="center"/>
      </w:pPr>
      <w:r>
        <w:rPr>
          <w:b/>
          <w:bCs/>
          <w:sz w:val="28"/>
          <w:szCs w:val="28"/>
        </w:rPr>
        <w:t>Análise Crítica do Projeto, Focos de Melhoria</w:t>
      </w:r>
      <w:r>
        <w:rPr>
          <w:sz w:val="28"/>
          <w:szCs w:val="28"/>
        </w:rPr>
        <w:t xml:space="preserve"> e Posicionamento frente ao Mercado de Healthtech</w:t>
      </w:r>
    </w:p>
    <w:p w14:paraId="1FEDF03F" w14:textId="77777777" w:rsidR="006F5578" w:rsidRDefault="006F5578">
      <w:pPr>
        <w:spacing w:before="40" w:after="40"/>
      </w:pPr>
    </w:p>
    <w:p w14:paraId="06266DEB" w14:textId="77777777" w:rsidR="006F5578" w:rsidRDefault="00000000">
      <w:pPr>
        <w:spacing w:before="160" w:after="40"/>
        <w:jc w:val="center"/>
      </w:pPr>
      <w:r>
        <w:rPr>
          <w:color w:val="555577"/>
          <w:sz w:val="21"/>
          <w:szCs w:val="21"/>
        </w:rPr>
        <w:t>Documento elaborado com base na apresentação institucional do projeto,</w:t>
      </w:r>
    </w:p>
    <w:p w14:paraId="0B53795C" w14:textId="77777777" w:rsidR="006F5578" w:rsidRDefault="00000000">
      <w:pPr>
        <w:spacing w:after="40"/>
        <w:jc w:val="center"/>
      </w:pPr>
      <w:r>
        <w:rPr>
          <w:color w:val="555577"/>
          <w:sz w:val="21"/>
          <w:szCs w:val="21"/>
        </w:rPr>
        <w:t>análise técnica aprofundada e dados de mercado global e latino-americano (2024–2025).</w:t>
      </w:r>
    </w:p>
    <w:p w14:paraId="1C637F9D" w14:textId="77777777" w:rsidR="006F5578" w:rsidRDefault="006F5578">
      <w:pPr>
        <w:spacing w:before="40" w:after="40"/>
      </w:pPr>
    </w:p>
    <w:p w14:paraId="30235E90" w14:textId="77777777" w:rsidR="006F5578" w:rsidRDefault="006F5578">
      <w:pPr>
        <w:spacing w:before="40" w:after="40"/>
      </w:pPr>
    </w:p>
    <w:p w14:paraId="57EF7A73" w14:textId="77777777" w:rsidR="006F5578" w:rsidRDefault="006F5578">
      <w:pPr>
        <w:spacing w:before="40" w:after="40"/>
      </w:pPr>
    </w:p>
    <w:p w14:paraId="19397A34" w14:textId="77777777" w:rsidR="006F5578" w:rsidRDefault="00000000">
      <w:pPr>
        <w:spacing w:before="200" w:after="40"/>
        <w:jc w:val="center"/>
      </w:pPr>
      <w:r>
        <w:rPr>
          <w:color w:val="555577"/>
          <w:sz w:val="20"/>
          <w:szCs w:val="20"/>
        </w:rPr>
        <w:t>Scrum Master: Allan Roberto  |  São Paulo, 2025</w:t>
      </w:r>
    </w:p>
    <w:p w14:paraId="4D11C9FF" w14:textId="77777777" w:rsidR="006F5578" w:rsidRDefault="00000000">
      <w:r>
        <w:br w:type="page"/>
      </w:r>
    </w:p>
    <w:p w14:paraId="3E7F22D0" w14:textId="77777777" w:rsidR="006F5578" w:rsidRDefault="00000000">
      <w:pPr>
        <w:pStyle w:val="Heading1"/>
        <w:pBdr>
          <w:bottom w:val="single" w:sz="10" w:space="6" w:color="1A56FF"/>
        </w:pBdr>
      </w:pPr>
      <w:bookmarkStart w:id="0" w:name="_Toc224315135"/>
      <w:r>
        <w:lastRenderedPageBreak/>
        <w:t>Sumário</w:t>
      </w:r>
      <w:bookmarkEnd w:id="0"/>
    </w:p>
    <w:sdt>
      <w:sdtPr>
        <w:alias w:val="Sumário"/>
        <w:id w:val="1906407238"/>
      </w:sdtPr>
      <w:sdtContent>
        <w:p w14:paraId="2E6763F9" w14:textId="77777777" w:rsidR="00DB2E94" w:rsidRDefault="00000000">
          <w:pPr>
            <w:pStyle w:val="TOC1"/>
            <w:tabs>
              <w:tab w:val="right" w:leader="dot" w:pos="9496"/>
            </w:tabs>
            <w:rPr>
              <w:noProof/>
            </w:rPr>
          </w:pPr>
          <w:r>
            <w:fldChar w:fldCharType="begin"/>
          </w:r>
          <w:r>
            <w:instrText>TOC \h \o "1-3"</w:instrText>
          </w:r>
          <w:r>
            <w:fldChar w:fldCharType="separate"/>
          </w:r>
          <w:hyperlink w:anchor="_Toc224315135" w:history="1">
            <w:r w:rsidR="00DB2E94" w:rsidRPr="00671495">
              <w:rPr>
                <w:rStyle w:val="Hyperlink"/>
                <w:noProof/>
              </w:rPr>
              <w:t>Sumário</w:t>
            </w:r>
            <w:r w:rsidR="00DB2E94">
              <w:rPr>
                <w:noProof/>
              </w:rPr>
              <w:tab/>
            </w:r>
            <w:r w:rsidR="00DB2E94">
              <w:rPr>
                <w:noProof/>
              </w:rPr>
              <w:fldChar w:fldCharType="begin"/>
            </w:r>
            <w:r w:rsidR="00DB2E94">
              <w:rPr>
                <w:noProof/>
              </w:rPr>
              <w:instrText xml:space="preserve"> PAGEREF _Toc224315135 \h </w:instrText>
            </w:r>
            <w:r w:rsidR="00DB2E94">
              <w:rPr>
                <w:noProof/>
              </w:rPr>
            </w:r>
            <w:r w:rsidR="00DB2E94">
              <w:rPr>
                <w:noProof/>
              </w:rPr>
              <w:fldChar w:fldCharType="separate"/>
            </w:r>
            <w:r w:rsidR="00DB2E94">
              <w:rPr>
                <w:noProof/>
              </w:rPr>
              <w:t>2</w:t>
            </w:r>
            <w:r w:rsidR="00DB2E94">
              <w:rPr>
                <w:noProof/>
              </w:rPr>
              <w:fldChar w:fldCharType="end"/>
            </w:r>
          </w:hyperlink>
        </w:p>
        <w:p w14:paraId="4F731C33" w14:textId="77777777" w:rsidR="00DB2E94" w:rsidRDefault="00DB2E94">
          <w:pPr>
            <w:pStyle w:val="TOC1"/>
            <w:tabs>
              <w:tab w:val="right" w:leader="dot" w:pos="9496"/>
            </w:tabs>
            <w:rPr>
              <w:noProof/>
            </w:rPr>
          </w:pPr>
          <w:hyperlink w:anchor="_Toc224315136" w:history="1">
            <w:r w:rsidRPr="00671495">
              <w:rPr>
                <w:rStyle w:val="Hyperlink"/>
                <w:noProof/>
              </w:rPr>
              <w:t>1. Introdução</w:t>
            </w:r>
            <w:r>
              <w:rPr>
                <w:noProof/>
              </w:rPr>
              <w:tab/>
            </w:r>
            <w:r>
              <w:rPr>
                <w:noProof/>
              </w:rPr>
              <w:fldChar w:fldCharType="begin"/>
            </w:r>
            <w:r>
              <w:rPr>
                <w:noProof/>
              </w:rPr>
              <w:instrText xml:space="preserve"> PAGEREF _Toc224315136 \h </w:instrText>
            </w:r>
            <w:r>
              <w:rPr>
                <w:noProof/>
              </w:rPr>
            </w:r>
            <w:r>
              <w:rPr>
                <w:noProof/>
              </w:rPr>
              <w:fldChar w:fldCharType="separate"/>
            </w:r>
            <w:r>
              <w:rPr>
                <w:noProof/>
              </w:rPr>
              <w:t>3</w:t>
            </w:r>
            <w:r>
              <w:rPr>
                <w:noProof/>
              </w:rPr>
              <w:fldChar w:fldCharType="end"/>
            </w:r>
          </w:hyperlink>
        </w:p>
        <w:p w14:paraId="0E0DBB14" w14:textId="77777777" w:rsidR="00DB2E94" w:rsidRDefault="00DB2E94">
          <w:pPr>
            <w:pStyle w:val="TOC1"/>
            <w:tabs>
              <w:tab w:val="right" w:leader="dot" w:pos="9496"/>
            </w:tabs>
            <w:rPr>
              <w:noProof/>
            </w:rPr>
          </w:pPr>
          <w:hyperlink w:anchor="_Toc224315137" w:history="1">
            <w:r w:rsidRPr="00671495">
              <w:rPr>
                <w:rStyle w:val="Hyperlink"/>
                <w:noProof/>
              </w:rPr>
              <w:t>2. Análise Crítica do CarePlus Predict</w:t>
            </w:r>
            <w:r>
              <w:rPr>
                <w:noProof/>
              </w:rPr>
              <w:tab/>
            </w:r>
            <w:r>
              <w:rPr>
                <w:noProof/>
              </w:rPr>
              <w:fldChar w:fldCharType="begin"/>
            </w:r>
            <w:r>
              <w:rPr>
                <w:noProof/>
              </w:rPr>
              <w:instrText xml:space="preserve"> PAGEREF _Toc224315137 \h </w:instrText>
            </w:r>
            <w:r>
              <w:rPr>
                <w:noProof/>
              </w:rPr>
            </w:r>
            <w:r>
              <w:rPr>
                <w:noProof/>
              </w:rPr>
              <w:fldChar w:fldCharType="separate"/>
            </w:r>
            <w:r>
              <w:rPr>
                <w:noProof/>
              </w:rPr>
              <w:t>4</w:t>
            </w:r>
            <w:r>
              <w:rPr>
                <w:noProof/>
              </w:rPr>
              <w:fldChar w:fldCharType="end"/>
            </w:r>
          </w:hyperlink>
        </w:p>
        <w:p w14:paraId="3FCEACFB" w14:textId="77777777" w:rsidR="00DB2E94" w:rsidRDefault="00DB2E94">
          <w:pPr>
            <w:pStyle w:val="TOC2"/>
            <w:tabs>
              <w:tab w:val="right" w:leader="dot" w:pos="9496"/>
            </w:tabs>
            <w:rPr>
              <w:noProof/>
            </w:rPr>
          </w:pPr>
          <w:hyperlink w:anchor="_Toc224315138" w:history="1">
            <w:r w:rsidRPr="00671495">
              <w:rPr>
                <w:rStyle w:val="Hyperlink"/>
                <w:noProof/>
              </w:rPr>
              <w:t>2.1 O que está bem construído</w:t>
            </w:r>
            <w:r>
              <w:rPr>
                <w:noProof/>
              </w:rPr>
              <w:tab/>
            </w:r>
            <w:r>
              <w:rPr>
                <w:noProof/>
              </w:rPr>
              <w:fldChar w:fldCharType="begin"/>
            </w:r>
            <w:r>
              <w:rPr>
                <w:noProof/>
              </w:rPr>
              <w:instrText xml:space="preserve"> PAGEREF _Toc224315138 \h </w:instrText>
            </w:r>
            <w:r>
              <w:rPr>
                <w:noProof/>
              </w:rPr>
            </w:r>
            <w:r>
              <w:rPr>
                <w:noProof/>
              </w:rPr>
              <w:fldChar w:fldCharType="separate"/>
            </w:r>
            <w:r>
              <w:rPr>
                <w:noProof/>
              </w:rPr>
              <w:t>4</w:t>
            </w:r>
            <w:r>
              <w:rPr>
                <w:noProof/>
              </w:rPr>
              <w:fldChar w:fldCharType="end"/>
            </w:r>
          </w:hyperlink>
        </w:p>
        <w:p w14:paraId="76CEF44B" w14:textId="77777777" w:rsidR="00DB2E94" w:rsidRDefault="00DB2E94">
          <w:pPr>
            <w:pStyle w:val="TOC2"/>
            <w:tabs>
              <w:tab w:val="right" w:leader="dot" w:pos="9496"/>
            </w:tabs>
            <w:rPr>
              <w:noProof/>
            </w:rPr>
          </w:pPr>
          <w:hyperlink w:anchor="_Toc224315139" w:history="1">
            <w:r w:rsidRPr="00671495">
              <w:rPr>
                <w:rStyle w:val="Hyperlink"/>
                <w:noProof/>
              </w:rPr>
              <w:t>2.2 Os pontos de atenção</w:t>
            </w:r>
            <w:r>
              <w:rPr>
                <w:noProof/>
              </w:rPr>
              <w:tab/>
            </w:r>
            <w:r>
              <w:rPr>
                <w:noProof/>
              </w:rPr>
              <w:fldChar w:fldCharType="begin"/>
            </w:r>
            <w:r>
              <w:rPr>
                <w:noProof/>
              </w:rPr>
              <w:instrText xml:space="preserve"> PAGEREF _Toc224315139 \h </w:instrText>
            </w:r>
            <w:r>
              <w:rPr>
                <w:noProof/>
              </w:rPr>
            </w:r>
            <w:r>
              <w:rPr>
                <w:noProof/>
              </w:rPr>
              <w:fldChar w:fldCharType="separate"/>
            </w:r>
            <w:r>
              <w:rPr>
                <w:noProof/>
              </w:rPr>
              <w:t>4</w:t>
            </w:r>
            <w:r>
              <w:rPr>
                <w:noProof/>
              </w:rPr>
              <w:fldChar w:fldCharType="end"/>
            </w:r>
          </w:hyperlink>
        </w:p>
        <w:p w14:paraId="7C7EDCA6" w14:textId="77777777" w:rsidR="00DB2E94" w:rsidRDefault="00DB2E94">
          <w:pPr>
            <w:pStyle w:val="TOC3"/>
            <w:tabs>
              <w:tab w:val="right" w:leader="dot" w:pos="9496"/>
            </w:tabs>
            <w:rPr>
              <w:noProof/>
            </w:rPr>
          </w:pPr>
          <w:hyperlink w:anchor="_Toc224315140" w:history="1">
            <w:r w:rsidRPr="00671495">
              <w:rPr>
                <w:rStyle w:val="Hyperlink"/>
                <w:noProof/>
              </w:rPr>
              <w:t>2.2.1 O problema dos dados de treinamento — a vulnerabilidade mais crítica</w:t>
            </w:r>
            <w:r>
              <w:rPr>
                <w:noProof/>
              </w:rPr>
              <w:tab/>
            </w:r>
            <w:r>
              <w:rPr>
                <w:noProof/>
              </w:rPr>
              <w:fldChar w:fldCharType="begin"/>
            </w:r>
            <w:r>
              <w:rPr>
                <w:noProof/>
              </w:rPr>
              <w:instrText xml:space="preserve"> PAGEREF _Toc224315140 \h </w:instrText>
            </w:r>
            <w:r>
              <w:rPr>
                <w:noProof/>
              </w:rPr>
            </w:r>
            <w:r>
              <w:rPr>
                <w:noProof/>
              </w:rPr>
              <w:fldChar w:fldCharType="separate"/>
            </w:r>
            <w:r>
              <w:rPr>
                <w:noProof/>
              </w:rPr>
              <w:t>4</w:t>
            </w:r>
            <w:r>
              <w:rPr>
                <w:noProof/>
              </w:rPr>
              <w:fldChar w:fldCharType="end"/>
            </w:r>
          </w:hyperlink>
        </w:p>
        <w:p w14:paraId="29E3D2CD" w14:textId="77777777" w:rsidR="00DB2E94" w:rsidRDefault="00DB2E94">
          <w:pPr>
            <w:pStyle w:val="TOC3"/>
            <w:tabs>
              <w:tab w:val="right" w:leader="dot" w:pos="9496"/>
            </w:tabs>
            <w:rPr>
              <w:noProof/>
            </w:rPr>
          </w:pPr>
          <w:hyperlink w:anchor="_Toc224315141" w:history="1">
            <w:r w:rsidRPr="00671495">
              <w:rPr>
                <w:rStyle w:val="Hyperlink"/>
                <w:noProof/>
              </w:rPr>
              <w:t>2.2.2 A tensão regulatória com a ANVISA — SaMD e dados reais</w:t>
            </w:r>
            <w:r>
              <w:rPr>
                <w:noProof/>
              </w:rPr>
              <w:tab/>
            </w:r>
            <w:r>
              <w:rPr>
                <w:noProof/>
              </w:rPr>
              <w:fldChar w:fldCharType="begin"/>
            </w:r>
            <w:r>
              <w:rPr>
                <w:noProof/>
              </w:rPr>
              <w:instrText xml:space="preserve"> PAGEREF _Toc224315141 \h </w:instrText>
            </w:r>
            <w:r>
              <w:rPr>
                <w:noProof/>
              </w:rPr>
            </w:r>
            <w:r>
              <w:rPr>
                <w:noProof/>
              </w:rPr>
              <w:fldChar w:fldCharType="separate"/>
            </w:r>
            <w:r>
              <w:rPr>
                <w:noProof/>
              </w:rPr>
              <w:t>5</w:t>
            </w:r>
            <w:r>
              <w:rPr>
                <w:noProof/>
              </w:rPr>
              <w:fldChar w:fldCharType="end"/>
            </w:r>
          </w:hyperlink>
        </w:p>
        <w:p w14:paraId="241ADE1D" w14:textId="77777777" w:rsidR="00DB2E94" w:rsidRDefault="00DB2E94">
          <w:pPr>
            <w:pStyle w:val="TOC3"/>
            <w:tabs>
              <w:tab w:val="right" w:leader="dot" w:pos="9496"/>
            </w:tabs>
            <w:rPr>
              <w:noProof/>
            </w:rPr>
          </w:pPr>
          <w:hyperlink w:anchor="_Toc224315142" w:history="1">
            <w:r w:rsidRPr="00671495">
              <w:rPr>
                <w:rStyle w:val="Hyperlink"/>
                <w:noProof/>
              </w:rPr>
              <w:t>2.2.3 A armadilha da complexidade prematura</w:t>
            </w:r>
            <w:r>
              <w:rPr>
                <w:noProof/>
              </w:rPr>
              <w:tab/>
            </w:r>
            <w:r>
              <w:rPr>
                <w:noProof/>
              </w:rPr>
              <w:fldChar w:fldCharType="begin"/>
            </w:r>
            <w:r>
              <w:rPr>
                <w:noProof/>
              </w:rPr>
              <w:instrText xml:space="preserve"> PAGEREF _Toc224315142 \h </w:instrText>
            </w:r>
            <w:r>
              <w:rPr>
                <w:noProof/>
              </w:rPr>
            </w:r>
            <w:r>
              <w:rPr>
                <w:noProof/>
              </w:rPr>
              <w:fldChar w:fldCharType="separate"/>
            </w:r>
            <w:r>
              <w:rPr>
                <w:noProof/>
              </w:rPr>
              <w:t>5</w:t>
            </w:r>
            <w:r>
              <w:rPr>
                <w:noProof/>
              </w:rPr>
              <w:fldChar w:fldCharType="end"/>
            </w:r>
          </w:hyperlink>
        </w:p>
        <w:p w14:paraId="35C7B7A2" w14:textId="77777777" w:rsidR="00DB2E94" w:rsidRDefault="00DB2E94">
          <w:pPr>
            <w:pStyle w:val="TOC2"/>
            <w:tabs>
              <w:tab w:val="right" w:leader="dot" w:pos="9496"/>
            </w:tabs>
            <w:rPr>
              <w:noProof/>
            </w:rPr>
          </w:pPr>
          <w:hyperlink w:anchor="_Toc224315143" w:history="1">
            <w:r w:rsidRPr="00671495">
              <w:rPr>
                <w:rStyle w:val="Hyperlink"/>
                <w:noProof/>
              </w:rPr>
              <w:t>2.3 Qual deveria ser o foco principal</w:t>
            </w:r>
            <w:r>
              <w:rPr>
                <w:noProof/>
              </w:rPr>
              <w:tab/>
            </w:r>
            <w:r>
              <w:rPr>
                <w:noProof/>
              </w:rPr>
              <w:fldChar w:fldCharType="begin"/>
            </w:r>
            <w:r>
              <w:rPr>
                <w:noProof/>
              </w:rPr>
              <w:instrText xml:space="preserve"> PAGEREF _Toc224315143 \h </w:instrText>
            </w:r>
            <w:r>
              <w:rPr>
                <w:noProof/>
              </w:rPr>
            </w:r>
            <w:r>
              <w:rPr>
                <w:noProof/>
              </w:rPr>
              <w:fldChar w:fldCharType="separate"/>
            </w:r>
            <w:r>
              <w:rPr>
                <w:noProof/>
              </w:rPr>
              <w:t>6</w:t>
            </w:r>
            <w:r>
              <w:rPr>
                <w:noProof/>
              </w:rPr>
              <w:fldChar w:fldCharType="end"/>
            </w:r>
          </w:hyperlink>
        </w:p>
        <w:p w14:paraId="49DC8510" w14:textId="77777777" w:rsidR="00DB2E94" w:rsidRDefault="00DB2E94">
          <w:pPr>
            <w:pStyle w:val="TOC1"/>
            <w:tabs>
              <w:tab w:val="right" w:leader="dot" w:pos="9496"/>
            </w:tabs>
            <w:rPr>
              <w:noProof/>
            </w:rPr>
          </w:pPr>
          <w:hyperlink w:anchor="_Toc224315144" w:history="1">
            <w:r w:rsidRPr="00671495">
              <w:rPr>
                <w:rStyle w:val="Hyperlink"/>
                <w:noProof/>
              </w:rPr>
              <w:t>3. O Mercado de Healthtech: Panorama Global e Latino-Americano</w:t>
            </w:r>
            <w:r>
              <w:rPr>
                <w:noProof/>
              </w:rPr>
              <w:tab/>
            </w:r>
            <w:r>
              <w:rPr>
                <w:noProof/>
              </w:rPr>
              <w:fldChar w:fldCharType="begin"/>
            </w:r>
            <w:r>
              <w:rPr>
                <w:noProof/>
              </w:rPr>
              <w:instrText xml:space="preserve"> PAGEREF _Toc224315144 \h </w:instrText>
            </w:r>
            <w:r>
              <w:rPr>
                <w:noProof/>
              </w:rPr>
            </w:r>
            <w:r>
              <w:rPr>
                <w:noProof/>
              </w:rPr>
              <w:fldChar w:fldCharType="separate"/>
            </w:r>
            <w:r>
              <w:rPr>
                <w:noProof/>
              </w:rPr>
              <w:t>7</w:t>
            </w:r>
            <w:r>
              <w:rPr>
                <w:noProof/>
              </w:rPr>
              <w:fldChar w:fldCharType="end"/>
            </w:r>
          </w:hyperlink>
        </w:p>
        <w:p w14:paraId="2BE98E08" w14:textId="77777777" w:rsidR="00DB2E94" w:rsidRDefault="00DB2E94">
          <w:pPr>
            <w:pStyle w:val="TOC2"/>
            <w:tabs>
              <w:tab w:val="right" w:leader="dot" w:pos="9496"/>
            </w:tabs>
            <w:rPr>
              <w:noProof/>
            </w:rPr>
          </w:pPr>
          <w:hyperlink w:anchor="_Toc224315145" w:history="1">
            <w:r w:rsidRPr="00671495">
              <w:rPr>
                <w:rStyle w:val="Hyperlink"/>
                <w:noProof/>
              </w:rPr>
              <w:t>3.1 O momento do mercado global</w:t>
            </w:r>
            <w:r>
              <w:rPr>
                <w:noProof/>
              </w:rPr>
              <w:tab/>
            </w:r>
            <w:r>
              <w:rPr>
                <w:noProof/>
              </w:rPr>
              <w:fldChar w:fldCharType="begin"/>
            </w:r>
            <w:r>
              <w:rPr>
                <w:noProof/>
              </w:rPr>
              <w:instrText xml:space="preserve"> PAGEREF _Toc224315145 \h </w:instrText>
            </w:r>
            <w:r>
              <w:rPr>
                <w:noProof/>
              </w:rPr>
            </w:r>
            <w:r>
              <w:rPr>
                <w:noProof/>
              </w:rPr>
              <w:fldChar w:fldCharType="separate"/>
            </w:r>
            <w:r>
              <w:rPr>
                <w:noProof/>
              </w:rPr>
              <w:t>7</w:t>
            </w:r>
            <w:r>
              <w:rPr>
                <w:noProof/>
              </w:rPr>
              <w:fldChar w:fldCharType="end"/>
            </w:r>
          </w:hyperlink>
        </w:p>
        <w:p w14:paraId="39FA8CDE" w14:textId="77777777" w:rsidR="00DB2E94" w:rsidRDefault="00DB2E94">
          <w:pPr>
            <w:pStyle w:val="TOC2"/>
            <w:tabs>
              <w:tab w:val="right" w:leader="dot" w:pos="9496"/>
            </w:tabs>
            <w:rPr>
              <w:noProof/>
            </w:rPr>
          </w:pPr>
          <w:hyperlink w:anchor="_Toc224315146" w:history="1">
            <w:r w:rsidRPr="00671495">
              <w:rPr>
                <w:rStyle w:val="Hyperlink"/>
                <w:noProof/>
              </w:rPr>
              <w:t>3.2 Os três grandes focos do mercado atual</w:t>
            </w:r>
            <w:r>
              <w:rPr>
                <w:noProof/>
              </w:rPr>
              <w:tab/>
            </w:r>
            <w:r>
              <w:rPr>
                <w:noProof/>
              </w:rPr>
              <w:fldChar w:fldCharType="begin"/>
            </w:r>
            <w:r>
              <w:rPr>
                <w:noProof/>
              </w:rPr>
              <w:instrText xml:space="preserve"> PAGEREF _Toc224315146 \h </w:instrText>
            </w:r>
            <w:r>
              <w:rPr>
                <w:noProof/>
              </w:rPr>
            </w:r>
            <w:r>
              <w:rPr>
                <w:noProof/>
              </w:rPr>
              <w:fldChar w:fldCharType="separate"/>
            </w:r>
            <w:r>
              <w:rPr>
                <w:noProof/>
              </w:rPr>
              <w:t>7</w:t>
            </w:r>
            <w:r>
              <w:rPr>
                <w:noProof/>
              </w:rPr>
              <w:fldChar w:fldCharType="end"/>
            </w:r>
          </w:hyperlink>
        </w:p>
        <w:p w14:paraId="5BFAF0D2" w14:textId="77777777" w:rsidR="00DB2E94" w:rsidRDefault="00DB2E94">
          <w:pPr>
            <w:pStyle w:val="TOC3"/>
            <w:tabs>
              <w:tab w:val="right" w:leader="dot" w:pos="9496"/>
            </w:tabs>
            <w:rPr>
              <w:noProof/>
            </w:rPr>
          </w:pPr>
          <w:hyperlink w:anchor="_Toc224315147" w:history="1">
            <w:r w:rsidRPr="00671495">
              <w:rPr>
                <w:rStyle w:val="Hyperlink"/>
                <w:noProof/>
              </w:rPr>
              <w:t>3.2.1 IA Preditiva e Preventiva — do monitoramento à antecipação</w:t>
            </w:r>
            <w:r>
              <w:rPr>
                <w:noProof/>
              </w:rPr>
              <w:tab/>
            </w:r>
            <w:r>
              <w:rPr>
                <w:noProof/>
              </w:rPr>
              <w:fldChar w:fldCharType="begin"/>
            </w:r>
            <w:r>
              <w:rPr>
                <w:noProof/>
              </w:rPr>
              <w:instrText xml:space="preserve"> PAGEREF _Toc224315147 \h </w:instrText>
            </w:r>
            <w:r>
              <w:rPr>
                <w:noProof/>
              </w:rPr>
            </w:r>
            <w:r>
              <w:rPr>
                <w:noProof/>
              </w:rPr>
              <w:fldChar w:fldCharType="separate"/>
            </w:r>
            <w:r>
              <w:rPr>
                <w:noProof/>
              </w:rPr>
              <w:t>7</w:t>
            </w:r>
            <w:r>
              <w:rPr>
                <w:noProof/>
              </w:rPr>
              <w:fldChar w:fldCharType="end"/>
            </w:r>
          </w:hyperlink>
        </w:p>
        <w:p w14:paraId="44F58FC4" w14:textId="77777777" w:rsidR="00DB2E94" w:rsidRDefault="00DB2E94">
          <w:pPr>
            <w:pStyle w:val="TOC3"/>
            <w:tabs>
              <w:tab w:val="right" w:leader="dot" w:pos="9496"/>
            </w:tabs>
            <w:rPr>
              <w:noProof/>
            </w:rPr>
          </w:pPr>
          <w:hyperlink w:anchor="_Toc224315148" w:history="1">
            <w:r w:rsidRPr="00671495">
              <w:rPr>
                <w:rStyle w:val="Hyperlink"/>
                <w:noProof/>
              </w:rPr>
              <w:t>3.2.2 Custeabilidade e Acesso — o gap que o mercado ainda não fechou</w:t>
            </w:r>
            <w:r>
              <w:rPr>
                <w:noProof/>
              </w:rPr>
              <w:tab/>
            </w:r>
            <w:r>
              <w:rPr>
                <w:noProof/>
              </w:rPr>
              <w:fldChar w:fldCharType="begin"/>
            </w:r>
            <w:r>
              <w:rPr>
                <w:noProof/>
              </w:rPr>
              <w:instrText xml:space="preserve"> PAGEREF _Toc224315148 \h </w:instrText>
            </w:r>
            <w:r>
              <w:rPr>
                <w:noProof/>
              </w:rPr>
            </w:r>
            <w:r>
              <w:rPr>
                <w:noProof/>
              </w:rPr>
              <w:fldChar w:fldCharType="separate"/>
            </w:r>
            <w:r>
              <w:rPr>
                <w:noProof/>
              </w:rPr>
              <w:t>8</w:t>
            </w:r>
            <w:r>
              <w:rPr>
                <w:noProof/>
              </w:rPr>
              <w:fldChar w:fldCharType="end"/>
            </w:r>
          </w:hyperlink>
        </w:p>
        <w:p w14:paraId="1B992620" w14:textId="77777777" w:rsidR="00DB2E94" w:rsidRDefault="00DB2E94">
          <w:pPr>
            <w:pStyle w:val="TOC3"/>
            <w:tabs>
              <w:tab w:val="right" w:leader="dot" w:pos="9496"/>
            </w:tabs>
            <w:rPr>
              <w:noProof/>
            </w:rPr>
          </w:pPr>
          <w:hyperlink w:anchor="_Toc224315149" w:history="1">
            <w:r w:rsidRPr="00671495">
              <w:rPr>
                <w:rStyle w:val="Hyperlink"/>
                <w:noProof/>
              </w:rPr>
              <w:t>3.2.3 Interoperabilidade e Fragmentação — o problema que ninguém resolveu</w:t>
            </w:r>
            <w:r>
              <w:rPr>
                <w:noProof/>
              </w:rPr>
              <w:tab/>
            </w:r>
            <w:r>
              <w:rPr>
                <w:noProof/>
              </w:rPr>
              <w:fldChar w:fldCharType="begin"/>
            </w:r>
            <w:r>
              <w:rPr>
                <w:noProof/>
              </w:rPr>
              <w:instrText xml:space="preserve"> PAGEREF _Toc224315149 \h </w:instrText>
            </w:r>
            <w:r>
              <w:rPr>
                <w:noProof/>
              </w:rPr>
            </w:r>
            <w:r>
              <w:rPr>
                <w:noProof/>
              </w:rPr>
              <w:fldChar w:fldCharType="separate"/>
            </w:r>
            <w:r>
              <w:rPr>
                <w:noProof/>
              </w:rPr>
              <w:t>8</w:t>
            </w:r>
            <w:r>
              <w:rPr>
                <w:noProof/>
              </w:rPr>
              <w:fldChar w:fldCharType="end"/>
            </w:r>
          </w:hyperlink>
        </w:p>
        <w:p w14:paraId="5D585DE2" w14:textId="77777777" w:rsidR="00DB2E94" w:rsidRDefault="00DB2E94">
          <w:pPr>
            <w:pStyle w:val="TOC1"/>
            <w:tabs>
              <w:tab w:val="right" w:leader="dot" w:pos="9496"/>
            </w:tabs>
            <w:rPr>
              <w:noProof/>
            </w:rPr>
          </w:pPr>
          <w:hyperlink w:anchor="_Toc224315150" w:history="1">
            <w:r w:rsidRPr="00671495">
              <w:rPr>
                <w:rStyle w:val="Hyperlink"/>
                <w:noProof/>
              </w:rPr>
              <w:t>4. CarePlus Predict vs. Produtos e Tendências do Mercado</w:t>
            </w:r>
            <w:r>
              <w:rPr>
                <w:noProof/>
              </w:rPr>
              <w:tab/>
            </w:r>
            <w:r>
              <w:rPr>
                <w:noProof/>
              </w:rPr>
              <w:fldChar w:fldCharType="begin"/>
            </w:r>
            <w:r>
              <w:rPr>
                <w:noProof/>
              </w:rPr>
              <w:instrText xml:space="preserve"> PAGEREF _Toc224315150 \h </w:instrText>
            </w:r>
            <w:r>
              <w:rPr>
                <w:noProof/>
              </w:rPr>
            </w:r>
            <w:r>
              <w:rPr>
                <w:noProof/>
              </w:rPr>
              <w:fldChar w:fldCharType="separate"/>
            </w:r>
            <w:r>
              <w:rPr>
                <w:noProof/>
              </w:rPr>
              <w:t>9</w:t>
            </w:r>
            <w:r>
              <w:rPr>
                <w:noProof/>
              </w:rPr>
              <w:fldChar w:fldCharType="end"/>
            </w:r>
          </w:hyperlink>
        </w:p>
        <w:p w14:paraId="22169326" w14:textId="77777777" w:rsidR="00DB2E94" w:rsidRDefault="00DB2E94">
          <w:pPr>
            <w:pStyle w:val="TOC2"/>
            <w:tabs>
              <w:tab w:val="right" w:leader="dot" w:pos="9496"/>
            </w:tabs>
            <w:rPr>
              <w:noProof/>
            </w:rPr>
          </w:pPr>
          <w:hyperlink w:anchor="_Toc224315151" w:history="1">
            <w:r w:rsidRPr="00671495">
              <w:rPr>
                <w:rStyle w:val="Hyperlink"/>
                <w:noProof/>
              </w:rPr>
              <w:t>4.1 Mapa comparativo: onde o projeto se alinha ao mercado</w:t>
            </w:r>
            <w:r>
              <w:rPr>
                <w:noProof/>
              </w:rPr>
              <w:tab/>
            </w:r>
            <w:r>
              <w:rPr>
                <w:noProof/>
              </w:rPr>
              <w:fldChar w:fldCharType="begin"/>
            </w:r>
            <w:r>
              <w:rPr>
                <w:noProof/>
              </w:rPr>
              <w:instrText xml:space="preserve"> PAGEREF _Toc224315151 \h </w:instrText>
            </w:r>
            <w:r>
              <w:rPr>
                <w:noProof/>
              </w:rPr>
            </w:r>
            <w:r>
              <w:rPr>
                <w:noProof/>
              </w:rPr>
              <w:fldChar w:fldCharType="separate"/>
            </w:r>
            <w:r>
              <w:rPr>
                <w:noProof/>
              </w:rPr>
              <w:t>9</w:t>
            </w:r>
            <w:r>
              <w:rPr>
                <w:noProof/>
              </w:rPr>
              <w:fldChar w:fldCharType="end"/>
            </w:r>
          </w:hyperlink>
        </w:p>
        <w:p w14:paraId="5717EFCC" w14:textId="77777777" w:rsidR="00DB2E94" w:rsidRDefault="00DB2E94">
          <w:pPr>
            <w:pStyle w:val="TOC2"/>
            <w:tabs>
              <w:tab w:val="right" w:leader="dot" w:pos="9496"/>
            </w:tabs>
            <w:rPr>
              <w:noProof/>
            </w:rPr>
          </w:pPr>
          <w:hyperlink w:anchor="_Toc224315152" w:history="1">
            <w:r w:rsidRPr="00671495">
              <w:rPr>
                <w:rStyle w:val="Hyperlink"/>
                <w:noProof/>
              </w:rPr>
              <w:t>4.2 Benchmarks de referência no mercado</w:t>
            </w:r>
            <w:r>
              <w:rPr>
                <w:noProof/>
              </w:rPr>
              <w:tab/>
            </w:r>
            <w:r>
              <w:rPr>
                <w:noProof/>
              </w:rPr>
              <w:fldChar w:fldCharType="begin"/>
            </w:r>
            <w:r>
              <w:rPr>
                <w:noProof/>
              </w:rPr>
              <w:instrText xml:space="preserve"> PAGEREF _Toc224315152 \h </w:instrText>
            </w:r>
            <w:r>
              <w:rPr>
                <w:noProof/>
              </w:rPr>
            </w:r>
            <w:r>
              <w:rPr>
                <w:noProof/>
              </w:rPr>
              <w:fldChar w:fldCharType="separate"/>
            </w:r>
            <w:r>
              <w:rPr>
                <w:noProof/>
              </w:rPr>
              <w:t>10</w:t>
            </w:r>
            <w:r>
              <w:rPr>
                <w:noProof/>
              </w:rPr>
              <w:fldChar w:fldCharType="end"/>
            </w:r>
          </w:hyperlink>
        </w:p>
        <w:p w14:paraId="4C573A87" w14:textId="77777777" w:rsidR="00DB2E94" w:rsidRDefault="00DB2E94">
          <w:pPr>
            <w:pStyle w:val="TOC2"/>
            <w:tabs>
              <w:tab w:val="right" w:leader="dot" w:pos="9496"/>
            </w:tabs>
            <w:rPr>
              <w:noProof/>
            </w:rPr>
          </w:pPr>
          <w:hyperlink w:anchor="_Toc224315153" w:history="1">
            <w:r w:rsidRPr="00671495">
              <w:rPr>
                <w:rStyle w:val="Hyperlink"/>
                <w:noProof/>
              </w:rPr>
              <w:t>4.3 O diferencial de custeabilidade — análise aprofundada</w:t>
            </w:r>
            <w:r>
              <w:rPr>
                <w:noProof/>
              </w:rPr>
              <w:tab/>
            </w:r>
            <w:r>
              <w:rPr>
                <w:noProof/>
              </w:rPr>
              <w:fldChar w:fldCharType="begin"/>
            </w:r>
            <w:r>
              <w:rPr>
                <w:noProof/>
              </w:rPr>
              <w:instrText xml:space="preserve"> PAGEREF _Toc224315153 \h </w:instrText>
            </w:r>
            <w:r>
              <w:rPr>
                <w:noProof/>
              </w:rPr>
            </w:r>
            <w:r>
              <w:rPr>
                <w:noProof/>
              </w:rPr>
              <w:fldChar w:fldCharType="separate"/>
            </w:r>
            <w:r>
              <w:rPr>
                <w:noProof/>
              </w:rPr>
              <w:t>11</w:t>
            </w:r>
            <w:r>
              <w:rPr>
                <w:noProof/>
              </w:rPr>
              <w:fldChar w:fldCharType="end"/>
            </w:r>
          </w:hyperlink>
        </w:p>
        <w:p w14:paraId="496D2994" w14:textId="77777777" w:rsidR="00DB2E94" w:rsidRDefault="00DB2E94">
          <w:pPr>
            <w:pStyle w:val="TOC1"/>
            <w:tabs>
              <w:tab w:val="right" w:leader="dot" w:pos="9496"/>
            </w:tabs>
            <w:rPr>
              <w:noProof/>
            </w:rPr>
          </w:pPr>
          <w:hyperlink w:anchor="_Toc224315154" w:history="1">
            <w:r w:rsidRPr="00671495">
              <w:rPr>
                <w:rStyle w:val="Hyperlink"/>
                <w:noProof/>
              </w:rPr>
              <w:t>5. Síntese e Recomendações Estratégicas</w:t>
            </w:r>
            <w:r>
              <w:rPr>
                <w:noProof/>
              </w:rPr>
              <w:tab/>
            </w:r>
            <w:r>
              <w:rPr>
                <w:noProof/>
              </w:rPr>
              <w:fldChar w:fldCharType="begin"/>
            </w:r>
            <w:r>
              <w:rPr>
                <w:noProof/>
              </w:rPr>
              <w:instrText xml:space="preserve"> PAGEREF _Toc224315154 \h </w:instrText>
            </w:r>
            <w:r>
              <w:rPr>
                <w:noProof/>
              </w:rPr>
            </w:r>
            <w:r>
              <w:rPr>
                <w:noProof/>
              </w:rPr>
              <w:fldChar w:fldCharType="separate"/>
            </w:r>
            <w:r>
              <w:rPr>
                <w:noProof/>
              </w:rPr>
              <w:t>12</w:t>
            </w:r>
            <w:r>
              <w:rPr>
                <w:noProof/>
              </w:rPr>
              <w:fldChar w:fldCharType="end"/>
            </w:r>
          </w:hyperlink>
        </w:p>
        <w:p w14:paraId="7BE0F91D" w14:textId="77777777" w:rsidR="00DB2E94" w:rsidRDefault="00DB2E94">
          <w:pPr>
            <w:pStyle w:val="TOC2"/>
            <w:tabs>
              <w:tab w:val="right" w:leader="dot" w:pos="9496"/>
            </w:tabs>
            <w:rPr>
              <w:noProof/>
            </w:rPr>
          </w:pPr>
          <w:hyperlink w:anchor="_Toc224315155" w:history="1">
            <w:r w:rsidRPr="00671495">
              <w:rPr>
                <w:rStyle w:val="Hyperlink"/>
                <w:noProof/>
              </w:rPr>
              <w:t>5.1 Matriz de posicionamento estratégico</w:t>
            </w:r>
            <w:r>
              <w:rPr>
                <w:noProof/>
              </w:rPr>
              <w:tab/>
            </w:r>
            <w:r>
              <w:rPr>
                <w:noProof/>
              </w:rPr>
              <w:fldChar w:fldCharType="begin"/>
            </w:r>
            <w:r>
              <w:rPr>
                <w:noProof/>
              </w:rPr>
              <w:instrText xml:space="preserve"> PAGEREF _Toc224315155 \h </w:instrText>
            </w:r>
            <w:r>
              <w:rPr>
                <w:noProof/>
              </w:rPr>
            </w:r>
            <w:r>
              <w:rPr>
                <w:noProof/>
              </w:rPr>
              <w:fldChar w:fldCharType="separate"/>
            </w:r>
            <w:r>
              <w:rPr>
                <w:noProof/>
              </w:rPr>
              <w:t>12</w:t>
            </w:r>
            <w:r>
              <w:rPr>
                <w:noProof/>
              </w:rPr>
              <w:fldChar w:fldCharType="end"/>
            </w:r>
          </w:hyperlink>
        </w:p>
        <w:p w14:paraId="00C1D263" w14:textId="77777777" w:rsidR="00DB2E94" w:rsidRDefault="00DB2E94">
          <w:pPr>
            <w:pStyle w:val="TOC2"/>
            <w:tabs>
              <w:tab w:val="right" w:leader="dot" w:pos="9496"/>
            </w:tabs>
            <w:rPr>
              <w:noProof/>
            </w:rPr>
          </w:pPr>
          <w:hyperlink w:anchor="_Toc224315156" w:history="1">
            <w:r w:rsidRPr="00671495">
              <w:rPr>
                <w:rStyle w:val="Hyperlink"/>
                <w:noProof/>
              </w:rPr>
              <w:t>5.2 As três recomendações prioritárias</w:t>
            </w:r>
            <w:r>
              <w:rPr>
                <w:noProof/>
              </w:rPr>
              <w:tab/>
            </w:r>
            <w:r>
              <w:rPr>
                <w:noProof/>
              </w:rPr>
              <w:fldChar w:fldCharType="begin"/>
            </w:r>
            <w:r>
              <w:rPr>
                <w:noProof/>
              </w:rPr>
              <w:instrText xml:space="preserve"> PAGEREF _Toc224315156 \h </w:instrText>
            </w:r>
            <w:r>
              <w:rPr>
                <w:noProof/>
              </w:rPr>
            </w:r>
            <w:r>
              <w:rPr>
                <w:noProof/>
              </w:rPr>
              <w:fldChar w:fldCharType="separate"/>
            </w:r>
            <w:r>
              <w:rPr>
                <w:noProof/>
              </w:rPr>
              <w:t>12</w:t>
            </w:r>
            <w:r>
              <w:rPr>
                <w:noProof/>
              </w:rPr>
              <w:fldChar w:fldCharType="end"/>
            </w:r>
          </w:hyperlink>
        </w:p>
        <w:p w14:paraId="26B0D564" w14:textId="77777777" w:rsidR="00DB2E94" w:rsidRDefault="00DB2E94">
          <w:pPr>
            <w:pStyle w:val="TOC1"/>
            <w:tabs>
              <w:tab w:val="right" w:leader="dot" w:pos="9496"/>
            </w:tabs>
            <w:rPr>
              <w:noProof/>
            </w:rPr>
          </w:pPr>
          <w:hyperlink w:anchor="_Toc224315157" w:history="1">
            <w:r w:rsidRPr="00671495">
              <w:rPr>
                <w:rStyle w:val="Hyperlink"/>
                <w:noProof/>
              </w:rPr>
              <w:t>6. Conclusão</w:t>
            </w:r>
            <w:r>
              <w:rPr>
                <w:noProof/>
              </w:rPr>
              <w:tab/>
            </w:r>
            <w:r>
              <w:rPr>
                <w:noProof/>
              </w:rPr>
              <w:fldChar w:fldCharType="begin"/>
            </w:r>
            <w:r>
              <w:rPr>
                <w:noProof/>
              </w:rPr>
              <w:instrText xml:space="preserve"> PAGEREF _Toc224315157 \h </w:instrText>
            </w:r>
            <w:r>
              <w:rPr>
                <w:noProof/>
              </w:rPr>
            </w:r>
            <w:r>
              <w:rPr>
                <w:noProof/>
              </w:rPr>
              <w:fldChar w:fldCharType="separate"/>
            </w:r>
            <w:r>
              <w:rPr>
                <w:noProof/>
              </w:rPr>
              <w:t>14</w:t>
            </w:r>
            <w:r>
              <w:rPr>
                <w:noProof/>
              </w:rPr>
              <w:fldChar w:fldCharType="end"/>
            </w:r>
          </w:hyperlink>
        </w:p>
        <w:p w14:paraId="68F7245C" w14:textId="77777777" w:rsidR="006F5578" w:rsidRDefault="00000000">
          <w:r>
            <w:fldChar w:fldCharType="end"/>
          </w:r>
        </w:p>
      </w:sdtContent>
    </w:sdt>
    <w:p w14:paraId="6C3ACA41" w14:textId="77777777" w:rsidR="006F5578" w:rsidRDefault="00000000">
      <w:r>
        <w:br w:type="page"/>
      </w:r>
    </w:p>
    <w:p w14:paraId="266E0644" w14:textId="77777777" w:rsidR="006F5578" w:rsidRDefault="00000000">
      <w:pPr>
        <w:pStyle w:val="Heading1"/>
        <w:pBdr>
          <w:bottom w:val="single" w:sz="10" w:space="6" w:color="1A56FF"/>
        </w:pBdr>
      </w:pPr>
      <w:bookmarkStart w:id="1" w:name="_Toc224315136"/>
      <w:r>
        <w:lastRenderedPageBreak/>
        <w:t>1. Introdução</w:t>
      </w:r>
      <w:bookmarkEnd w:id="1"/>
    </w:p>
    <w:p w14:paraId="65F332D8" w14:textId="77777777" w:rsidR="006F5578" w:rsidRDefault="00000000">
      <w:pPr>
        <w:spacing w:before="80" w:after="100"/>
        <w:jc w:val="both"/>
      </w:pPr>
      <w:r>
        <w:t>Este documento reúne duas análises complementares sobre o CarePlus Predict: primeiro, uma avaliação crítica e construtiva do estado atual do projeto, identificando pontos fortes, vulnerabilidades e o foco que merece atenção prioritária; segundo, um mapeamento comparativo entre a proposta do projeto e os grandes movimentos do mercado global e latino-americano de healthtech em 2024-2025, com ênfase no diferencial de custeabilidade que o projeto pretende endereçar.</w:t>
      </w:r>
    </w:p>
    <w:p w14:paraId="3DF287FF" w14:textId="77777777" w:rsidR="006F5578" w:rsidRDefault="00000000">
      <w:pPr>
        <w:spacing w:before="80" w:after="100"/>
        <w:jc w:val="both"/>
      </w:pPr>
      <w:r>
        <w:t>A análise não tem caráter punitivo — o projeto possui premissa genuinamente relevante e arquitetura coerente. O objetivo é fornecer uma leitura honesta que sirva de instrumento de direcionamento para as próximas fases de desenvolvimento.</w:t>
      </w:r>
    </w:p>
    <w:p w14:paraId="1C582153" w14:textId="77777777" w:rsidR="006F5578" w:rsidRDefault="00000000">
      <w:r>
        <w:br w:type="page"/>
      </w:r>
    </w:p>
    <w:p w14:paraId="7C031EE7" w14:textId="77777777" w:rsidR="006F5578" w:rsidRDefault="00000000">
      <w:pPr>
        <w:pStyle w:val="Heading1"/>
        <w:pBdr>
          <w:bottom w:val="single" w:sz="10" w:space="6" w:color="1A56FF"/>
        </w:pBdr>
      </w:pPr>
      <w:bookmarkStart w:id="2" w:name="_Toc224315137"/>
      <w:r>
        <w:lastRenderedPageBreak/>
        <w:t>2. Análise Crítica do CarePlus Predict</w:t>
      </w:r>
      <w:bookmarkEnd w:id="2"/>
    </w:p>
    <w:p w14:paraId="1EC57523" w14:textId="77777777" w:rsidR="006F5578" w:rsidRDefault="00000000">
      <w:pPr>
        <w:pStyle w:val="Heading2"/>
      </w:pPr>
      <w:bookmarkStart w:id="3" w:name="_Toc224315138"/>
      <w:r>
        <w:t>2.1 O que está bem construído</w:t>
      </w:r>
      <w:bookmarkEnd w:id="3"/>
    </w:p>
    <w:p w14:paraId="182B84E0" w14:textId="77777777" w:rsidR="006F5578" w:rsidRDefault="00000000">
      <w:pPr>
        <w:spacing w:before="80" w:after="100"/>
        <w:jc w:val="both"/>
      </w:pPr>
      <w:r>
        <w:t>Antes de identificar os pontos de melhoria, é importante reconhecer o que o projeto acerta — e não de forma superficial. Três elementos se destacam como genuinamente sólidos:</w:t>
      </w:r>
    </w:p>
    <w:p w14:paraId="589551F3" w14:textId="77777777" w:rsidR="006F5578" w:rsidRDefault="006F557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5578" w14:paraId="0A0C9BCA" w14:textId="77777777">
        <w:tblPrEx>
          <w:tblCellMar>
            <w:top w:w="0" w:type="dxa"/>
            <w:bottom w:w="0" w:type="dxa"/>
          </w:tblCellMar>
        </w:tblPrEx>
        <w:tc>
          <w:tcPr>
            <w:tcW w:w="9360" w:type="dxa"/>
            <w:tcBorders>
              <w:top w:val="single" w:sz="1" w:space="0" w:color="D4F0E3"/>
              <w:left w:val="single" w:sz="1" w:space="0" w:color="D4F0E3"/>
              <w:bottom w:val="single" w:sz="1" w:space="0" w:color="D4F0E3"/>
              <w:right w:val="single" w:sz="1" w:space="0" w:color="D4F0E3"/>
            </w:tcBorders>
            <w:shd w:val="clear" w:color="auto" w:fill="D4F0E3"/>
            <w:tcMar>
              <w:top w:w="160" w:type="dxa"/>
              <w:left w:w="240" w:type="dxa"/>
              <w:bottom w:w="160" w:type="dxa"/>
              <w:right w:w="240" w:type="dxa"/>
            </w:tcMar>
          </w:tcPr>
          <w:p w14:paraId="7375C98A" w14:textId="77777777" w:rsidR="006F5578" w:rsidRDefault="00000000">
            <w:pPr>
              <w:spacing w:after="60"/>
            </w:pPr>
            <w:r>
              <w:rPr>
                <w:b/>
                <w:bCs/>
                <w:color w:val="0A7A4A"/>
              </w:rPr>
              <w:t>Premissa relevante e bem delimitada</w:t>
            </w:r>
          </w:p>
          <w:p w14:paraId="08C1B36A" w14:textId="77777777" w:rsidR="006F5578" w:rsidRDefault="00000000">
            <w:pPr>
              <w:jc w:val="both"/>
            </w:pPr>
            <w:r>
              <w:rPr>
                <w:color w:val="0A7A4A"/>
              </w:rPr>
              <w:t>O problema endereçado — fragmentação de dados, ausência de prevenção acessível e monitoramento descontinuado — não é construído: ele é real, documentado e crescente no contexto do sistema de saúde suplementar brasileiro. Isso é diferente de projetos acadêmicos que criam problemas fictícios para justificar soluções tecnológicas.</w:t>
            </w:r>
          </w:p>
        </w:tc>
      </w:tr>
    </w:tbl>
    <w:p w14:paraId="20C1434A" w14:textId="77777777" w:rsidR="006F5578" w:rsidRDefault="006F557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5578" w14:paraId="3B3C6687" w14:textId="77777777">
        <w:tblPrEx>
          <w:tblCellMar>
            <w:top w:w="0" w:type="dxa"/>
            <w:bottom w:w="0" w:type="dxa"/>
          </w:tblCellMar>
        </w:tblPrEx>
        <w:tc>
          <w:tcPr>
            <w:tcW w:w="9360" w:type="dxa"/>
            <w:tcBorders>
              <w:top w:val="single" w:sz="1" w:space="0" w:color="D4F0E3"/>
              <w:left w:val="single" w:sz="1" w:space="0" w:color="D4F0E3"/>
              <w:bottom w:val="single" w:sz="1" w:space="0" w:color="D4F0E3"/>
              <w:right w:val="single" w:sz="1" w:space="0" w:color="D4F0E3"/>
            </w:tcBorders>
            <w:shd w:val="clear" w:color="auto" w:fill="D4F0E3"/>
            <w:tcMar>
              <w:top w:w="160" w:type="dxa"/>
              <w:left w:w="240" w:type="dxa"/>
              <w:bottom w:w="160" w:type="dxa"/>
              <w:right w:w="240" w:type="dxa"/>
            </w:tcMar>
          </w:tcPr>
          <w:p w14:paraId="313F3C7C" w14:textId="77777777" w:rsidR="006F5578" w:rsidRDefault="00000000">
            <w:pPr>
              <w:spacing w:after="60"/>
            </w:pPr>
            <w:r>
              <w:rPr>
                <w:b/>
                <w:bCs/>
                <w:color w:val="0A7A4A"/>
              </w:rPr>
              <w:t>Ancoragem institucional com a Care Plus / Bupa</w:t>
            </w:r>
          </w:p>
          <w:p w14:paraId="62002947" w14:textId="77777777" w:rsidR="006F5578" w:rsidRDefault="00000000">
            <w:pPr>
              <w:jc w:val="both"/>
            </w:pPr>
            <w:r>
              <w:rPr>
                <w:color w:val="0A7A4A"/>
              </w:rPr>
              <w:t>Trabalhar dentro do ecossistema de uma operadora de saúde estabelecida é um diferencial raro em projetos acadêmicos. Além de dar credibilidade à proposta, abre acesso potencial a dados reais, infraestrutura de distribuição e interlocução com profissionais de saúde — três fatores críticos para qualquer produto de healthtech.</w:t>
            </w:r>
          </w:p>
        </w:tc>
      </w:tr>
    </w:tbl>
    <w:p w14:paraId="17362BCD" w14:textId="77777777" w:rsidR="006F5578" w:rsidRDefault="006F557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5578" w14:paraId="763BC224" w14:textId="77777777">
        <w:tblPrEx>
          <w:tblCellMar>
            <w:top w:w="0" w:type="dxa"/>
            <w:bottom w:w="0" w:type="dxa"/>
          </w:tblCellMar>
        </w:tblPrEx>
        <w:tc>
          <w:tcPr>
            <w:tcW w:w="9360" w:type="dxa"/>
            <w:tcBorders>
              <w:top w:val="single" w:sz="1" w:space="0" w:color="D4F0E3"/>
              <w:left w:val="single" w:sz="1" w:space="0" w:color="D4F0E3"/>
              <w:bottom w:val="single" w:sz="1" w:space="0" w:color="D4F0E3"/>
              <w:right w:val="single" w:sz="1" w:space="0" w:color="D4F0E3"/>
            </w:tcBorders>
            <w:shd w:val="clear" w:color="auto" w:fill="D4F0E3"/>
            <w:tcMar>
              <w:top w:w="160" w:type="dxa"/>
              <w:left w:w="240" w:type="dxa"/>
              <w:bottom w:w="160" w:type="dxa"/>
              <w:right w:w="240" w:type="dxa"/>
            </w:tcMar>
          </w:tcPr>
          <w:p w14:paraId="143B1A63" w14:textId="77777777" w:rsidR="006F5578" w:rsidRDefault="00000000">
            <w:pPr>
              <w:spacing w:after="60"/>
            </w:pPr>
            <w:r>
              <w:rPr>
                <w:b/>
                <w:bCs/>
                <w:color w:val="0A7A4A"/>
              </w:rPr>
              <w:t>Coerência arquitetural</w:t>
            </w:r>
          </w:p>
          <w:p w14:paraId="3A70034F" w14:textId="77777777" w:rsidR="006F5578" w:rsidRDefault="00000000">
            <w:pPr>
              <w:jc w:val="both"/>
            </w:pPr>
            <w:r>
              <w:rPr>
                <w:color w:val="0A7A4A"/>
              </w:rPr>
              <w:t>A escolha do stack tecnológico (React Native, Node.js, Python, PostgreSQL, Samsung Health SDK) é coerente com os objetivos declarados. Não há escolhas tecnológicas contraditórias ou exóticas que sinalizem falta de maturidade técnica. A proposta de Federated Learning para privacidade, em particular, demonstra que a equipe pesquisou soluções modernas para problemas reais.</w:t>
            </w:r>
          </w:p>
        </w:tc>
      </w:tr>
    </w:tbl>
    <w:p w14:paraId="6D93D41D" w14:textId="77777777" w:rsidR="006F5578" w:rsidRDefault="006F5578">
      <w:pPr>
        <w:spacing w:before="40" w:after="40"/>
      </w:pPr>
    </w:p>
    <w:p w14:paraId="5B3D523F" w14:textId="77777777" w:rsidR="006F5578" w:rsidRDefault="00000000">
      <w:pPr>
        <w:pStyle w:val="Heading2"/>
      </w:pPr>
      <w:bookmarkStart w:id="4" w:name="_Toc224315139"/>
      <w:r>
        <w:t>2.2 Os pontos de atenção</w:t>
      </w:r>
      <w:bookmarkEnd w:id="4"/>
    </w:p>
    <w:p w14:paraId="5A892283" w14:textId="77777777" w:rsidR="006F5578" w:rsidRDefault="00000000">
      <w:pPr>
        <w:spacing w:before="80" w:after="100"/>
        <w:jc w:val="both"/>
      </w:pPr>
      <w:r>
        <w:t>A análise identifica três vulnerabilidades centrais, ordenadas por criticidade para o sucesso do projeto. É importante notar que estas não são defeitos de execução — são desafios estruturais que qualquer produto de saúde com IA enfrenta, e reconhecê-los cedo é o que diferencia projetos maduros de projetos que falham na validação.</w:t>
      </w:r>
    </w:p>
    <w:p w14:paraId="59FDDD72" w14:textId="77777777" w:rsidR="006F5578" w:rsidRDefault="006F5578">
      <w:pPr>
        <w:spacing w:before="40" w:after="40"/>
      </w:pPr>
    </w:p>
    <w:p w14:paraId="7B2540CB" w14:textId="77777777" w:rsidR="006F5578" w:rsidRDefault="00000000">
      <w:pPr>
        <w:pStyle w:val="Heading3"/>
      </w:pPr>
      <w:bookmarkStart w:id="5" w:name="_Toc224315140"/>
      <w:r>
        <w:t>2.2.1 O problema dos dados de treinamento — a vulnerabilidade mais crítica</w:t>
      </w:r>
      <w:bookmarkEnd w:id="5"/>
    </w:p>
    <w:p w14:paraId="5F33988A" w14:textId="77777777" w:rsidR="006F5578" w:rsidRDefault="00000000">
      <w:pPr>
        <w:spacing w:before="80" w:after="100"/>
        <w:jc w:val="both"/>
      </w:pPr>
      <w:r>
        <w:t>Todo o valor do CarePlus Predict — os alertas, as predições, os insights personalizados — é uma função direta da qualidade dos dados com os quais os modelos são treinados. Modelos de saúde treinados com dados insuficientes, enviesados ou não representativos não apenas entregam resultados ruins: eles podem gerar alertas falsos que geram ansiedade desnecessária em pacientes saudáveis, ou, pior, deixar de detectar eventos reais que deveriam ter sido sinalizados.</w:t>
      </w:r>
    </w:p>
    <w:p w14:paraId="596FDC71" w14:textId="77777777" w:rsidR="006F5578" w:rsidRDefault="00000000">
      <w:pPr>
        <w:spacing w:before="80" w:after="100"/>
        <w:jc w:val="both"/>
      </w:pPr>
      <w:r>
        <w:t xml:space="preserve">O problema concreto que o projeto enfrenta é o seguinte: os datasets clínicos de referência para treinamento de modelos de saúde (PhysioNet, MIMIC-III, eICU) são predominantemente americanos, coletados em contextos hospitalares intensivos, em inglês, e não refletem o perfil epidemiológico, genético, socioeconômico e comportamental da população brasileira. Um modelo </w:t>
      </w:r>
      <w:r>
        <w:lastRenderedPageBreak/>
        <w:t>treinado nesses dados e aplicado a usuários de um plano de saúde privado em São Paulo está fazendo uma extrapolação arriscada.</w:t>
      </w:r>
    </w:p>
    <w:p w14:paraId="3368D3FC" w14:textId="77777777" w:rsidR="006F5578" w:rsidRDefault="006F557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5578" w14:paraId="452CE834" w14:textId="77777777">
        <w:tblPrEx>
          <w:tblCellMar>
            <w:top w:w="0" w:type="dxa"/>
            <w:bottom w:w="0" w:type="dxa"/>
          </w:tblCellMar>
        </w:tblPrEx>
        <w:tc>
          <w:tcPr>
            <w:tcW w:w="9360" w:type="dxa"/>
            <w:tcBorders>
              <w:top w:val="single" w:sz="1" w:space="0" w:color="FFF0CC"/>
              <w:left w:val="single" w:sz="1" w:space="0" w:color="FFF0CC"/>
              <w:bottom w:val="single" w:sz="1" w:space="0" w:color="FFF0CC"/>
              <w:right w:val="single" w:sz="1" w:space="0" w:color="FFF0CC"/>
            </w:tcBorders>
            <w:shd w:val="clear" w:color="auto" w:fill="FFF0CC"/>
            <w:tcMar>
              <w:top w:w="160" w:type="dxa"/>
              <w:left w:w="240" w:type="dxa"/>
              <w:bottom w:w="160" w:type="dxa"/>
              <w:right w:w="240" w:type="dxa"/>
            </w:tcMar>
          </w:tcPr>
          <w:p w14:paraId="57994AD4" w14:textId="77777777" w:rsidR="006F5578" w:rsidRDefault="00000000">
            <w:pPr>
              <w:spacing w:after="60"/>
            </w:pPr>
            <w:r>
              <w:rPr>
                <w:b/>
                <w:bCs/>
                <w:color w:val="A05800"/>
              </w:rPr>
              <w:t>A questão central que precisa ter resposta antes da fase 2</w:t>
            </w:r>
          </w:p>
          <w:p w14:paraId="2ED89084" w14:textId="77777777" w:rsidR="006F5578" w:rsidRDefault="00000000">
            <w:pPr>
              <w:jc w:val="both"/>
            </w:pPr>
            <w:r>
              <w:rPr>
                <w:color w:val="A05800"/>
              </w:rPr>
              <w:t>De onde virão dados clínicos reais, representativos e suficientes para treinar e validar os modelos preditivos do CarePlus Predict? Essa pergunta não é retórica — ela tem respostas possíveis (parceria com a Care Plus para acesso a histórico anonimizado, colaboração com hospitais universitários, uso de datasets sintéticos gerados por simulação clínica), mas precisa ser respondida explicitamente no roadmap do projeto antes de se comprometer com metas de precisão como '99% de acurácia preditiva'.</w:t>
            </w:r>
          </w:p>
        </w:tc>
      </w:tr>
    </w:tbl>
    <w:p w14:paraId="66D4DAF8" w14:textId="77777777" w:rsidR="006F5578" w:rsidRDefault="006F5578">
      <w:pPr>
        <w:spacing w:before="40" w:after="40"/>
      </w:pPr>
    </w:p>
    <w:p w14:paraId="0EE15242" w14:textId="77777777" w:rsidR="006F5578" w:rsidRDefault="00000000">
      <w:pPr>
        <w:spacing w:before="80" w:after="100"/>
        <w:jc w:val="both"/>
      </w:pPr>
      <w:r>
        <w:t>Vale dizer: metas de precisão como 92% ou 99% listadas em documentação técnica sem especificar o dataset de avaliação, o protocolo de validação e a métrica exata (acurácia bruta? F1-Score? AUC-ROC?) não têm validade técnica. No contexto de healthtech regulado, isso pode ser um problema sério na interlocução com a ANVISA.</w:t>
      </w:r>
    </w:p>
    <w:p w14:paraId="751D729C" w14:textId="77777777" w:rsidR="006F5578" w:rsidRDefault="006F5578">
      <w:pPr>
        <w:spacing w:before="40" w:after="40"/>
      </w:pPr>
    </w:p>
    <w:p w14:paraId="05C2B333" w14:textId="77777777" w:rsidR="006F5578" w:rsidRDefault="00000000">
      <w:pPr>
        <w:pStyle w:val="Heading3"/>
      </w:pPr>
      <w:bookmarkStart w:id="6" w:name="_Toc224315141"/>
      <w:r>
        <w:t>2.2.2 A tensão regulatória com a ANVISA — SaMD e dados reais</w:t>
      </w:r>
      <w:bookmarkEnd w:id="6"/>
    </w:p>
    <w:p w14:paraId="19616DFE" w14:textId="77777777" w:rsidR="006F5578" w:rsidRDefault="00000000">
      <w:pPr>
        <w:spacing w:before="80" w:after="100"/>
        <w:jc w:val="both"/>
      </w:pPr>
      <w:r>
        <w:t>A documentação menciona a classificação do projeto como Software como Dispositivo Médico (SaMD) Classe II sob a RDC 657/2022 da ANVISA. Isso é tecnicamente correto para uma plataforma que pretende gerar predições com fins clínicos — e é exatamente aqui que surge uma tensão com a abordagem ágil descrita no roadmap.</w:t>
      </w:r>
    </w:p>
    <w:p w14:paraId="49C5612B" w14:textId="77777777" w:rsidR="006F5578" w:rsidRDefault="00000000">
      <w:pPr>
        <w:spacing w:before="80" w:after="100"/>
        <w:jc w:val="both"/>
      </w:pPr>
      <w:r>
        <w:t>A RDC 657/2022 exige evidências de segurança e desempenho clínico antes da comercialização de um SaMD. Isso significa que 'validar com dados reais' — como descrito na fase 2 — não pode acontecer de forma informal ou em ambiente de produção com usuários reais sem um protocolo de estudo aprovado. Na prática, isso envolve um Estudo de Avaliação de Desempenho (EAD), geralmente com aprovação de Comitê de Ética em Pesquisa (CEP) se envolver participantes humanos.</w:t>
      </w:r>
    </w:p>
    <w:p w14:paraId="342D9BCB" w14:textId="77777777" w:rsidR="006F5578" w:rsidRDefault="006F557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5578" w14:paraId="41D7EA38" w14:textId="77777777">
        <w:tblPrEx>
          <w:tblCellMar>
            <w:top w:w="0" w:type="dxa"/>
            <w:bottom w:w="0" w:type="dxa"/>
          </w:tblCellMar>
        </w:tblPrEx>
        <w:tc>
          <w:tcPr>
            <w:tcW w:w="9360" w:type="dxa"/>
            <w:tcBorders>
              <w:top w:val="single" w:sz="1" w:space="0" w:color="FFF0CC"/>
              <w:left w:val="single" w:sz="1" w:space="0" w:color="FFF0CC"/>
              <w:bottom w:val="single" w:sz="1" w:space="0" w:color="FFF0CC"/>
              <w:right w:val="single" w:sz="1" w:space="0" w:color="FFF0CC"/>
            </w:tcBorders>
            <w:shd w:val="clear" w:color="auto" w:fill="FFF0CC"/>
            <w:tcMar>
              <w:top w:w="160" w:type="dxa"/>
              <w:left w:w="240" w:type="dxa"/>
              <w:bottom w:w="160" w:type="dxa"/>
              <w:right w:w="240" w:type="dxa"/>
            </w:tcMar>
          </w:tcPr>
          <w:p w14:paraId="54BE872C" w14:textId="77777777" w:rsidR="006F5578" w:rsidRDefault="00000000">
            <w:pPr>
              <w:spacing w:after="60"/>
            </w:pPr>
            <w:r>
              <w:rPr>
                <w:b/>
                <w:bCs/>
                <w:color w:val="A05800"/>
              </w:rPr>
              <w:t>Recomendação prática</w:t>
            </w:r>
          </w:p>
          <w:p w14:paraId="2C548751" w14:textId="77777777" w:rsidR="006F5578" w:rsidRDefault="00000000">
            <w:pPr>
              <w:jc w:val="both"/>
            </w:pPr>
            <w:r>
              <w:rPr>
                <w:color w:val="A05800"/>
              </w:rPr>
              <w:t>O roadmap do projeto deveria incluir, na fase 2, a elaboração de um protocolo de validação clínica que defina: (a) o que constitui 'dado real' para fins de treinamento vs. validação, (b) o envolvimento ou não de participantes humanos e a necessidade de CEP, e (c) a estratégia para eventual submissão à ANVISA. Isso não precisa travar o desenvolvimento — mas precisa existir como trilha paralela.</w:t>
            </w:r>
          </w:p>
        </w:tc>
      </w:tr>
    </w:tbl>
    <w:p w14:paraId="13413E3D" w14:textId="77777777" w:rsidR="006F5578" w:rsidRDefault="006F5578">
      <w:pPr>
        <w:spacing w:before="40" w:after="40"/>
      </w:pPr>
    </w:p>
    <w:p w14:paraId="48FD601C" w14:textId="77777777" w:rsidR="006F5578" w:rsidRDefault="00000000">
      <w:pPr>
        <w:pStyle w:val="Heading3"/>
      </w:pPr>
      <w:bookmarkStart w:id="7" w:name="_Toc224315142"/>
      <w:r>
        <w:t>2.2.3 A armadilha da complexidade prematura</w:t>
      </w:r>
      <w:bookmarkEnd w:id="7"/>
    </w:p>
    <w:p w14:paraId="3B5CE39F" w14:textId="77777777" w:rsidR="006F5578" w:rsidRDefault="00000000">
      <w:pPr>
        <w:spacing w:before="80" w:after="100"/>
        <w:jc w:val="both"/>
      </w:pPr>
      <w:r>
        <w:t>O projeto propõe, simultaneamente: Federated Learning, Continual Learning com EWC, modelos Transformer (HealthFormer), integração com 8+ APIs externas, conformidade com RNDS/FHIR R4, pipeline Kafka + TimescaleDB, XAI com SHAP values, certificação ANVISA e ISO 27001. Cada um desses elementos, individualmente, é um projeto de 3 a 6 meses para uma equipe técnica experiente.</w:t>
      </w:r>
    </w:p>
    <w:p w14:paraId="75950F3E" w14:textId="77777777" w:rsidR="006F5578" w:rsidRDefault="00000000">
      <w:pPr>
        <w:spacing w:before="80" w:after="100"/>
        <w:jc w:val="both"/>
      </w:pPr>
      <w:r>
        <w:t>O risco não é que essas escolhas sejam erradas — são escolhas tecnicamente corretas para um produto maduro. O risco é que a complexidade acumulada desvie a atenção e os recursos do que realmente importa para um MVP de healthtech: ter um modelo que prediz uma coisa com confiabilidade demonstrável e um ciclo de coleta de dados que funciona de forma estável.</w:t>
      </w:r>
    </w:p>
    <w:p w14:paraId="7276BE79" w14:textId="77777777" w:rsidR="006F5578" w:rsidRDefault="006F557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5578" w14:paraId="7E4AAC05" w14:textId="77777777">
        <w:tblPrEx>
          <w:tblCellMar>
            <w:top w:w="0" w:type="dxa"/>
            <w:bottom w:w="0" w:type="dxa"/>
          </w:tblCellMar>
        </w:tblPrEx>
        <w:tc>
          <w:tcPr>
            <w:tcW w:w="9360" w:type="dxa"/>
            <w:tcBorders>
              <w:top w:val="single" w:sz="1" w:space="0" w:color="FDECEA"/>
              <w:left w:val="single" w:sz="1" w:space="0" w:color="FDECEA"/>
              <w:bottom w:val="single" w:sz="1" w:space="0" w:color="FDECEA"/>
              <w:right w:val="single" w:sz="1" w:space="0" w:color="FDECEA"/>
            </w:tcBorders>
            <w:shd w:val="clear" w:color="auto" w:fill="FDECEA"/>
            <w:tcMar>
              <w:top w:w="160" w:type="dxa"/>
              <w:left w:w="240" w:type="dxa"/>
              <w:bottom w:w="160" w:type="dxa"/>
              <w:right w:w="240" w:type="dxa"/>
            </w:tcMar>
          </w:tcPr>
          <w:p w14:paraId="50761906" w14:textId="77777777" w:rsidR="006F5578" w:rsidRDefault="00000000">
            <w:pPr>
              <w:spacing w:after="60"/>
            </w:pPr>
            <w:r>
              <w:rPr>
                <w:b/>
                <w:bCs/>
                <w:color w:val="991B1B"/>
              </w:rPr>
              <w:lastRenderedPageBreak/>
              <w:t>O princípio do núcleo mínimo confiável</w:t>
            </w:r>
          </w:p>
          <w:p w14:paraId="5DAAD8C3" w14:textId="77777777" w:rsidR="006F5578" w:rsidRDefault="00000000">
            <w:pPr>
              <w:jc w:val="both"/>
            </w:pPr>
            <w:r>
              <w:rPr>
                <w:color w:val="991B1B"/>
              </w:rPr>
              <w:t>Um modelo com 85% de precisão real, auditável, explicável e validado em um dataset brasileiro representativo vale infinitamente mais — comercialmente, regulatoriamente e clinicamente — do que cinco modelos com 99% prometidos em documentação. A estratégia de 'fase 1: um modelo, uma doença, um endpoint clínico' é a que historicamente produz os primeiros produtos de healthtech bem-sucedidos.</w:t>
            </w:r>
          </w:p>
        </w:tc>
      </w:tr>
    </w:tbl>
    <w:p w14:paraId="11B62D56" w14:textId="77777777" w:rsidR="006F5578" w:rsidRDefault="006F5578">
      <w:pPr>
        <w:spacing w:before="40" w:after="40"/>
      </w:pPr>
    </w:p>
    <w:p w14:paraId="14F5F6EA" w14:textId="77777777" w:rsidR="006F5578" w:rsidRDefault="00000000">
      <w:pPr>
        <w:pStyle w:val="Heading2"/>
      </w:pPr>
      <w:bookmarkStart w:id="8" w:name="_Toc224315143"/>
      <w:r>
        <w:t>2.3 Qual deveria ser o foco principal</w:t>
      </w:r>
      <w:bookmarkEnd w:id="8"/>
    </w:p>
    <w:p w14:paraId="3B0E2B1A" w14:textId="77777777" w:rsidR="006F5578" w:rsidRDefault="00000000">
      <w:pPr>
        <w:spacing w:before="80" w:after="100"/>
        <w:jc w:val="both"/>
      </w:pPr>
      <w:r>
        <w:t>Considerando as três vulnerabilidades identificadas e o objetivo declarado de custeabilidade — entregar valor real a um custo operacional acessível tanto para o usuário quanto para a operadora — o foco mais importante da próxima fase deveria ser:</w:t>
      </w:r>
    </w:p>
    <w:p w14:paraId="299851D9" w14:textId="77777777" w:rsidR="006F5578" w:rsidRDefault="006F557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5578" w14:paraId="3FE0CF57" w14:textId="77777777">
        <w:tblPrEx>
          <w:tblCellMar>
            <w:top w:w="0" w:type="dxa"/>
            <w:bottom w:w="0" w:type="dxa"/>
          </w:tblCellMar>
        </w:tblPrEx>
        <w:tc>
          <w:tcPr>
            <w:tcW w:w="9360" w:type="dxa"/>
            <w:tcBorders>
              <w:top w:val="single" w:sz="1" w:space="0" w:color="0D3BB3"/>
              <w:left w:val="single" w:sz="1" w:space="0" w:color="0D3BB3"/>
              <w:bottom w:val="single" w:sz="1" w:space="0" w:color="0D3BB3"/>
              <w:right w:val="single" w:sz="1" w:space="0" w:color="0D3BB3"/>
            </w:tcBorders>
            <w:shd w:val="clear" w:color="auto" w:fill="0D3BB3"/>
            <w:tcMar>
              <w:top w:w="130" w:type="dxa"/>
              <w:left w:w="280" w:type="dxa"/>
              <w:bottom w:w="130" w:type="dxa"/>
              <w:right w:w="280" w:type="dxa"/>
            </w:tcMar>
          </w:tcPr>
          <w:p w14:paraId="5388BDA9" w14:textId="77777777" w:rsidR="006F5578" w:rsidRDefault="00000000">
            <w:pPr>
              <w:jc w:val="center"/>
            </w:pPr>
            <w:r>
              <w:rPr>
                <w:b/>
                <w:bCs/>
                <w:color w:val="FFFFFF"/>
                <w:sz w:val="24"/>
                <w:szCs w:val="24"/>
              </w:rPr>
              <w:t>FOCO PRIORITÁRIO: Validação do Núcleo Preditivo com Dados Reais</w:t>
            </w:r>
          </w:p>
        </w:tc>
      </w:tr>
    </w:tbl>
    <w:p w14:paraId="2E7F195E" w14:textId="77777777" w:rsidR="006F5578" w:rsidRDefault="006F5578">
      <w:pPr>
        <w:spacing w:before="40" w:after="40"/>
      </w:pPr>
    </w:p>
    <w:p w14:paraId="5CFD000A" w14:textId="77777777" w:rsidR="006F5578" w:rsidRDefault="00000000">
      <w:pPr>
        <w:spacing w:before="80" w:after="100"/>
        <w:jc w:val="both"/>
      </w:pPr>
      <w:r>
        <w:t>Isso significa, concretamente, selecionar um único endpoint clínico de alto valor (por exemplo: predição de crise hipertensiva, ou detecção de padrão de sono associado a deterioração cardiovascular), coletar ou acessar dados reais representativos para treinar e avaliar o modelo nesse endpoint específico, definir um protocolo de validação metodologicamente rigoroso com métricas claras e interpretativamente honestas, e demonstrar que o ciclo completo — coleta de wearable, processamento, inferência, alerta — funciona de forma estável, confiável e com latência aceitável em ambiente real.</w:t>
      </w:r>
    </w:p>
    <w:p w14:paraId="70F7781D" w14:textId="77777777" w:rsidR="006F5578" w:rsidRDefault="00000000">
      <w:pPr>
        <w:spacing w:before="80" w:after="100"/>
        <w:jc w:val="both"/>
      </w:pPr>
      <w:r>
        <w:t>Somente com esse núcleo validado o projeto terá base sólida para expandir para outros modelos, integrar mais APIs e construir as camadas de IA adaptativa propostas. Sem ele, toda a complexidade adicional está construída sobre um alicerce não testado.</w:t>
      </w:r>
    </w:p>
    <w:p w14:paraId="60C7F3BC" w14:textId="77777777" w:rsidR="006F5578" w:rsidRDefault="00000000">
      <w:r>
        <w:br w:type="page"/>
      </w:r>
    </w:p>
    <w:p w14:paraId="71DE4F3B" w14:textId="77777777" w:rsidR="006F5578" w:rsidRDefault="00000000">
      <w:pPr>
        <w:pStyle w:val="Heading1"/>
        <w:pBdr>
          <w:bottom w:val="single" w:sz="10" w:space="6" w:color="1A56FF"/>
        </w:pBdr>
      </w:pPr>
      <w:bookmarkStart w:id="9" w:name="_Toc224315144"/>
      <w:r>
        <w:lastRenderedPageBreak/>
        <w:t>3. O Mercado de Healthtech: Panorama Global e Latino-Americano</w:t>
      </w:r>
      <w:bookmarkEnd w:id="9"/>
    </w:p>
    <w:p w14:paraId="789285C3" w14:textId="77777777" w:rsidR="006F5578" w:rsidRDefault="00000000">
      <w:pPr>
        <w:pStyle w:val="Heading2"/>
      </w:pPr>
      <w:bookmarkStart w:id="10" w:name="_Toc224315145"/>
      <w:r>
        <w:t>3.1 O momento do mercado global</w:t>
      </w:r>
      <w:bookmarkEnd w:id="10"/>
    </w:p>
    <w:p w14:paraId="28228972" w14:textId="77777777" w:rsidR="006F5578" w:rsidRDefault="00000000">
      <w:pPr>
        <w:spacing w:before="80" w:after="100"/>
        <w:jc w:val="both"/>
      </w:pPr>
      <w:r>
        <w:t>O setor de saúde digital atravessa o que analistas descrevem como uma segunda onda de maturidade. Após o boom acelerado pela pandemia de COVID-19, o mercado passou por uma consolidação entre 2022 e 2023 — com redução de valuations inflados e fechamento de empresas sem modelo de negócio sustentável. Em 2024 e 2025, o que emerge é um ecossistema mais seletivo, onde os investidores e os sistemas de saúde priorizam produtos que demonstram impacto clínico mensurável e viabilidade econômica real.</w:t>
      </w:r>
    </w:p>
    <w:p w14:paraId="4FFF9AC7" w14:textId="77777777" w:rsidR="006F5578" w:rsidRDefault="006F557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F5578" w14:paraId="449E954E" w14:textId="77777777">
        <w:tblPrEx>
          <w:tblCellMar>
            <w:top w:w="0" w:type="dxa"/>
            <w:bottom w:w="0" w:type="dxa"/>
          </w:tblCellMar>
        </w:tblPrEx>
        <w:tc>
          <w:tcPr>
            <w:tcW w:w="3120" w:type="dxa"/>
            <w:tcBorders>
              <w:top w:val="single" w:sz="1" w:space="0" w:color="0D3BB3"/>
              <w:left w:val="single" w:sz="1" w:space="0" w:color="0D3BB3"/>
              <w:bottom w:val="single" w:sz="1" w:space="0" w:color="0D3BB3"/>
              <w:right w:val="single" w:sz="1" w:space="0" w:color="0D3BB3"/>
            </w:tcBorders>
            <w:shd w:val="clear" w:color="auto" w:fill="0D3BB3"/>
            <w:tcMar>
              <w:top w:w="100" w:type="dxa"/>
              <w:left w:w="120" w:type="dxa"/>
              <w:bottom w:w="100" w:type="dxa"/>
              <w:right w:w="120" w:type="dxa"/>
            </w:tcMar>
          </w:tcPr>
          <w:p w14:paraId="1BE19F42" w14:textId="77777777" w:rsidR="006F5578" w:rsidRDefault="00000000">
            <w:pPr>
              <w:jc w:val="center"/>
            </w:pPr>
            <w:r>
              <w:rPr>
                <w:b/>
                <w:bCs/>
                <w:color w:val="FFFFFF"/>
                <w:sz w:val="20"/>
                <w:szCs w:val="20"/>
              </w:rPr>
              <w:t>Indicador de Mercado</w:t>
            </w:r>
          </w:p>
        </w:tc>
        <w:tc>
          <w:tcPr>
            <w:tcW w:w="3120" w:type="dxa"/>
            <w:tcBorders>
              <w:top w:val="single" w:sz="1" w:space="0" w:color="0D3BB3"/>
              <w:left w:val="single" w:sz="1" w:space="0" w:color="0D3BB3"/>
              <w:bottom w:val="single" w:sz="1" w:space="0" w:color="0D3BB3"/>
              <w:right w:val="single" w:sz="1" w:space="0" w:color="0D3BB3"/>
            </w:tcBorders>
            <w:shd w:val="clear" w:color="auto" w:fill="0D3BB3"/>
            <w:tcMar>
              <w:top w:w="100" w:type="dxa"/>
              <w:left w:w="120" w:type="dxa"/>
              <w:bottom w:w="100" w:type="dxa"/>
              <w:right w:w="120" w:type="dxa"/>
            </w:tcMar>
          </w:tcPr>
          <w:p w14:paraId="39A76E16" w14:textId="77777777" w:rsidR="006F5578" w:rsidRDefault="00000000">
            <w:pPr>
              <w:jc w:val="center"/>
            </w:pPr>
            <w:r>
              <w:rPr>
                <w:b/>
                <w:bCs/>
                <w:color w:val="FFFFFF"/>
                <w:sz w:val="20"/>
                <w:szCs w:val="20"/>
              </w:rPr>
              <w:t>Valor</w:t>
            </w:r>
          </w:p>
        </w:tc>
        <w:tc>
          <w:tcPr>
            <w:tcW w:w="3120" w:type="dxa"/>
            <w:tcBorders>
              <w:top w:val="single" w:sz="1" w:space="0" w:color="0D3BB3"/>
              <w:left w:val="single" w:sz="1" w:space="0" w:color="0D3BB3"/>
              <w:bottom w:val="single" w:sz="1" w:space="0" w:color="0D3BB3"/>
              <w:right w:val="single" w:sz="1" w:space="0" w:color="0D3BB3"/>
            </w:tcBorders>
            <w:shd w:val="clear" w:color="auto" w:fill="0D3BB3"/>
            <w:tcMar>
              <w:top w:w="100" w:type="dxa"/>
              <w:left w:w="120" w:type="dxa"/>
              <w:bottom w:w="100" w:type="dxa"/>
              <w:right w:w="120" w:type="dxa"/>
            </w:tcMar>
          </w:tcPr>
          <w:p w14:paraId="673703ED" w14:textId="77777777" w:rsidR="006F5578" w:rsidRDefault="00000000">
            <w:pPr>
              <w:jc w:val="center"/>
            </w:pPr>
            <w:r>
              <w:rPr>
                <w:b/>
                <w:bCs/>
                <w:color w:val="FFFFFF"/>
                <w:sz w:val="20"/>
                <w:szCs w:val="20"/>
              </w:rPr>
              <w:t>Fonte / Período</w:t>
            </w:r>
          </w:p>
        </w:tc>
      </w:tr>
      <w:tr w:rsidR="006F5578" w14:paraId="2C29C60B" w14:textId="77777777">
        <w:tblPrEx>
          <w:tblCellMar>
            <w:top w:w="0" w:type="dxa"/>
            <w:bottom w:w="0" w:type="dxa"/>
          </w:tblCellMar>
        </w:tblPrEx>
        <w:tc>
          <w:tcPr>
            <w:tcW w:w="312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12D2B4FE" w14:textId="77777777" w:rsidR="006F5578" w:rsidRDefault="00000000">
            <w:r>
              <w:rPr>
                <w:b/>
                <w:bCs/>
                <w:sz w:val="20"/>
                <w:szCs w:val="20"/>
              </w:rPr>
              <w:t>Mercado global de saúde digital (2025)</w:t>
            </w:r>
          </w:p>
        </w:tc>
        <w:tc>
          <w:tcPr>
            <w:tcW w:w="312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38763E14" w14:textId="77777777" w:rsidR="006F5578" w:rsidRDefault="00000000">
            <w:pPr>
              <w:jc w:val="center"/>
            </w:pPr>
            <w:r>
              <w:rPr>
                <w:sz w:val="20"/>
                <w:szCs w:val="20"/>
              </w:rPr>
              <w:t>USD 199–420 bilhões*</w:t>
            </w:r>
          </w:p>
        </w:tc>
        <w:tc>
          <w:tcPr>
            <w:tcW w:w="312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2B385BE2" w14:textId="77777777" w:rsidR="006F5578" w:rsidRDefault="00000000">
            <w:pPr>
              <w:jc w:val="center"/>
            </w:pPr>
            <w:r>
              <w:rPr>
                <w:sz w:val="20"/>
                <w:szCs w:val="20"/>
              </w:rPr>
              <w:t>MarketsandMarkets / Precedence, 2025</w:t>
            </w:r>
          </w:p>
        </w:tc>
      </w:tr>
      <w:tr w:rsidR="006F5578" w14:paraId="1C909807" w14:textId="77777777">
        <w:tblPrEx>
          <w:tblCellMar>
            <w:top w:w="0" w:type="dxa"/>
            <w:bottom w:w="0" w:type="dxa"/>
          </w:tblCellMar>
        </w:tblPrEx>
        <w:tc>
          <w:tcPr>
            <w:tcW w:w="312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599F5EC6" w14:textId="77777777" w:rsidR="006F5578" w:rsidRDefault="00000000">
            <w:r>
              <w:rPr>
                <w:b/>
                <w:bCs/>
                <w:sz w:val="20"/>
                <w:szCs w:val="20"/>
              </w:rPr>
              <w:t>Projeção para 2030</w:t>
            </w:r>
          </w:p>
        </w:tc>
        <w:tc>
          <w:tcPr>
            <w:tcW w:w="312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5203B668" w14:textId="77777777" w:rsidR="006F5578" w:rsidRDefault="00000000">
            <w:pPr>
              <w:jc w:val="center"/>
            </w:pPr>
            <w:r>
              <w:rPr>
                <w:sz w:val="20"/>
                <w:szCs w:val="20"/>
              </w:rPr>
              <w:t>USD 573 bilhões</w:t>
            </w:r>
          </w:p>
        </w:tc>
        <w:tc>
          <w:tcPr>
            <w:tcW w:w="312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7379A3DF" w14:textId="77777777" w:rsidR="006F5578" w:rsidRDefault="00000000">
            <w:pPr>
              <w:jc w:val="center"/>
            </w:pPr>
            <w:r>
              <w:rPr>
                <w:sz w:val="20"/>
                <w:szCs w:val="20"/>
              </w:rPr>
              <w:t>MarketsandMarkets, 2025</w:t>
            </w:r>
          </w:p>
        </w:tc>
      </w:tr>
      <w:tr w:rsidR="006F5578" w14:paraId="2BEC845D" w14:textId="77777777">
        <w:tblPrEx>
          <w:tblCellMar>
            <w:top w:w="0" w:type="dxa"/>
            <w:bottom w:w="0" w:type="dxa"/>
          </w:tblCellMar>
        </w:tblPrEx>
        <w:tc>
          <w:tcPr>
            <w:tcW w:w="312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7224FB50" w14:textId="77777777" w:rsidR="006F5578" w:rsidRDefault="00000000">
            <w:r>
              <w:rPr>
                <w:b/>
                <w:bCs/>
                <w:sz w:val="20"/>
                <w:szCs w:val="20"/>
              </w:rPr>
              <w:t>CAGR projetado (2025–2030)</w:t>
            </w:r>
          </w:p>
        </w:tc>
        <w:tc>
          <w:tcPr>
            <w:tcW w:w="312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0FCA23CD" w14:textId="77777777" w:rsidR="006F5578" w:rsidRDefault="00000000">
            <w:pPr>
              <w:jc w:val="center"/>
            </w:pPr>
            <w:r>
              <w:rPr>
                <w:sz w:val="20"/>
                <w:szCs w:val="20"/>
              </w:rPr>
              <w:t>23,6%</w:t>
            </w:r>
          </w:p>
        </w:tc>
        <w:tc>
          <w:tcPr>
            <w:tcW w:w="312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58CC2D23" w14:textId="77777777" w:rsidR="006F5578" w:rsidRDefault="00000000">
            <w:pPr>
              <w:jc w:val="center"/>
            </w:pPr>
            <w:r>
              <w:rPr>
                <w:sz w:val="20"/>
                <w:szCs w:val="20"/>
              </w:rPr>
              <w:t>MarketsandMarkets, 2025</w:t>
            </w:r>
          </w:p>
        </w:tc>
      </w:tr>
      <w:tr w:rsidR="006F5578" w14:paraId="66804F3F" w14:textId="77777777">
        <w:tblPrEx>
          <w:tblCellMar>
            <w:top w:w="0" w:type="dxa"/>
            <w:bottom w:w="0" w:type="dxa"/>
          </w:tblCellMar>
        </w:tblPrEx>
        <w:tc>
          <w:tcPr>
            <w:tcW w:w="312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2B9EA5CC" w14:textId="77777777" w:rsidR="006F5578" w:rsidRDefault="00000000">
            <w:r>
              <w:rPr>
                <w:b/>
                <w:bCs/>
                <w:sz w:val="20"/>
                <w:szCs w:val="20"/>
              </w:rPr>
              <w:t>Mercado de apps de saúde (2024)</w:t>
            </w:r>
          </w:p>
        </w:tc>
        <w:tc>
          <w:tcPr>
            <w:tcW w:w="312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004B5DED" w14:textId="77777777" w:rsidR="006F5578" w:rsidRDefault="00000000">
            <w:pPr>
              <w:jc w:val="center"/>
            </w:pPr>
            <w:r>
              <w:rPr>
                <w:sz w:val="20"/>
                <w:szCs w:val="20"/>
              </w:rPr>
              <w:t>USD 16,1 bilhões</w:t>
            </w:r>
          </w:p>
        </w:tc>
        <w:tc>
          <w:tcPr>
            <w:tcW w:w="312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665F0644" w14:textId="77777777" w:rsidR="006F5578" w:rsidRDefault="00000000">
            <w:pPr>
              <w:jc w:val="center"/>
            </w:pPr>
            <w:r>
              <w:rPr>
                <w:sz w:val="20"/>
                <w:szCs w:val="20"/>
              </w:rPr>
              <w:t>Towards Healthcare, 2025</w:t>
            </w:r>
          </w:p>
        </w:tc>
      </w:tr>
      <w:tr w:rsidR="006F5578" w14:paraId="163D74EB" w14:textId="77777777">
        <w:tblPrEx>
          <w:tblCellMar>
            <w:top w:w="0" w:type="dxa"/>
            <w:bottom w:w="0" w:type="dxa"/>
          </w:tblCellMar>
        </w:tblPrEx>
        <w:tc>
          <w:tcPr>
            <w:tcW w:w="312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636D055E" w14:textId="77777777" w:rsidR="006F5578" w:rsidRDefault="00000000">
            <w:r>
              <w:rPr>
                <w:b/>
                <w:bCs/>
                <w:sz w:val="20"/>
                <w:szCs w:val="20"/>
              </w:rPr>
              <w:t>Mercado de wearables médicos (2024)</w:t>
            </w:r>
          </w:p>
        </w:tc>
        <w:tc>
          <w:tcPr>
            <w:tcW w:w="312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6873CD0C" w14:textId="77777777" w:rsidR="006F5578" w:rsidRDefault="00000000">
            <w:pPr>
              <w:jc w:val="center"/>
            </w:pPr>
            <w:r>
              <w:rPr>
                <w:sz w:val="20"/>
                <w:szCs w:val="20"/>
              </w:rPr>
              <w:t>USD 57,6 bilhões</w:t>
            </w:r>
          </w:p>
        </w:tc>
        <w:tc>
          <w:tcPr>
            <w:tcW w:w="312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3D8E46C3" w14:textId="77777777" w:rsidR="006F5578" w:rsidRDefault="00000000">
            <w:pPr>
              <w:jc w:val="center"/>
            </w:pPr>
            <w:r>
              <w:rPr>
                <w:sz w:val="20"/>
                <w:szCs w:val="20"/>
              </w:rPr>
              <w:t>Vantage Market Research, 2025</w:t>
            </w:r>
          </w:p>
        </w:tc>
      </w:tr>
      <w:tr w:rsidR="006F5578" w14:paraId="336C49E5" w14:textId="77777777">
        <w:tblPrEx>
          <w:tblCellMar>
            <w:top w:w="0" w:type="dxa"/>
            <w:bottom w:w="0" w:type="dxa"/>
          </w:tblCellMar>
        </w:tblPrEx>
        <w:tc>
          <w:tcPr>
            <w:tcW w:w="312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4EBB1930" w14:textId="77777777" w:rsidR="006F5578" w:rsidRDefault="00000000">
            <w:r>
              <w:rPr>
                <w:b/>
                <w:bCs/>
                <w:sz w:val="20"/>
                <w:szCs w:val="20"/>
              </w:rPr>
              <w:t>Projeção wearables médicos (2035)</w:t>
            </w:r>
          </w:p>
        </w:tc>
        <w:tc>
          <w:tcPr>
            <w:tcW w:w="312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7AC21AA7" w14:textId="77777777" w:rsidR="006F5578" w:rsidRDefault="00000000">
            <w:pPr>
              <w:jc w:val="center"/>
            </w:pPr>
            <w:r>
              <w:rPr>
                <w:sz w:val="20"/>
                <w:szCs w:val="20"/>
              </w:rPr>
              <w:t>USD 499,2 bilhões (CAGR 21,6%)</w:t>
            </w:r>
          </w:p>
        </w:tc>
        <w:tc>
          <w:tcPr>
            <w:tcW w:w="312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03857F2B" w14:textId="77777777" w:rsidR="006F5578" w:rsidRDefault="00000000">
            <w:pPr>
              <w:jc w:val="center"/>
            </w:pPr>
            <w:r>
              <w:rPr>
                <w:sz w:val="20"/>
                <w:szCs w:val="20"/>
              </w:rPr>
              <w:t>Vantage Market Research, 2025</w:t>
            </w:r>
          </w:p>
        </w:tc>
      </w:tr>
      <w:tr w:rsidR="006F5578" w14:paraId="33716AF7" w14:textId="77777777">
        <w:tblPrEx>
          <w:tblCellMar>
            <w:top w:w="0" w:type="dxa"/>
            <w:bottom w:w="0" w:type="dxa"/>
          </w:tblCellMar>
        </w:tblPrEx>
        <w:tc>
          <w:tcPr>
            <w:tcW w:w="312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5C5BB5A6" w14:textId="77777777" w:rsidR="006F5578" w:rsidRDefault="00000000">
            <w:r>
              <w:rPr>
                <w:b/>
                <w:bCs/>
                <w:sz w:val="20"/>
                <w:szCs w:val="20"/>
              </w:rPr>
              <w:t>Crescimento mercado LatAm digital health (2024)</w:t>
            </w:r>
          </w:p>
        </w:tc>
        <w:tc>
          <w:tcPr>
            <w:tcW w:w="312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45548AE1" w14:textId="77777777" w:rsidR="006F5578" w:rsidRDefault="00000000">
            <w:pPr>
              <w:jc w:val="center"/>
            </w:pPr>
            <w:r>
              <w:rPr>
                <w:sz w:val="20"/>
                <w:szCs w:val="20"/>
              </w:rPr>
              <w:t>37,6% — USD 35 bilhões</w:t>
            </w:r>
          </w:p>
        </w:tc>
        <w:tc>
          <w:tcPr>
            <w:tcW w:w="312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5760B0F4" w14:textId="77777777" w:rsidR="006F5578" w:rsidRDefault="00000000">
            <w:pPr>
              <w:jc w:val="center"/>
            </w:pPr>
            <w:r>
              <w:rPr>
                <w:sz w:val="20"/>
                <w:szCs w:val="20"/>
              </w:rPr>
              <w:t>Towards Healthcare / PitchBook, 2025</w:t>
            </w:r>
          </w:p>
        </w:tc>
      </w:tr>
      <w:tr w:rsidR="006F5578" w14:paraId="025FBF4D" w14:textId="77777777">
        <w:tblPrEx>
          <w:tblCellMar>
            <w:top w:w="0" w:type="dxa"/>
            <w:bottom w:w="0" w:type="dxa"/>
          </w:tblCellMar>
        </w:tblPrEx>
        <w:tc>
          <w:tcPr>
            <w:tcW w:w="312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212155E8" w14:textId="77777777" w:rsidR="006F5578" w:rsidRDefault="00000000">
            <w:r>
              <w:rPr>
                <w:b/>
                <w:bCs/>
                <w:sz w:val="20"/>
                <w:szCs w:val="20"/>
              </w:rPr>
              <w:t>Startups healthtech no Brasil</w:t>
            </w:r>
          </w:p>
        </w:tc>
        <w:tc>
          <w:tcPr>
            <w:tcW w:w="312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16E96666" w14:textId="77777777" w:rsidR="006F5578" w:rsidRDefault="00000000">
            <w:pPr>
              <w:jc w:val="center"/>
            </w:pPr>
            <w:r>
              <w:rPr>
                <w:sz w:val="20"/>
                <w:szCs w:val="20"/>
              </w:rPr>
              <w:t>1.919 empresas; 265 com funding</w:t>
            </w:r>
          </w:p>
        </w:tc>
        <w:tc>
          <w:tcPr>
            <w:tcW w:w="312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130A049D" w14:textId="77777777" w:rsidR="006F5578" w:rsidRDefault="00000000">
            <w:pPr>
              <w:jc w:val="center"/>
            </w:pPr>
            <w:r>
              <w:rPr>
                <w:sz w:val="20"/>
                <w:szCs w:val="20"/>
              </w:rPr>
              <w:t>Tracxn, junho 2025</w:t>
            </w:r>
          </w:p>
        </w:tc>
      </w:tr>
    </w:tbl>
    <w:p w14:paraId="2E3A8C4B" w14:textId="77777777" w:rsidR="006F5578" w:rsidRDefault="006F5578">
      <w:pPr>
        <w:spacing w:before="40" w:after="40"/>
      </w:pPr>
    </w:p>
    <w:p w14:paraId="1724F03E" w14:textId="77777777" w:rsidR="006F5578" w:rsidRDefault="00000000">
      <w:pPr>
        <w:spacing w:before="80" w:after="100"/>
        <w:jc w:val="both"/>
      </w:pPr>
      <w:r>
        <w:t>* A variação entre fontes reflete diferentes definições de escopo do mercado de 'saúde digital'.</w:t>
      </w:r>
    </w:p>
    <w:p w14:paraId="7F214094" w14:textId="77777777" w:rsidR="006F5578" w:rsidRDefault="006F5578">
      <w:pPr>
        <w:spacing w:before="40" w:after="40"/>
      </w:pPr>
    </w:p>
    <w:p w14:paraId="39B7679A" w14:textId="77777777" w:rsidR="006F5578" w:rsidRDefault="00000000">
      <w:pPr>
        <w:pStyle w:val="Heading2"/>
      </w:pPr>
      <w:bookmarkStart w:id="11" w:name="_Toc224315146"/>
      <w:r>
        <w:t>3.2 Os três grandes focos do mercado atual</w:t>
      </w:r>
      <w:bookmarkEnd w:id="11"/>
    </w:p>
    <w:p w14:paraId="4C0E3FE8" w14:textId="77777777" w:rsidR="006F5578" w:rsidRDefault="00000000">
      <w:pPr>
        <w:spacing w:before="80" w:after="100"/>
        <w:jc w:val="both"/>
      </w:pPr>
      <w:r>
        <w:t>A análise das tendências de mercado para 2024-2025, cruzando relatórios da IQVIA, MarketsandMarkets, HolonIQ e Towards Healthcare, revela três eixos que dominam os investimentos e as apostas estratégicas do setor:</w:t>
      </w:r>
    </w:p>
    <w:p w14:paraId="59B693A0" w14:textId="77777777" w:rsidR="006F5578" w:rsidRDefault="006F5578">
      <w:pPr>
        <w:spacing w:before="40" w:after="40"/>
      </w:pPr>
    </w:p>
    <w:p w14:paraId="4C4A53FD" w14:textId="77777777" w:rsidR="006F5578" w:rsidRDefault="00000000">
      <w:pPr>
        <w:pStyle w:val="Heading3"/>
      </w:pPr>
      <w:bookmarkStart w:id="12" w:name="_Toc224315147"/>
      <w:r>
        <w:t>3.2.1 IA Preditiva e Preventiva — do monitoramento à antecipação</w:t>
      </w:r>
      <w:bookmarkEnd w:id="12"/>
    </w:p>
    <w:p w14:paraId="5A84FC35" w14:textId="77777777" w:rsidR="006F5578" w:rsidRDefault="00000000">
      <w:pPr>
        <w:spacing w:before="80" w:after="100"/>
        <w:jc w:val="both"/>
      </w:pPr>
      <w:r>
        <w:t>O paradigma está migrando de ferramentas que monitoram para ferramentas que preveem. A IQVIA classifica esse segmento como 'Digital Predictive Tools' — soluções que analisam dados biométricos e de sintomas para inferir o curso futuro da doença. É exatamente o posicionamento que o CarePlus Predict pretende ocupar.</w:t>
      </w:r>
    </w:p>
    <w:p w14:paraId="3ACC5B4A" w14:textId="77777777" w:rsidR="006F5578" w:rsidRDefault="00000000">
      <w:pPr>
        <w:spacing w:before="80" w:after="100"/>
        <w:jc w:val="both"/>
      </w:pPr>
      <w:r>
        <w:t xml:space="preserve">Exemplos concretos desse movimento incluem: a DexCom lançando em dezembro de 2024 uma plataforma de IA generativa integrada ao seu ecossistema de monitoramento contínuo de glicose, </w:t>
      </w:r>
      <w:r>
        <w:lastRenderedPageBreak/>
        <w:t>construída sobre o Vertex AI do Google Cloud; a Fitbit Health lançando em janeiro de 2025 uma plataforma de wearable habilitada por IA para monitoramento cardiovascular contínuo com alertas preditivos; e a Apple fazendo parceria com hospitais líderes para integrar dados do Apple Watch em prontuários eletrônicos baseados em nuvem.</w:t>
      </w:r>
    </w:p>
    <w:p w14:paraId="4CD6FE26" w14:textId="77777777" w:rsidR="006F5578" w:rsidRDefault="00000000">
      <w:pPr>
        <w:spacing w:before="80" w:after="100"/>
        <w:jc w:val="both"/>
      </w:pPr>
      <w:r>
        <w:t>O dado mais relevante para o CarePlus Predict: o segmento de 'cuidados preventivos e wellness' é projetado para dominar o mercado de saúde digital em termos de crescimento até 2030, com o segmento de saúde mental e comportamental crescendo na taxa mais acelerada.</w:t>
      </w:r>
    </w:p>
    <w:p w14:paraId="6EE0D098" w14:textId="77777777" w:rsidR="006F5578" w:rsidRDefault="006F5578">
      <w:pPr>
        <w:spacing w:before="40" w:after="40"/>
      </w:pPr>
    </w:p>
    <w:p w14:paraId="41AF3A6D" w14:textId="77777777" w:rsidR="006F5578" w:rsidRDefault="00000000">
      <w:pPr>
        <w:pStyle w:val="Heading3"/>
      </w:pPr>
      <w:bookmarkStart w:id="13" w:name="_Toc224315148"/>
      <w:r>
        <w:t>3.2.2 Custeabilidade e Acesso — o gap que o mercado ainda não fechou</w:t>
      </w:r>
      <w:bookmarkEnd w:id="13"/>
    </w:p>
    <w:p w14:paraId="7A612DF4" w14:textId="77777777" w:rsidR="006F5578" w:rsidRDefault="00000000">
      <w:pPr>
        <w:spacing w:before="80" w:after="100"/>
        <w:jc w:val="both"/>
      </w:pPr>
      <w:r>
        <w:t>Este é o ponto onde o CarePlus Predict tem um diferencial potencialmente decisivo, e é importante entendê-lo com precisão. O mercado global de healthtech tem produzido soluções tecnicamente sofisticadas que, paradoxalmente, ampliam a desigualdade de acesso em vez de reduzi-la: dispositivos caros, assinaturas premium, plataformas disponíveis apenas em inglês, e modelos de negócio que dependem de reembolso por planos de saúde privados de alto padrão.</w:t>
      </w:r>
    </w:p>
    <w:p w14:paraId="7D2CD8FB" w14:textId="77777777" w:rsidR="006F5578" w:rsidRDefault="00000000">
      <w:pPr>
        <w:spacing w:before="80" w:after="100"/>
        <w:jc w:val="both"/>
      </w:pPr>
      <w:r>
        <w:t>Na América Latina, esse problema é estrutural. Dados da HolonIQ mostram que apenas 14% das startups healthtech da região focam em prevenção — um número surpreendentemente baixo considerando que a região tem altas taxas de doenças não-transmissíveis (hipertensão, diabetes, obesidade) que são, em princípio, gerenciáveis com monitoramento preventivo acessível. A razão é simples: prevenção é difícil de monetizar em contextos onde a maioria da população não tem plano privado e o SUS não remunera ferramentas digitais.</w:t>
      </w:r>
    </w:p>
    <w:p w14:paraId="3C8D1264" w14:textId="77777777" w:rsidR="006F5578" w:rsidRDefault="006F557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5578" w14:paraId="6C96E050" w14:textId="77777777">
        <w:tblPrEx>
          <w:tblCellMar>
            <w:top w:w="0" w:type="dxa"/>
            <w:bottom w:w="0" w:type="dxa"/>
          </w:tblCellMar>
        </w:tblPrEx>
        <w:tc>
          <w:tcPr>
            <w:tcW w:w="9360" w:type="dxa"/>
            <w:tcBorders>
              <w:top w:val="single" w:sz="1" w:space="0" w:color="D6E4FF"/>
              <w:left w:val="single" w:sz="1" w:space="0" w:color="D6E4FF"/>
              <w:bottom w:val="single" w:sz="1" w:space="0" w:color="D6E4FF"/>
              <w:right w:val="single" w:sz="1" w:space="0" w:color="D6E4FF"/>
            </w:tcBorders>
            <w:shd w:val="clear" w:color="auto" w:fill="D6E4FF"/>
            <w:tcMar>
              <w:top w:w="160" w:type="dxa"/>
              <w:left w:w="240" w:type="dxa"/>
              <w:bottom w:w="160" w:type="dxa"/>
              <w:right w:w="240" w:type="dxa"/>
            </w:tcMar>
          </w:tcPr>
          <w:p w14:paraId="0B074DE3" w14:textId="77777777" w:rsidR="006F5578" w:rsidRDefault="00000000">
            <w:pPr>
              <w:spacing w:after="60"/>
            </w:pPr>
            <w:r>
              <w:rPr>
                <w:b/>
                <w:bCs/>
                <w:color w:val="0D3BB3"/>
              </w:rPr>
              <w:t>O nicho que o CarePlus Predict pode ocupar</w:t>
            </w:r>
          </w:p>
          <w:p w14:paraId="3243C2D9" w14:textId="77777777" w:rsidR="006F5578" w:rsidRDefault="00000000">
            <w:pPr>
              <w:jc w:val="both"/>
            </w:pPr>
            <w:r>
              <w:rPr>
                <w:color w:val="0D3BB3"/>
              </w:rPr>
              <w:t>O projeto está posicionado em um segmento de demanda crescente (prevenção preditiva com IA) com uma âncora de distribuição relevante (Care Plus / Bupa) e uma premissa de custeabilidade que o diferencia das soluções premium do mercado global. Esse posicionamento é estrategicamente inteligente — mas só se transforma em vantagem competitiva real se a plataforma efetivamente funcionar a um custo operacional que permita escala.</w:t>
            </w:r>
          </w:p>
        </w:tc>
      </w:tr>
    </w:tbl>
    <w:p w14:paraId="732842F6" w14:textId="77777777" w:rsidR="006F5578" w:rsidRDefault="006F5578">
      <w:pPr>
        <w:spacing w:before="40" w:after="40"/>
      </w:pPr>
    </w:p>
    <w:p w14:paraId="6A9DD8C4" w14:textId="77777777" w:rsidR="006F5578" w:rsidRDefault="00000000">
      <w:pPr>
        <w:pStyle w:val="Heading3"/>
      </w:pPr>
      <w:bookmarkStart w:id="14" w:name="_Toc224315149"/>
      <w:r>
        <w:t>3.2.3 Interoperabilidade e Fragmentação — o problema que ninguém resolveu</w:t>
      </w:r>
      <w:bookmarkEnd w:id="14"/>
    </w:p>
    <w:p w14:paraId="4491CBB7" w14:textId="77777777" w:rsidR="006F5578" w:rsidRDefault="00000000">
      <w:pPr>
        <w:spacing w:before="80" w:after="100"/>
        <w:jc w:val="both"/>
      </w:pPr>
      <w:r>
        <w:t>A fragmentação de dados de saúde — um dos três problemas que o CarePlus Predict se propõe a resolver — é reconhecida globalmente como o principal obstáculo à transformação digital da saúde. No Brasil, esse problema é amplificado pela coexistência de mais de 5.000 municípios com diferentes graus de digitalização, sistemas de prontuário incompatíveis, e uma RNDS (Rede Nacional de Dados de Saúde) ainda em implantação gradual.</w:t>
      </w:r>
    </w:p>
    <w:p w14:paraId="284116A1" w14:textId="77777777" w:rsidR="006F5578" w:rsidRDefault="00000000">
      <w:pPr>
        <w:spacing w:before="80" w:after="100"/>
        <w:jc w:val="both"/>
      </w:pPr>
      <w:r>
        <w:t>O mercado está convergindo para o padrão FHIR R4 como solução técnica para interoperabilidade — a escolha que o CarePlus Predict já incorporou em sua arquitetura. Em julho de 2025, a Samsung Electronics adquiriu a Xealth para integrar dados de wearables a workflows clínicos, um movimento que valida exatamente a aposta de integração que o projeto faz.</w:t>
      </w:r>
    </w:p>
    <w:p w14:paraId="640DEE96" w14:textId="77777777" w:rsidR="006F5578" w:rsidRDefault="006F5578">
      <w:pPr>
        <w:spacing w:before="40" w:after="40"/>
      </w:pPr>
    </w:p>
    <w:p w14:paraId="0586D101" w14:textId="77777777" w:rsidR="006F5578" w:rsidRDefault="00000000">
      <w:r>
        <w:br w:type="page"/>
      </w:r>
    </w:p>
    <w:p w14:paraId="200CC50B" w14:textId="77777777" w:rsidR="006F5578" w:rsidRDefault="00000000">
      <w:pPr>
        <w:pStyle w:val="Heading1"/>
        <w:pBdr>
          <w:bottom w:val="single" w:sz="10" w:space="6" w:color="1A56FF"/>
        </w:pBdr>
      </w:pPr>
      <w:bookmarkStart w:id="15" w:name="_Toc224315150"/>
      <w:r>
        <w:lastRenderedPageBreak/>
        <w:t>4. CarePlus Predict vs. Produtos e Tendências do Mercado</w:t>
      </w:r>
      <w:bookmarkEnd w:id="15"/>
    </w:p>
    <w:p w14:paraId="24EFFAE2" w14:textId="77777777" w:rsidR="006F5578" w:rsidRDefault="00000000">
      <w:pPr>
        <w:pStyle w:val="Heading2"/>
      </w:pPr>
      <w:bookmarkStart w:id="16" w:name="_Toc224315151"/>
      <w:r>
        <w:t>4.1 Mapa comparativo: onde o projeto se alinha ao mercado</w:t>
      </w:r>
      <w:bookmarkEnd w:id="16"/>
    </w:p>
    <w:p w14:paraId="2578794F" w14:textId="77777777" w:rsidR="006F5578" w:rsidRDefault="00000000">
      <w:pPr>
        <w:spacing w:before="80" w:after="100"/>
        <w:jc w:val="both"/>
      </w:pPr>
      <w:r>
        <w:t>A tabela abaixo cruza os focos principais do mercado de healthtech global e latino-americano com o posicionamento do CarePlus Predict, identificando alinhamentos, lacunas e riscos.</w:t>
      </w:r>
    </w:p>
    <w:p w14:paraId="19D290F0" w14:textId="77777777" w:rsidR="006F5578" w:rsidRDefault="006F557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F5578" w14:paraId="46621F89" w14:textId="77777777">
        <w:tblPrEx>
          <w:tblCellMar>
            <w:top w:w="0" w:type="dxa"/>
            <w:bottom w:w="0" w:type="dxa"/>
          </w:tblCellMar>
        </w:tblPrEx>
        <w:tc>
          <w:tcPr>
            <w:tcW w:w="2800" w:type="dxa"/>
            <w:tcBorders>
              <w:top w:val="single" w:sz="1" w:space="0" w:color="BBCCE8"/>
              <w:left w:val="single" w:sz="1" w:space="0" w:color="BBCCE8"/>
              <w:bottom w:val="single" w:sz="1" w:space="0" w:color="BBCCE8"/>
              <w:right w:val="single" w:sz="1" w:space="0" w:color="BBCCE8"/>
            </w:tcBorders>
            <w:shd w:val="clear" w:color="auto" w:fill="0D3BB3"/>
            <w:tcMar>
              <w:top w:w="100" w:type="dxa"/>
              <w:left w:w="160" w:type="dxa"/>
              <w:bottom w:w="100" w:type="dxa"/>
              <w:right w:w="160" w:type="dxa"/>
            </w:tcMar>
            <w:vAlign w:val="center"/>
          </w:tcPr>
          <w:p w14:paraId="3E0EF45F" w14:textId="77777777" w:rsidR="006F5578" w:rsidRDefault="00000000">
            <w:r>
              <w:rPr>
                <w:b/>
                <w:bCs/>
                <w:color w:val="FFFFFF"/>
                <w:sz w:val="21"/>
                <w:szCs w:val="21"/>
              </w:rPr>
              <w:t>DIMENSÃO DE MERCADO</w:t>
            </w:r>
          </w:p>
        </w:tc>
        <w:tc>
          <w:tcPr>
            <w:tcW w:w="6560" w:type="dxa"/>
            <w:tcBorders>
              <w:top w:val="single" w:sz="1" w:space="0" w:color="BBCCE8"/>
              <w:left w:val="single" w:sz="1" w:space="0" w:color="BBCCE8"/>
              <w:bottom w:val="single" w:sz="1" w:space="0" w:color="BBCCE8"/>
              <w:right w:val="single" w:sz="1" w:space="0" w:color="BBCCE8"/>
            </w:tcBorders>
            <w:shd w:val="clear" w:color="auto" w:fill="4A7FFF"/>
            <w:tcMar>
              <w:top w:w="100" w:type="dxa"/>
              <w:left w:w="180" w:type="dxa"/>
              <w:bottom w:w="100" w:type="dxa"/>
              <w:right w:w="160" w:type="dxa"/>
            </w:tcMar>
          </w:tcPr>
          <w:p w14:paraId="5EC1A84B" w14:textId="77777777" w:rsidR="006F5578" w:rsidRDefault="00000000">
            <w:pPr>
              <w:jc w:val="both"/>
            </w:pPr>
            <w:r>
              <w:rPr>
                <w:color w:val="FFFFFF"/>
                <w:sz w:val="21"/>
                <w:szCs w:val="21"/>
              </w:rPr>
              <w:t>ANÁLISE COMPARATIVA</w:t>
            </w:r>
          </w:p>
        </w:tc>
      </w:tr>
      <w:tr w:rsidR="006F5578" w14:paraId="194CE840" w14:textId="77777777">
        <w:tblPrEx>
          <w:tblCellMar>
            <w:top w:w="0" w:type="dxa"/>
            <w:bottom w:w="0" w:type="dxa"/>
          </w:tblCellMar>
        </w:tblPrEx>
        <w:tc>
          <w:tcPr>
            <w:tcW w:w="2800" w:type="dxa"/>
            <w:tcBorders>
              <w:top w:val="single" w:sz="1" w:space="0" w:color="BBCCE8"/>
              <w:left w:val="single" w:sz="1" w:space="0" w:color="BBCCE8"/>
              <w:bottom w:val="single" w:sz="1" w:space="0" w:color="BBCCE8"/>
              <w:right w:val="single" w:sz="1" w:space="0" w:color="BBCCE8"/>
            </w:tcBorders>
            <w:shd w:val="clear" w:color="auto" w:fill="F4F6FA"/>
            <w:tcMar>
              <w:top w:w="100" w:type="dxa"/>
              <w:left w:w="160" w:type="dxa"/>
              <w:bottom w:w="100" w:type="dxa"/>
              <w:right w:w="160" w:type="dxa"/>
            </w:tcMar>
            <w:vAlign w:val="center"/>
          </w:tcPr>
          <w:p w14:paraId="3D609FE3" w14:textId="77777777" w:rsidR="006F5578" w:rsidRDefault="00000000">
            <w:r>
              <w:rPr>
                <w:b/>
                <w:bCs/>
                <w:sz w:val="21"/>
                <w:szCs w:val="21"/>
              </w:rPr>
              <w:t>IA preditiva e preventiva</w:t>
            </w:r>
          </w:p>
        </w:tc>
        <w:tc>
          <w:tcPr>
            <w:tcW w:w="6560" w:type="dxa"/>
            <w:tcBorders>
              <w:top w:val="single" w:sz="1" w:space="0" w:color="BBCCE8"/>
              <w:left w:val="single" w:sz="1" w:space="0" w:color="BBCCE8"/>
              <w:bottom w:val="single" w:sz="1" w:space="0" w:color="BBCCE8"/>
              <w:right w:val="single" w:sz="1" w:space="0" w:color="BBCCE8"/>
            </w:tcBorders>
            <w:shd w:val="clear" w:color="auto" w:fill="F8FAFE"/>
            <w:tcMar>
              <w:top w:w="100" w:type="dxa"/>
              <w:left w:w="180" w:type="dxa"/>
              <w:bottom w:w="100" w:type="dxa"/>
              <w:right w:w="160" w:type="dxa"/>
            </w:tcMar>
          </w:tcPr>
          <w:p w14:paraId="3EE2AE7E" w14:textId="77777777" w:rsidR="006F5578" w:rsidRDefault="00000000">
            <w:pPr>
              <w:jc w:val="both"/>
            </w:pPr>
            <w:r>
              <w:rPr>
                <w:sz w:val="21"/>
                <w:szCs w:val="21"/>
              </w:rPr>
              <w:t>ALINHADO. O foco em predição com IA adaptativa está no centro do que o mercado global valoriza. A diferença é que os líderes (DexCom, Apple, Fitbit) têm dados proprietários massivos. O projeto precisa definir como competir sem esse volume de dados inicial.</w:t>
            </w:r>
          </w:p>
        </w:tc>
      </w:tr>
      <w:tr w:rsidR="006F5578" w14:paraId="55947252" w14:textId="77777777">
        <w:tblPrEx>
          <w:tblCellMar>
            <w:top w:w="0" w:type="dxa"/>
            <w:bottom w:w="0" w:type="dxa"/>
          </w:tblCellMar>
        </w:tblPrEx>
        <w:tc>
          <w:tcPr>
            <w:tcW w:w="2800" w:type="dxa"/>
            <w:tcBorders>
              <w:top w:val="single" w:sz="1" w:space="0" w:color="BBCCE8"/>
              <w:left w:val="single" w:sz="1" w:space="0" w:color="BBCCE8"/>
              <w:bottom w:val="single" w:sz="1" w:space="0" w:color="BBCCE8"/>
              <w:right w:val="single" w:sz="1" w:space="0" w:color="BBCCE8"/>
            </w:tcBorders>
            <w:shd w:val="clear" w:color="auto" w:fill="D6E4FF"/>
            <w:tcMar>
              <w:top w:w="100" w:type="dxa"/>
              <w:left w:w="160" w:type="dxa"/>
              <w:bottom w:w="100" w:type="dxa"/>
              <w:right w:w="160" w:type="dxa"/>
            </w:tcMar>
            <w:vAlign w:val="center"/>
          </w:tcPr>
          <w:p w14:paraId="367695E0" w14:textId="77777777" w:rsidR="006F5578" w:rsidRDefault="00000000">
            <w:r>
              <w:rPr>
                <w:b/>
                <w:bCs/>
                <w:sz w:val="21"/>
                <w:szCs w:val="21"/>
              </w:rPr>
              <w:t>Wearable como sensor central</w:t>
            </w:r>
          </w:p>
        </w:tc>
        <w:tc>
          <w:tcPr>
            <w:tcW w:w="6560" w:type="dxa"/>
            <w:tcBorders>
              <w:top w:val="single" w:sz="1" w:space="0" w:color="BBCCE8"/>
              <w:left w:val="single" w:sz="1" w:space="0" w:color="BBCCE8"/>
              <w:bottom w:val="single" w:sz="1" w:space="0" w:color="BBCCE8"/>
              <w:right w:val="single" w:sz="1" w:space="0" w:color="BBCCE8"/>
            </w:tcBorders>
            <w:shd w:val="clear" w:color="auto" w:fill="FFFFFF"/>
            <w:tcMar>
              <w:top w:w="100" w:type="dxa"/>
              <w:left w:w="180" w:type="dxa"/>
              <w:bottom w:w="100" w:type="dxa"/>
              <w:right w:w="160" w:type="dxa"/>
            </w:tcMar>
          </w:tcPr>
          <w:p w14:paraId="7E6075CF" w14:textId="77777777" w:rsidR="006F5578" w:rsidRDefault="00000000">
            <w:pPr>
              <w:jc w:val="both"/>
            </w:pPr>
            <w:r>
              <w:rPr>
                <w:sz w:val="21"/>
                <w:szCs w:val="21"/>
              </w:rPr>
              <w:t>ALINHADO com ressalva. A escolha do Samsung Health SDK faz sentido para o mercado Android brasileiro. O risco é a dependência de um único ecossistema de hardware — usuários de iOS ficam excluídos na fase inicial.</w:t>
            </w:r>
          </w:p>
        </w:tc>
      </w:tr>
      <w:tr w:rsidR="006F5578" w14:paraId="205BC72A" w14:textId="77777777">
        <w:tblPrEx>
          <w:tblCellMar>
            <w:top w:w="0" w:type="dxa"/>
            <w:bottom w:w="0" w:type="dxa"/>
          </w:tblCellMar>
        </w:tblPrEx>
        <w:tc>
          <w:tcPr>
            <w:tcW w:w="2800" w:type="dxa"/>
            <w:tcBorders>
              <w:top w:val="single" w:sz="1" w:space="0" w:color="BBCCE8"/>
              <w:left w:val="single" w:sz="1" w:space="0" w:color="BBCCE8"/>
              <w:bottom w:val="single" w:sz="1" w:space="0" w:color="BBCCE8"/>
              <w:right w:val="single" w:sz="1" w:space="0" w:color="BBCCE8"/>
            </w:tcBorders>
            <w:shd w:val="clear" w:color="auto" w:fill="F4F6FA"/>
            <w:tcMar>
              <w:top w:w="100" w:type="dxa"/>
              <w:left w:w="160" w:type="dxa"/>
              <w:bottom w:w="100" w:type="dxa"/>
              <w:right w:w="160" w:type="dxa"/>
            </w:tcMar>
            <w:vAlign w:val="center"/>
          </w:tcPr>
          <w:p w14:paraId="3AF291D3" w14:textId="77777777" w:rsidR="006F5578" w:rsidRDefault="00000000">
            <w:r>
              <w:rPr>
                <w:b/>
                <w:bCs/>
                <w:sz w:val="21"/>
                <w:szCs w:val="21"/>
              </w:rPr>
              <w:t>Custeabilidade e acesso</w:t>
            </w:r>
          </w:p>
        </w:tc>
        <w:tc>
          <w:tcPr>
            <w:tcW w:w="6560" w:type="dxa"/>
            <w:tcBorders>
              <w:top w:val="single" w:sz="1" w:space="0" w:color="BBCCE8"/>
              <w:left w:val="single" w:sz="1" w:space="0" w:color="BBCCE8"/>
              <w:bottom w:val="single" w:sz="1" w:space="0" w:color="BBCCE8"/>
              <w:right w:val="single" w:sz="1" w:space="0" w:color="BBCCE8"/>
            </w:tcBorders>
            <w:shd w:val="clear" w:color="auto" w:fill="F8FAFE"/>
            <w:tcMar>
              <w:top w:w="100" w:type="dxa"/>
              <w:left w:w="180" w:type="dxa"/>
              <w:bottom w:w="100" w:type="dxa"/>
              <w:right w:w="160" w:type="dxa"/>
            </w:tcMar>
          </w:tcPr>
          <w:p w14:paraId="06D123EC" w14:textId="77777777" w:rsidR="006F5578" w:rsidRDefault="00000000">
            <w:pPr>
              <w:jc w:val="both"/>
            </w:pPr>
            <w:r>
              <w:rPr>
                <w:sz w:val="21"/>
                <w:szCs w:val="21"/>
              </w:rPr>
              <w:t>DIFERENCIAL POTENCIAL. Este é o ponto onde o CarePlus Predict pode se diferenciar do mercado premium global. Mas a custeabilidade precisa ser comprovada no modelo de negócio — não apenas declarada. Quanto custa por usuário/mês a operação do sistema de ML?</w:t>
            </w:r>
          </w:p>
        </w:tc>
      </w:tr>
      <w:tr w:rsidR="006F5578" w14:paraId="0AB7F1E5" w14:textId="77777777">
        <w:tblPrEx>
          <w:tblCellMar>
            <w:top w:w="0" w:type="dxa"/>
            <w:bottom w:w="0" w:type="dxa"/>
          </w:tblCellMar>
        </w:tblPrEx>
        <w:tc>
          <w:tcPr>
            <w:tcW w:w="2800" w:type="dxa"/>
            <w:tcBorders>
              <w:top w:val="single" w:sz="1" w:space="0" w:color="BBCCE8"/>
              <w:left w:val="single" w:sz="1" w:space="0" w:color="BBCCE8"/>
              <w:bottom w:val="single" w:sz="1" w:space="0" w:color="BBCCE8"/>
              <w:right w:val="single" w:sz="1" w:space="0" w:color="BBCCE8"/>
            </w:tcBorders>
            <w:shd w:val="clear" w:color="auto" w:fill="D6E4FF"/>
            <w:tcMar>
              <w:top w:w="100" w:type="dxa"/>
              <w:left w:w="160" w:type="dxa"/>
              <w:bottom w:w="100" w:type="dxa"/>
              <w:right w:w="160" w:type="dxa"/>
            </w:tcMar>
            <w:vAlign w:val="center"/>
          </w:tcPr>
          <w:p w14:paraId="7BF45319" w14:textId="77777777" w:rsidR="006F5578" w:rsidRDefault="00000000">
            <w:r>
              <w:rPr>
                <w:b/>
                <w:bCs/>
                <w:sz w:val="21"/>
                <w:szCs w:val="21"/>
              </w:rPr>
              <w:t>Interoperabilidade (FHIR R4 / RNDS)</w:t>
            </w:r>
          </w:p>
        </w:tc>
        <w:tc>
          <w:tcPr>
            <w:tcW w:w="6560" w:type="dxa"/>
            <w:tcBorders>
              <w:top w:val="single" w:sz="1" w:space="0" w:color="BBCCE8"/>
              <w:left w:val="single" w:sz="1" w:space="0" w:color="BBCCE8"/>
              <w:bottom w:val="single" w:sz="1" w:space="0" w:color="BBCCE8"/>
              <w:right w:val="single" w:sz="1" w:space="0" w:color="BBCCE8"/>
            </w:tcBorders>
            <w:shd w:val="clear" w:color="auto" w:fill="FFFFFF"/>
            <w:tcMar>
              <w:top w:w="100" w:type="dxa"/>
              <w:left w:w="180" w:type="dxa"/>
              <w:bottom w:w="100" w:type="dxa"/>
              <w:right w:w="160" w:type="dxa"/>
            </w:tcMar>
          </w:tcPr>
          <w:p w14:paraId="6724D2CD" w14:textId="77777777" w:rsidR="006F5578" w:rsidRDefault="00000000">
            <w:pPr>
              <w:jc w:val="both"/>
            </w:pPr>
            <w:r>
              <w:rPr>
                <w:sz w:val="21"/>
                <w:szCs w:val="21"/>
              </w:rPr>
              <w:t>ALINHADO. A adoção do padrão FHIR R4 e a integração com a RNDS colocam o projeto na trajetória correta para interoperabilidade com o SUS e com sistemas privados. A Samsung já validou esse movimento ao adquirir a Xealth em julho de 2025.</w:t>
            </w:r>
          </w:p>
        </w:tc>
      </w:tr>
      <w:tr w:rsidR="006F5578" w14:paraId="3BAD438F" w14:textId="77777777">
        <w:tblPrEx>
          <w:tblCellMar>
            <w:top w:w="0" w:type="dxa"/>
            <w:bottom w:w="0" w:type="dxa"/>
          </w:tblCellMar>
        </w:tblPrEx>
        <w:tc>
          <w:tcPr>
            <w:tcW w:w="2800" w:type="dxa"/>
            <w:tcBorders>
              <w:top w:val="single" w:sz="1" w:space="0" w:color="BBCCE8"/>
              <w:left w:val="single" w:sz="1" w:space="0" w:color="BBCCE8"/>
              <w:bottom w:val="single" w:sz="1" w:space="0" w:color="BBCCE8"/>
              <w:right w:val="single" w:sz="1" w:space="0" w:color="BBCCE8"/>
            </w:tcBorders>
            <w:shd w:val="clear" w:color="auto" w:fill="F4F6FA"/>
            <w:tcMar>
              <w:top w:w="100" w:type="dxa"/>
              <w:left w:w="160" w:type="dxa"/>
              <w:bottom w:w="100" w:type="dxa"/>
              <w:right w:w="160" w:type="dxa"/>
            </w:tcMar>
            <w:vAlign w:val="center"/>
          </w:tcPr>
          <w:p w14:paraId="4DC7957D" w14:textId="77777777" w:rsidR="006F5578" w:rsidRDefault="00000000">
            <w:r>
              <w:rPr>
                <w:b/>
                <w:bCs/>
                <w:sz w:val="21"/>
                <w:szCs w:val="21"/>
              </w:rPr>
              <w:t>Saúde mental e comportamental</w:t>
            </w:r>
          </w:p>
        </w:tc>
        <w:tc>
          <w:tcPr>
            <w:tcW w:w="6560" w:type="dxa"/>
            <w:tcBorders>
              <w:top w:val="single" w:sz="1" w:space="0" w:color="BBCCE8"/>
              <w:left w:val="single" w:sz="1" w:space="0" w:color="BBCCE8"/>
              <w:bottom w:val="single" w:sz="1" w:space="0" w:color="BBCCE8"/>
              <w:right w:val="single" w:sz="1" w:space="0" w:color="BBCCE8"/>
            </w:tcBorders>
            <w:shd w:val="clear" w:color="auto" w:fill="F8FAFE"/>
            <w:tcMar>
              <w:top w:w="100" w:type="dxa"/>
              <w:left w:w="180" w:type="dxa"/>
              <w:bottom w:w="100" w:type="dxa"/>
              <w:right w:w="160" w:type="dxa"/>
            </w:tcMar>
          </w:tcPr>
          <w:p w14:paraId="7CBEB832" w14:textId="77777777" w:rsidR="006F5578" w:rsidRDefault="00000000">
            <w:pPr>
              <w:jc w:val="both"/>
            </w:pPr>
            <w:r>
              <w:rPr>
                <w:sz w:val="21"/>
                <w:szCs w:val="21"/>
              </w:rPr>
              <w:t>LACUNA. O segmento de saúde mental é o de crescimento mais rápido no mercado global (2025–2030) e está subrepresentado na proposta atual do CarePlus Predict. Incluir métricas de estresse e humor já está no escopo, mas não recebe destaque estratégico.</w:t>
            </w:r>
          </w:p>
        </w:tc>
      </w:tr>
      <w:tr w:rsidR="006F5578" w14:paraId="47B0B88B" w14:textId="77777777">
        <w:tblPrEx>
          <w:tblCellMar>
            <w:top w:w="0" w:type="dxa"/>
            <w:bottom w:w="0" w:type="dxa"/>
          </w:tblCellMar>
        </w:tblPrEx>
        <w:tc>
          <w:tcPr>
            <w:tcW w:w="2800" w:type="dxa"/>
            <w:tcBorders>
              <w:top w:val="single" w:sz="1" w:space="0" w:color="BBCCE8"/>
              <w:left w:val="single" w:sz="1" w:space="0" w:color="BBCCE8"/>
              <w:bottom w:val="single" w:sz="1" w:space="0" w:color="BBCCE8"/>
              <w:right w:val="single" w:sz="1" w:space="0" w:color="BBCCE8"/>
            </w:tcBorders>
            <w:shd w:val="clear" w:color="auto" w:fill="D6E4FF"/>
            <w:tcMar>
              <w:top w:w="100" w:type="dxa"/>
              <w:left w:w="160" w:type="dxa"/>
              <w:bottom w:w="100" w:type="dxa"/>
              <w:right w:w="160" w:type="dxa"/>
            </w:tcMar>
            <w:vAlign w:val="center"/>
          </w:tcPr>
          <w:p w14:paraId="0105A649" w14:textId="77777777" w:rsidR="006F5578" w:rsidRDefault="00000000">
            <w:r>
              <w:rPr>
                <w:b/>
                <w:bCs/>
                <w:sz w:val="21"/>
                <w:szCs w:val="21"/>
              </w:rPr>
              <w:t>Gestão de doenças crônicas</w:t>
            </w:r>
          </w:p>
        </w:tc>
        <w:tc>
          <w:tcPr>
            <w:tcW w:w="6560" w:type="dxa"/>
            <w:tcBorders>
              <w:top w:val="single" w:sz="1" w:space="0" w:color="BBCCE8"/>
              <w:left w:val="single" w:sz="1" w:space="0" w:color="BBCCE8"/>
              <w:bottom w:val="single" w:sz="1" w:space="0" w:color="BBCCE8"/>
              <w:right w:val="single" w:sz="1" w:space="0" w:color="BBCCE8"/>
            </w:tcBorders>
            <w:shd w:val="clear" w:color="auto" w:fill="FFFFFF"/>
            <w:tcMar>
              <w:top w:w="100" w:type="dxa"/>
              <w:left w:w="180" w:type="dxa"/>
              <w:bottom w:w="100" w:type="dxa"/>
              <w:right w:w="160" w:type="dxa"/>
            </w:tcMar>
          </w:tcPr>
          <w:p w14:paraId="50C8F01F" w14:textId="77777777" w:rsidR="006F5578" w:rsidRDefault="00000000">
            <w:pPr>
              <w:jc w:val="both"/>
            </w:pPr>
            <w:r>
              <w:rPr>
                <w:sz w:val="21"/>
                <w:szCs w:val="21"/>
              </w:rPr>
              <w:t>PARCIALMENTE ALINHADO. O mercado de gestão de crônicos (diabetes, hipertensão) é o maior e mais maduro do setor. O projeto não se especializa em uma condição específica — o que pode ser tanto uma vantagem (plataforma horizontal) quanto um risco (falta de profundidade clínica).</w:t>
            </w:r>
          </w:p>
        </w:tc>
      </w:tr>
      <w:tr w:rsidR="006F5578" w14:paraId="577FB9ED" w14:textId="77777777">
        <w:tblPrEx>
          <w:tblCellMar>
            <w:top w:w="0" w:type="dxa"/>
            <w:bottom w:w="0" w:type="dxa"/>
          </w:tblCellMar>
        </w:tblPrEx>
        <w:tc>
          <w:tcPr>
            <w:tcW w:w="2800" w:type="dxa"/>
            <w:tcBorders>
              <w:top w:val="single" w:sz="1" w:space="0" w:color="BBCCE8"/>
              <w:left w:val="single" w:sz="1" w:space="0" w:color="BBCCE8"/>
              <w:bottom w:val="single" w:sz="1" w:space="0" w:color="BBCCE8"/>
              <w:right w:val="single" w:sz="1" w:space="0" w:color="BBCCE8"/>
            </w:tcBorders>
            <w:shd w:val="clear" w:color="auto" w:fill="F4F6FA"/>
            <w:tcMar>
              <w:top w:w="100" w:type="dxa"/>
              <w:left w:w="160" w:type="dxa"/>
              <w:bottom w:w="100" w:type="dxa"/>
              <w:right w:w="160" w:type="dxa"/>
            </w:tcMar>
            <w:vAlign w:val="center"/>
          </w:tcPr>
          <w:p w14:paraId="61A48549" w14:textId="77777777" w:rsidR="006F5578" w:rsidRDefault="00000000">
            <w:r>
              <w:rPr>
                <w:b/>
                <w:bCs/>
                <w:sz w:val="21"/>
                <w:szCs w:val="21"/>
              </w:rPr>
              <w:t>Conformidade regulatória como ativo</w:t>
            </w:r>
          </w:p>
        </w:tc>
        <w:tc>
          <w:tcPr>
            <w:tcW w:w="6560" w:type="dxa"/>
            <w:tcBorders>
              <w:top w:val="single" w:sz="1" w:space="0" w:color="BBCCE8"/>
              <w:left w:val="single" w:sz="1" w:space="0" w:color="BBCCE8"/>
              <w:bottom w:val="single" w:sz="1" w:space="0" w:color="BBCCE8"/>
              <w:right w:val="single" w:sz="1" w:space="0" w:color="BBCCE8"/>
            </w:tcBorders>
            <w:shd w:val="clear" w:color="auto" w:fill="F8FAFE"/>
            <w:tcMar>
              <w:top w:w="100" w:type="dxa"/>
              <w:left w:w="180" w:type="dxa"/>
              <w:bottom w:w="100" w:type="dxa"/>
              <w:right w:w="160" w:type="dxa"/>
            </w:tcMar>
          </w:tcPr>
          <w:p w14:paraId="7F9A24B9" w14:textId="77777777" w:rsidR="006F5578" w:rsidRDefault="00000000">
            <w:pPr>
              <w:jc w:val="both"/>
            </w:pPr>
            <w:r>
              <w:rPr>
                <w:sz w:val="21"/>
                <w:szCs w:val="21"/>
              </w:rPr>
              <w:t>OPORTUNIDADE. No mercado brasileiro, a certificação ANVISA para SaMD é uma barreira de entrada que, uma vez superada, torna-se vantagem competitiva. Poucas startups locais têm percorrido esse caminho. A Care Plus como parceira facilita esse processo.</w:t>
            </w:r>
          </w:p>
        </w:tc>
      </w:tr>
      <w:tr w:rsidR="006F5578" w14:paraId="32763BD3" w14:textId="77777777">
        <w:tblPrEx>
          <w:tblCellMar>
            <w:top w:w="0" w:type="dxa"/>
            <w:bottom w:w="0" w:type="dxa"/>
          </w:tblCellMar>
        </w:tblPrEx>
        <w:tc>
          <w:tcPr>
            <w:tcW w:w="2800" w:type="dxa"/>
            <w:tcBorders>
              <w:top w:val="single" w:sz="1" w:space="0" w:color="BBCCE8"/>
              <w:left w:val="single" w:sz="1" w:space="0" w:color="BBCCE8"/>
              <w:bottom w:val="single" w:sz="1" w:space="0" w:color="BBCCE8"/>
              <w:right w:val="single" w:sz="1" w:space="0" w:color="BBCCE8"/>
            </w:tcBorders>
            <w:shd w:val="clear" w:color="auto" w:fill="D6E4FF"/>
            <w:tcMar>
              <w:top w:w="100" w:type="dxa"/>
              <w:left w:w="160" w:type="dxa"/>
              <w:bottom w:w="100" w:type="dxa"/>
              <w:right w:w="160" w:type="dxa"/>
            </w:tcMar>
            <w:vAlign w:val="center"/>
          </w:tcPr>
          <w:p w14:paraId="5A0CA884" w14:textId="77777777" w:rsidR="006F5578" w:rsidRDefault="00000000">
            <w:r>
              <w:rPr>
                <w:b/>
                <w:bCs/>
                <w:sz w:val="21"/>
                <w:szCs w:val="21"/>
              </w:rPr>
              <w:t>Modelo direto ao consumidor (D2C)</w:t>
            </w:r>
          </w:p>
        </w:tc>
        <w:tc>
          <w:tcPr>
            <w:tcW w:w="6560" w:type="dxa"/>
            <w:tcBorders>
              <w:top w:val="single" w:sz="1" w:space="0" w:color="BBCCE8"/>
              <w:left w:val="single" w:sz="1" w:space="0" w:color="BBCCE8"/>
              <w:bottom w:val="single" w:sz="1" w:space="0" w:color="BBCCE8"/>
              <w:right w:val="single" w:sz="1" w:space="0" w:color="BBCCE8"/>
            </w:tcBorders>
            <w:shd w:val="clear" w:color="auto" w:fill="FFFFFF"/>
            <w:tcMar>
              <w:top w:w="100" w:type="dxa"/>
              <w:left w:w="180" w:type="dxa"/>
              <w:bottom w:w="100" w:type="dxa"/>
              <w:right w:w="160" w:type="dxa"/>
            </w:tcMar>
          </w:tcPr>
          <w:p w14:paraId="32A9AD9D" w14:textId="77777777" w:rsidR="006F5578" w:rsidRDefault="00000000">
            <w:pPr>
              <w:jc w:val="both"/>
            </w:pPr>
            <w:r>
              <w:rPr>
                <w:sz w:val="21"/>
                <w:szCs w:val="21"/>
              </w:rPr>
              <w:t xml:space="preserve">RISCO A MONITORAR. Na América Latina, modelos D2C dominam (Mevo, 1DOC3, Alice), mas dependem de escala de usuários para sustentabilidade. O CarePlus Predict, ao se </w:t>
            </w:r>
            <w:r>
              <w:rPr>
                <w:sz w:val="21"/>
                <w:szCs w:val="21"/>
              </w:rPr>
              <w:lastRenderedPageBreak/>
              <w:t>posicionar via operadora de saúde (B2B2C), mitiga esse risco — mas limita a velocidade de crescimento inicial.</w:t>
            </w:r>
          </w:p>
        </w:tc>
      </w:tr>
    </w:tbl>
    <w:p w14:paraId="7CE1D4AE" w14:textId="77777777" w:rsidR="006F5578" w:rsidRDefault="006F5578">
      <w:pPr>
        <w:spacing w:before="40" w:after="40"/>
      </w:pPr>
    </w:p>
    <w:p w14:paraId="7EA91EE7" w14:textId="77777777" w:rsidR="006F5578" w:rsidRDefault="00000000">
      <w:pPr>
        <w:pStyle w:val="Heading2"/>
      </w:pPr>
      <w:bookmarkStart w:id="17" w:name="_Toc224315152"/>
      <w:r>
        <w:t>4.2 Benchmarks de referência no mercado</w:t>
      </w:r>
      <w:bookmarkEnd w:id="17"/>
    </w:p>
    <w:p w14:paraId="39138253" w14:textId="77777777" w:rsidR="006F5578" w:rsidRDefault="00000000">
      <w:pPr>
        <w:spacing w:before="80" w:after="100"/>
        <w:jc w:val="both"/>
      </w:pPr>
      <w:r>
        <w:t>A tabela abaixo apresenta produtos e startups que ocupam segmentos adjacentes ao CarePlus Predict, com análise de como o projeto se diferencia ou compete com cada um:</w:t>
      </w:r>
    </w:p>
    <w:p w14:paraId="3C7B6E1D" w14:textId="77777777" w:rsidR="006F5578" w:rsidRDefault="006F557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F5578" w14:paraId="30A35E8C" w14:textId="77777777">
        <w:tblPrEx>
          <w:tblCellMar>
            <w:top w:w="0" w:type="dxa"/>
            <w:bottom w:w="0" w:type="dxa"/>
          </w:tblCellMar>
        </w:tblPrEx>
        <w:tc>
          <w:tcPr>
            <w:tcW w:w="2340" w:type="dxa"/>
            <w:tcBorders>
              <w:top w:val="single" w:sz="1" w:space="0" w:color="0D3BB3"/>
              <w:left w:val="single" w:sz="1" w:space="0" w:color="0D3BB3"/>
              <w:bottom w:val="single" w:sz="1" w:space="0" w:color="0D3BB3"/>
              <w:right w:val="single" w:sz="1" w:space="0" w:color="0D3BB3"/>
            </w:tcBorders>
            <w:shd w:val="clear" w:color="auto" w:fill="0D3BB3"/>
            <w:tcMar>
              <w:top w:w="100" w:type="dxa"/>
              <w:left w:w="120" w:type="dxa"/>
              <w:bottom w:w="100" w:type="dxa"/>
              <w:right w:w="120" w:type="dxa"/>
            </w:tcMar>
          </w:tcPr>
          <w:p w14:paraId="663C1EB5" w14:textId="77777777" w:rsidR="006F5578" w:rsidRDefault="00000000">
            <w:pPr>
              <w:jc w:val="center"/>
            </w:pPr>
            <w:r>
              <w:rPr>
                <w:b/>
                <w:bCs/>
                <w:color w:val="FFFFFF"/>
                <w:sz w:val="20"/>
                <w:szCs w:val="20"/>
              </w:rPr>
              <w:t>Empresa / Produto</w:t>
            </w:r>
          </w:p>
        </w:tc>
        <w:tc>
          <w:tcPr>
            <w:tcW w:w="2340" w:type="dxa"/>
            <w:tcBorders>
              <w:top w:val="single" w:sz="1" w:space="0" w:color="0D3BB3"/>
              <w:left w:val="single" w:sz="1" w:space="0" w:color="0D3BB3"/>
              <w:bottom w:val="single" w:sz="1" w:space="0" w:color="0D3BB3"/>
              <w:right w:val="single" w:sz="1" w:space="0" w:color="0D3BB3"/>
            </w:tcBorders>
            <w:shd w:val="clear" w:color="auto" w:fill="0D3BB3"/>
            <w:tcMar>
              <w:top w:w="100" w:type="dxa"/>
              <w:left w:w="120" w:type="dxa"/>
              <w:bottom w:w="100" w:type="dxa"/>
              <w:right w:w="120" w:type="dxa"/>
            </w:tcMar>
          </w:tcPr>
          <w:p w14:paraId="2B72ED3B" w14:textId="77777777" w:rsidR="006F5578" w:rsidRDefault="00000000">
            <w:pPr>
              <w:jc w:val="center"/>
            </w:pPr>
            <w:r>
              <w:rPr>
                <w:b/>
                <w:bCs/>
                <w:color w:val="FFFFFF"/>
                <w:sz w:val="20"/>
                <w:szCs w:val="20"/>
              </w:rPr>
              <w:t>País / Foco</w:t>
            </w:r>
          </w:p>
        </w:tc>
        <w:tc>
          <w:tcPr>
            <w:tcW w:w="2340" w:type="dxa"/>
            <w:tcBorders>
              <w:top w:val="single" w:sz="1" w:space="0" w:color="0D3BB3"/>
              <w:left w:val="single" w:sz="1" w:space="0" w:color="0D3BB3"/>
              <w:bottom w:val="single" w:sz="1" w:space="0" w:color="0D3BB3"/>
              <w:right w:val="single" w:sz="1" w:space="0" w:color="0D3BB3"/>
            </w:tcBorders>
            <w:shd w:val="clear" w:color="auto" w:fill="0D3BB3"/>
            <w:tcMar>
              <w:top w:w="100" w:type="dxa"/>
              <w:left w:w="120" w:type="dxa"/>
              <w:bottom w:w="100" w:type="dxa"/>
              <w:right w:w="120" w:type="dxa"/>
            </w:tcMar>
          </w:tcPr>
          <w:p w14:paraId="7303C45A" w14:textId="77777777" w:rsidR="006F5578" w:rsidRDefault="00000000">
            <w:pPr>
              <w:jc w:val="center"/>
            </w:pPr>
            <w:r>
              <w:rPr>
                <w:b/>
                <w:bCs/>
                <w:color w:val="FFFFFF"/>
                <w:sz w:val="20"/>
                <w:szCs w:val="20"/>
              </w:rPr>
              <w:t>O que fazem</w:t>
            </w:r>
          </w:p>
        </w:tc>
        <w:tc>
          <w:tcPr>
            <w:tcW w:w="2340" w:type="dxa"/>
            <w:tcBorders>
              <w:top w:val="single" w:sz="1" w:space="0" w:color="0D3BB3"/>
              <w:left w:val="single" w:sz="1" w:space="0" w:color="0D3BB3"/>
              <w:bottom w:val="single" w:sz="1" w:space="0" w:color="0D3BB3"/>
              <w:right w:val="single" w:sz="1" w:space="0" w:color="0D3BB3"/>
            </w:tcBorders>
            <w:shd w:val="clear" w:color="auto" w:fill="0D3BB3"/>
            <w:tcMar>
              <w:top w:w="100" w:type="dxa"/>
              <w:left w:w="120" w:type="dxa"/>
              <w:bottom w:w="100" w:type="dxa"/>
              <w:right w:w="120" w:type="dxa"/>
            </w:tcMar>
          </w:tcPr>
          <w:p w14:paraId="72909B51" w14:textId="77777777" w:rsidR="006F5578" w:rsidRDefault="00000000">
            <w:pPr>
              <w:jc w:val="center"/>
            </w:pPr>
            <w:r>
              <w:rPr>
                <w:b/>
                <w:bCs/>
                <w:color w:val="FFFFFF"/>
                <w:sz w:val="20"/>
                <w:szCs w:val="20"/>
              </w:rPr>
              <w:t>Relação com CarePlus Predict</w:t>
            </w:r>
          </w:p>
        </w:tc>
      </w:tr>
      <w:tr w:rsidR="006F5578" w14:paraId="72DEFC71" w14:textId="77777777">
        <w:tblPrEx>
          <w:tblCellMar>
            <w:top w:w="0" w:type="dxa"/>
            <w:bottom w:w="0" w:type="dxa"/>
          </w:tblCellMar>
        </w:tblPrEx>
        <w:tc>
          <w:tcPr>
            <w:tcW w:w="234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066EFEE6" w14:textId="77777777" w:rsidR="006F5578" w:rsidRDefault="00000000">
            <w:r>
              <w:rPr>
                <w:b/>
                <w:bCs/>
                <w:sz w:val="20"/>
                <w:szCs w:val="20"/>
              </w:rPr>
              <w:t>DexCom + Vertex AI</w:t>
            </w:r>
          </w:p>
        </w:tc>
        <w:tc>
          <w:tcPr>
            <w:tcW w:w="234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6B356F74" w14:textId="77777777" w:rsidR="006F5578" w:rsidRDefault="00000000">
            <w:pPr>
              <w:jc w:val="center"/>
            </w:pPr>
            <w:r>
              <w:rPr>
                <w:sz w:val="20"/>
                <w:szCs w:val="20"/>
              </w:rPr>
              <w:t>EUA — Diabetes</w:t>
            </w:r>
          </w:p>
        </w:tc>
        <w:tc>
          <w:tcPr>
            <w:tcW w:w="234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7C01B44A" w14:textId="77777777" w:rsidR="006F5578" w:rsidRDefault="00000000">
            <w:pPr>
              <w:jc w:val="center"/>
            </w:pPr>
            <w:r>
              <w:rPr>
                <w:sz w:val="20"/>
                <w:szCs w:val="20"/>
              </w:rPr>
              <w:t>Monitoramento contínuo de glicose com IA generativa para insights personalizados</w:t>
            </w:r>
          </w:p>
        </w:tc>
        <w:tc>
          <w:tcPr>
            <w:tcW w:w="234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686E8486" w14:textId="77777777" w:rsidR="006F5578" w:rsidRDefault="00000000">
            <w:pPr>
              <w:jc w:val="center"/>
            </w:pPr>
            <w:r>
              <w:rPr>
                <w:sz w:val="20"/>
                <w:szCs w:val="20"/>
              </w:rPr>
              <w:t>Referência de maturidade: mostra o que um modelo preditivo especializado alcança com dados proprietários massivos</w:t>
            </w:r>
          </w:p>
        </w:tc>
      </w:tr>
      <w:tr w:rsidR="006F5578" w14:paraId="67F02DA7" w14:textId="77777777">
        <w:tblPrEx>
          <w:tblCellMar>
            <w:top w:w="0" w:type="dxa"/>
            <w:bottom w:w="0" w:type="dxa"/>
          </w:tblCellMar>
        </w:tblPrEx>
        <w:tc>
          <w:tcPr>
            <w:tcW w:w="234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6F876D3D" w14:textId="77777777" w:rsidR="006F5578" w:rsidRDefault="00000000">
            <w:r>
              <w:rPr>
                <w:b/>
                <w:bCs/>
                <w:sz w:val="20"/>
                <w:szCs w:val="20"/>
              </w:rPr>
              <w:t>Apple Watch + Health Records</w:t>
            </w:r>
          </w:p>
        </w:tc>
        <w:tc>
          <w:tcPr>
            <w:tcW w:w="234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3976B678" w14:textId="77777777" w:rsidR="006F5578" w:rsidRDefault="00000000">
            <w:pPr>
              <w:jc w:val="center"/>
            </w:pPr>
            <w:r>
              <w:rPr>
                <w:sz w:val="20"/>
                <w:szCs w:val="20"/>
              </w:rPr>
              <w:t>Global — Cardiovascular</w:t>
            </w:r>
          </w:p>
        </w:tc>
        <w:tc>
          <w:tcPr>
            <w:tcW w:w="234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1A42F66F" w14:textId="77777777" w:rsidR="006F5578" w:rsidRDefault="00000000">
            <w:pPr>
              <w:jc w:val="center"/>
            </w:pPr>
            <w:r>
              <w:rPr>
                <w:sz w:val="20"/>
                <w:szCs w:val="20"/>
              </w:rPr>
              <w:t>Integração de dados de wearable com prontuários hospitalares via FHIR</w:t>
            </w:r>
          </w:p>
        </w:tc>
        <w:tc>
          <w:tcPr>
            <w:tcW w:w="234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15F4B5D3" w14:textId="77777777" w:rsidR="006F5578" w:rsidRDefault="00000000">
            <w:pPr>
              <w:jc w:val="center"/>
            </w:pPr>
            <w:r>
              <w:rPr>
                <w:sz w:val="20"/>
                <w:szCs w:val="20"/>
              </w:rPr>
              <w:t>Valida a arquitetura de integração. Competidor potencial se/quando Apple expandir saúde preditiva</w:t>
            </w:r>
          </w:p>
        </w:tc>
      </w:tr>
      <w:tr w:rsidR="006F5578" w14:paraId="63806B6F" w14:textId="77777777">
        <w:tblPrEx>
          <w:tblCellMar>
            <w:top w:w="0" w:type="dxa"/>
            <w:bottom w:w="0" w:type="dxa"/>
          </w:tblCellMar>
        </w:tblPrEx>
        <w:tc>
          <w:tcPr>
            <w:tcW w:w="234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04143CE2" w14:textId="77777777" w:rsidR="006F5578" w:rsidRDefault="00000000">
            <w:r>
              <w:rPr>
                <w:b/>
                <w:bCs/>
                <w:sz w:val="20"/>
                <w:szCs w:val="20"/>
              </w:rPr>
              <w:t>Samsung Health + Xealth</w:t>
            </w:r>
          </w:p>
        </w:tc>
        <w:tc>
          <w:tcPr>
            <w:tcW w:w="234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17705C15" w14:textId="77777777" w:rsidR="006F5578" w:rsidRDefault="00000000">
            <w:pPr>
              <w:jc w:val="center"/>
            </w:pPr>
            <w:r>
              <w:rPr>
                <w:sz w:val="20"/>
                <w:szCs w:val="20"/>
              </w:rPr>
              <w:t>Global — Workflow clínico</w:t>
            </w:r>
          </w:p>
        </w:tc>
        <w:tc>
          <w:tcPr>
            <w:tcW w:w="234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4C894B06" w14:textId="77777777" w:rsidR="006F5578" w:rsidRDefault="00000000">
            <w:pPr>
              <w:jc w:val="center"/>
            </w:pPr>
            <w:r>
              <w:rPr>
                <w:sz w:val="20"/>
                <w:szCs w:val="20"/>
              </w:rPr>
              <w:t>Integração de dados de wearable Samsung em workflows clínicos (aquisição jul/2025)</w:t>
            </w:r>
          </w:p>
        </w:tc>
        <w:tc>
          <w:tcPr>
            <w:tcW w:w="234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4A100443" w14:textId="77777777" w:rsidR="006F5578" w:rsidRDefault="00000000">
            <w:pPr>
              <w:jc w:val="center"/>
            </w:pPr>
            <w:r>
              <w:rPr>
                <w:sz w:val="20"/>
                <w:szCs w:val="20"/>
              </w:rPr>
              <w:t>Parceiro estratégico de curto prazo; competidor potencial de longo prazo</w:t>
            </w:r>
          </w:p>
        </w:tc>
      </w:tr>
      <w:tr w:rsidR="006F5578" w14:paraId="07DC8A8D" w14:textId="77777777">
        <w:tblPrEx>
          <w:tblCellMar>
            <w:top w:w="0" w:type="dxa"/>
            <w:bottom w:w="0" w:type="dxa"/>
          </w:tblCellMar>
        </w:tblPrEx>
        <w:tc>
          <w:tcPr>
            <w:tcW w:w="234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50A66D25" w14:textId="77777777" w:rsidR="006F5578" w:rsidRDefault="00000000">
            <w:r>
              <w:rPr>
                <w:b/>
                <w:bCs/>
                <w:sz w:val="20"/>
                <w:szCs w:val="20"/>
              </w:rPr>
              <w:t>Alice (Brasil)</w:t>
            </w:r>
          </w:p>
        </w:tc>
        <w:tc>
          <w:tcPr>
            <w:tcW w:w="234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1BB60CE5" w14:textId="77777777" w:rsidR="006F5578" w:rsidRDefault="00000000">
            <w:pPr>
              <w:jc w:val="center"/>
            </w:pPr>
            <w:r>
              <w:rPr>
                <w:sz w:val="20"/>
                <w:szCs w:val="20"/>
              </w:rPr>
              <w:t>Brasil — Plano de saúde tech</w:t>
            </w:r>
          </w:p>
        </w:tc>
        <w:tc>
          <w:tcPr>
            <w:tcW w:w="234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3219689C" w14:textId="77777777" w:rsidR="006F5578" w:rsidRDefault="00000000">
            <w:pPr>
              <w:jc w:val="center"/>
            </w:pPr>
            <w:r>
              <w:rPr>
                <w:sz w:val="20"/>
                <w:szCs w:val="20"/>
              </w:rPr>
              <w:t>Plano de saúde com app, telemedicina 24h e rede credenciada integrada</w:t>
            </w:r>
          </w:p>
        </w:tc>
        <w:tc>
          <w:tcPr>
            <w:tcW w:w="234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13CF0416" w14:textId="77777777" w:rsidR="006F5578" w:rsidRDefault="00000000">
            <w:pPr>
              <w:jc w:val="center"/>
            </w:pPr>
            <w:r>
              <w:rPr>
                <w:sz w:val="20"/>
                <w:szCs w:val="20"/>
              </w:rPr>
              <w:t>Modelo de negócio diferente (operadora), mas disputa o mesmo usuário final</w:t>
            </w:r>
          </w:p>
        </w:tc>
      </w:tr>
      <w:tr w:rsidR="006F5578" w14:paraId="17D77A5C" w14:textId="77777777">
        <w:tblPrEx>
          <w:tblCellMar>
            <w:top w:w="0" w:type="dxa"/>
            <w:bottom w:w="0" w:type="dxa"/>
          </w:tblCellMar>
        </w:tblPrEx>
        <w:tc>
          <w:tcPr>
            <w:tcW w:w="234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32BBEC6F" w14:textId="77777777" w:rsidR="006F5578" w:rsidRDefault="00000000">
            <w:r>
              <w:rPr>
                <w:b/>
                <w:bCs/>
                <w:sz w:val="20"/>
                <w:szCs w:val="20"/>
              </w:rPr>
              <w:t>Conexa Saúde (Brasil)</w:t>
            </w:r>
          </w:p>
        </w:tc>
        <w:tc>
          <w:tcPr>
            <w:tcW w:w="234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6E6A346A" w14:textId="77777777" w:rsidR="006F5578" w:rsidRDefault="00000000">
            <w:pPr>
              <w:jc w:val="center"/>
            </w:pPr>
            <w:r>
              <w:rPr>
                <w:sz w:val="20"/>
                <w:szCs w:val="20"/>
              </w:rPr>
              <w:t>Brasil — Telemedicina B2B</w:t>
            </w:r>
          </w:p>
        </w:tc>
        <w:tc>
          <w:tcPr>
            <w:tcW w:w="234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7B69BB65" w14:textId="77777777" w:rsidR="006F5578" w:rsidRDefault="00000000">
            <w:pPr>
              <w:jc w:val="center"/>
            </w:pPr>
            <w:r>
              <w:rPr>
                <w:sz w:val="20"/>
                <w:szCs w:val="20"/>
              </w:rPr>
              <w:t>Plataforma de telemedicina para empresas e clínicas</w:t>
            </w:r>
          </w:p>
        </w:tc>
        <w:tc>
          <w:tcPr>
            <w:tcW w:w="234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2246F952" w14:textId="77777777" w:rsidR="006F5578" w:rsidRDefault="00000000">
            <w:pPr>
              <w:jc w:val="center"/>
            </w:pPr>
            <w:r>
              <w:rPr>
                <w:sz w:val="20"/>
                <w:szCs w:val="20"/>
              </w:rPr>
              <w:t>Potencial parceiro de integração (API de teleconsulta)</w:t>
            </w:r>
          </w:p>
        </w:tc>
      </w:tr>
      <w:tr w:rsidR="006F5578" w14:paraId="2116E7DB" w14:textId="77777777">
        <w:tblPrEx>
          <w:tblCellMar>
            <w:top w:w="0" w:type="dxa"/>
            <w:bottom w:w="0" w:type="dxa"/>
          </w:tblCellMar>
        </w:tblPrEx>
        <w:tc>
          <w:tcPr>
            <w:tcW w:w="234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407DDE68" w14:textId="77777777" w:rsidR="006F5578" w:rsidRDefault="00000000">
            <w:r>
              <w:rPr>
                <w:b/>
                <w:bCs/>
                <w:sz w:val="20"/>
                <w:szCs w:val="20"/>
              </w:rPr>
              <w:t>Sami (Brasil)</w:t>
            </w:r>
          </w:p>
        </w:tc>
        <w:tc>
          <w:tcPr>
            <w:tcW w:w="234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37CA2475" w14:textId="77777777" w:rsidR="006F5578" w:rsidRDefault="00000000">
            <w:pPr>
              <w:jc w:val="center"/>
            </w:pPr>
            <w:r>
              <w:rPr>
                <w:sz w:val="20"/>
                <w:szCs w:val="20"/>
              </w:rPr>
              <w:t>Brasil — Plano tech acessível</w:t>
            </w:r>
          </w:p>
        </w:tc>
        <w:tc>
          <w:tcPr>
            <w:tcW w:w="234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60E56CD3" w14:textId="77777777" w:rsidR="006F5578" w:rsidRDefault="00000000">
            <w:pPr>
              <w:jc w:val="center"/>
            </w:pPr>
            <w:r>
              <w:rPr>
                <w:sz w:val="20"/>
                <w:szCs w:val="20"/>
              </w:rPr>
              <w:t>Operadora de saúde focada em telemedicina com proposta de custo reduzido</w:t>
            </w:r>
          </w:p>
        </w:tc>
        <w:tc>
          <w:tcPr>
            <w:tcW w:w="234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5C8CD010" w14:textId="77777777" w:rsidR="006F5578" w:rsidRDefault="00000000">
            <w:pPr>
              <w:jc w:val="center"/>
            </w:pPr>
            <w:r>
              <w:rPr>
                <w:sz w:val="20"/>
                <w:szCs w:val="20"/>
              </w:rPr>
              <w:t>Referência de custeabilidade no mercado brasileiro; valida o nicho</w:t>
            </w:r>
          </w:p>
        </w:tc>
      </w:tr>
      <w:tr w:rsidR="006F5578" w14:paraId="23842157" w14:textId="77777777">
        <w:tblPrEx>
          <w:tblCellMar>
            <w:top w:w="0" w:type="dxa"/>
            <w:bottom w:w="0" w:type="dxa"/>
          </w:tblCellMar>
        </w:tblPrEx>
        <w:tc>
          <w:tcPr>
            <w:tcW w:w="234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06C98192" w14:textId="77777777" w:rsidR="006F5578" w:rsidRDefault="00000000">
            <w:r>
              <w:rPr>
                <w:b/>
                <w:bCs/>
                <w:sz w:val="20"/>
                <w:szCs w:val="20"/>
              </w:rPr>
              <w:t>Clivi (México)</w:t>
            </w:r>
          </w:p>
        </w:tc>
        <w:tc>
          <w:tcPr>
            <w:tcW w:w="234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7B7C7CAD" w14:textId="77777777" w:rsidR="006F5578" w:rsidRDefault="00000000">
            <w:pPr>
              <w:jc w:val="center"/>
            </w:pPr>
            <w:r>
              <w:rPr>
                <w:sz w:val="20"/>
                <w:szCs w:val="20"/>
              </w:rPr>
              <w:t>México — Crônicos</w:t>
            </w:r>
          </w:p>
        </w:tc>
        <w:tc>
          <w:tcPr>
            <w:tcW w:w="234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71C7F35A" w14:textId="77777777" w:rsidR="006F5578" w:rsidRDefault="00000000">
            <w:pPr>
              <w:jc w:val="center"/>
            </w:pPr>
            <w:r>
              <w:rPr>
                <w:sz w:val="20"/>
                <w:szCs w:val="20"/>
              </w:rPr>
              <w:t>Plataforma digital para gestão precoce de doenças crônicas com educação personalizada</w:t>
            </w:r>
          </w:p>
        </w:tc>
        <w:tc>
          <w:tcPr>
            <w:tcW w:w="234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1ECFC34D" w14:textId="77777777" w:rsidR="006F5578" w:rsidRDefault="00000000">
            <w:pPr>
              <w:jc w:val="center"/>
            </w:pPr>
            <w:r>
              <w:rPr>
                <w:sz w:val="20"/>
                <w:szCs w:val="20"/>
              </w:rPr>
              <w:t>Modelo focado (uma condição) que valida a estratégia de nicho especializado</w:t>
            </w:r>
          </w:p>
        </w:tc>
      </w:tr>
      <w:tr w:rsidR="006F5578" w14:paraId="7B864B60" w14:textId="77777777">
        <w:tblPrEx>
          <w:tblCellMar>
            <w:top w:w="0" w:type="dxa"/>
            <w:bottom w:w="0" w:type="dxa"/>
          </w:tblCellMar>
        </w:tblPrEx>
        <w:tc>
          <w:tcPr>
            <w:tcW w:w="234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1EFFBB35" w14:textId="77777777" w:rsidR="006F5578" w:rsidRDefault="00000000">
            <w:r>
              <w:rPr>
                <w:b/>
                <w:bCs/>
                <w:sz w:val="20"/>
                <w:szCs w:val="20"/>
              </w:rPr>
              <w:t>1DOC3 (Colômbia)</w:t>
            </w:r>
          </w:p>
        </w:tc>
        <w:tc>
          <w:tcPr>
            <w:tcW w:w="234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53BDA75C" w14:textId="77777777" w:rsidR="006F5578" w:rsidRDefault="00000000">
            <w:pPr>
              <w:jc w:val="center"/>
            </w:pPr>
            <w:r>
              <w:rPr>
                <w:sz w:val="20"/>
                <w:szCs w:val="20"/>
              </w:rPr>
              <w:t>LatAm — Acesso</w:t>
            </w:r>
          </w:p>
        </w:tc>
        <w:tc>
          <w:tcPr>
            <w:tcW w:w="234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2DCA5CB9" w14:textId="77777777" w:rsidR="006F5578" w:rsidRDefault="00000000">
            <w:pPr>
              <w:jc w:val="center"/>
            </w:pPr>
            <w:r>
              <w:rPr>
                <w:sz w:val="20"/>
                <w:szCs w:val="20"/>
              </w:rPr>
              <w:t>Telemedicina via WhatsApp e chat com IA para reduzir custo e tempo de espera</w:t>
            </w:r>
          </w:p>
        </w:tc>
        <w:tc>
          <w:tcPr>
            <w:tcW w:w="234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4753F90D" w14:textId="77777777" w:rsidR="006F5578" w:rsidRDefault="00000000">
            <w:pPr>
              <w:jc w:val="center"/>
            </w:pPr>
            <w:r>
              <w:rPr>
                <w:sz w:val="20"/>
                <w:szCs w:val="20"/>
              </w:rPr>
              <w:t>Mostra que custeabilidade + AI em LatAm tem tração real com usuários de baixa renda</w:t>
            </w:r>
          </w:p>
        </w:tc>
      </w:tr>
    </w:tbl>
    <w:p w14:paraId="6A06920A" w14:textId="77777777" w:rsidR="006F5578" w:rsidRDefault="006F5578">
      <w:pPr>
        <w:spacing w:before="40" w:after="40"/>
      </w:pPr>
    </w:p>
    <w:p w14:paraId="191D86B1" w14:textId="77777777" w:rsidR="006F5578" w:rsidRDefault="00000000">
      <w:pPr>
        <w:pStyle w:val="Heading2"/>
      </w:pPr>
      <w:bookmarkStart w:id="18" w:name="_Toc224315153"/>
      <w:r>
        <w:lastRenderedPageBreak/>
        <w:t>4.3 O diferencial de custeabilidade — análise aprofundada</w:t>
      </w:r>
      <w:bookmarkEnd w:id="18"/>
    </w:p>
    <w:p w14:paraId="1CC4EDD9" w14:textId="77777777" w:rsidR="006F5578" w:rsidRDefault="00000000">
      <w:pPr>
        <w:spacing w:before="80" w:after="100"/>
        <w:jc w:val="both"/>
      </w:pPr>
      <w:r>
        <w:t>A premissa de custeabilidade do CarePlus Predict merece análise dedicada porque é simultaneamente o maior diferencial potencial do projeto e o aspecto menos detalhado na documentação atual.</w:t>
      </w:r>
    </w:p>
    <w:p w14:paraId="49E5647D" w14:textId="77777777" w:rsidR="006F5578" w:rsidRDefault="00000000">
      <w:pPr>
        <w:spacing w:before="80" w:after="100"/>
        <w:jc w:val="both"/>
      </w:pPr>
      <w:r>
        <w:t>O mercado global de healthtech com IA tem um problema de custo que raramente é discutido abertamente: o custo de inferência de modelos de ML em escala — especialmente modelos de séries temporais rodando continuamente sobre dados de wearable — pode ser proibitivo para operadoras de saúde com margens apertadas ou para usuários que pagam diretamente. Um sistema que roda inferências de 5 modelos simultâneos para cada usuário, 24 horas por dia, pode custar centenas de dólares por usuário por ano apenas em infraestrutura de computação.</w:t>
      </w:r>
    </w:p>
    <w:p w14:paraId="004CF445" w14:textId="77777777" w:rsidR="006F5578" w:rsidRDefault="006F557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5578" w14:paraId="1279E60C" w14:textId="77777777">
        <w:tblPrEx>
          <w:tblCellMar>
            <w:top w:w="0" w:type="dxa"/>
            <w:bottom w:w="0" w:type="dxa"/>
          </w:tblCellMar>
        </w:tblPrEx>
        <w:tc>
          <w:tcPr>
            <w:tcW w:w="9360" w:type="dxa"/>
            <w:tcBorders>
              <w:top w:val="single" w:sz="1" w:space="0" w:color="FFF0CC"/>
              <w:left w:val="single" w:sz="1" w:space="0" w:color="FFF0CC"/>
              <w:bottom w:val="single" w:sz="1" w:space="0" w:color="FFF0CC"/>
              <w:right w:val="single" w:sz="1" w:space="0" w:color="FFF0CC"/>
            </w:tcBorders>
            <w:shd w:val="clear" w:color="auto" w:fill="FFF0CC"/>
            <w:tcMar>
              <w:top w:w="160" w:type="dxa"/>
              <w:left w:w="240" w:type="dxa"/>
              <w:bottom w:w="160" w:type="dxa"/>
              <w:right w:w="240" w:type="dxa"/>
            </w:tcMar>
          </w:tcPr>
          <w:p w14:paraId="23439AEA" w14:textId="77777777" w:rsidR="006F5578" w:rsidRDefault="00000000">
            <w:pPr>
              <w:spacing w:after="60"/>
            </w:pPr>
            <w:r>
              <w:rPr>
                <w:b/>
                <w:bCs/>
                <w:color w:val="A05800"/>
              </w:rPr>
              <w:t>A pergunta que o projeto precisa responder sobre custeabilidade</w:t>
            </w:r>
          </w:p>
          <w:p w14:paraId="739ABE0D" w14:textId="77777777" w:rsidR="006F5578" w:rsidRDefault="00000000">
            <w:pPr>
              <w:jc w:val="both"/>
            </w:pPr>
            <w:r>
              <w:rPr>
                <w:color w:val="A05800"/>
              </w:rPr>
              <w:t>Qual é o custo operacional estimado por usuário ativo por mês para manter o sistema de IA rodando? Esse número precisa ser calculado — mesmo que de forma estimada — antes da fase 3 de desenvolvimento. A estratégia de execução on-device (TensorFlow Lite / PyTorch Mobile) mencionada na documentação técnica é a resposta correta para esse problema, mas precisa ser explicitada como decisão arquitetural motivada por custo, não apenas por privacidade.</w:t>
            </w:r>
          </w:p>
        </w:tc>
      </w:tr>
    </w:tbl>
    <w:p w14:paraId="697B0E6F" w14:textId="77777777" w:rsidR="006F5578" w:rsidRDefault="006F5578">
      <w:pPr>
        <w:spacing w:before="40" w:after="40"/>
      </w:pPr>
    </w:p>
    <w:p w14:paraId="30E59B61" w14:textId="77777777" w:rsidR="006F5578" w:rsidRDefault="00000000">
      <w:pPr>
        <w:spacing w:before="80" w:after="100"/>
        <w:jc w:val="both"/>
      </w:pPr>
      <w:r>
        <w:t>Estratégias que o projeto pode adotar para garantir custeabilidade real, e não apenas declarada: inferência on-device para modelos de monitoramento contínuo (reduz custo de nuvem em até 80%), processamento em lote noturno para atualizações de modelo (reduz custo de computação em pico), modelos leves (&lt; 10MB) para alertas em tempo real com modelos maiores acionados apenas quando necessário, e monetização via operadora de saúde (B2B2C) que dilui o custo por usuário no pool do plano.</w:t>
      </w:r>
    </w:p>
    <w:p w14:paraId="7386B705" w14:textId="77777777" w:rsidR="006F5578" w:rsidRDefault="00000000">
      <w:r>
        <w:br w:type="page"/>
      </w:r>
    </w:p>
    <w:p w14:paraId="12283268" w14:textId="77777777" w:rsidR="006F5578" w:rsidRDefault="00000000">
      <w:pPr>
        <w:pStyle w:val="Heading1"/>
        <w:pBdr>
          <w:bottom w:val="single" w:sz="10" w:space="6" w:color="1A56FF"/>
        </w:pBdr>
      </w:pPr>
      <w:bookmarkStart w:id="19" w:name="_Toc224315154"/>
      <w:r>
        <w:lastRenderedPageBreak/>
        <w:t>5. Síntese e Recomendações Estratégicas</w:t>
      </w:r>
      <w:bookmarkEnd w:id="19"/>
    </w:p>
    <w:p w14:paraId="2B226F5D" w14:textId="77777777" w:rsidR="006F5578" w:rsidRDefault="00000000">
      <w:pPr>
        <w:pStyle w:val="Heading2"/>
      </w:pPr>
      <w:bookmarkStart w:id="20" w:name="_Toc224315155"/>
      <w:r>
        <w:t>5.1 Matriz de posicionamento estratégico</w:t>
      </w:r>
      <w:bookmarkEnd w:id="20"/>
    </w:p>
    <w:p w14:paraId="6317035F" w14:textId="77777777" w:rsidR="006F5578" w:rsidRDefault="00000000">
      <w:pPr>
        <w:spacing w:before="80" w:after="100"/>
        <w:jc w:val="both"/>
      </w:pPr>
      <w:r>
        <w:t>O quadro abaixo sintetiza o posicionamento do CarePlus Predict em relação ao mercado e às suas próprias vulnerabilidades:</w:t>
      </w:r>
    </w:p>
    <w:p w14:paraId="04E94362" w14:textId="77777777" w:rsidR="006F5578" w:rsidRDefault="006F557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F5578" w14:paraId="7925DFE4" w14:textId="77777777">
        <w:tblPrEx>
          <w:tblCellMar>
            <w:top w:w="0" w:type="dxa"/>
            <w:bottom w:w="0" w:type="dxa"/>
          </w:tblCellMar>
        </w:tblPrEx>
        <w:tc>
          <w:tcPr>
            <w:tcW w:w="2340" w:type="dxa"/>
            <w:tcBorders>
              <w:top w:val="single" w:sz="1" w:space="0" w:color="0D3BB3"/>
              <w:left w:val="single" w:sz="1" w:space="0" w:color="0D3BB3"/>
              <w:bottom w:val="single" w:sz="1" w:space="0" w:color="0D3BB3"/>
              <w:right w:val="single" w:sz="1" w:space="0" w:color="0D3BB3"/>
            </w:tcBorders>
            <w:shd w:val="clear" w:color="auto" w:fill="0D3BB3"/>
            <w:tcMar>
              <w:top w:w="100" w:type="dxa"/>
              <w:left w:w="120" w:type="dxa"/>
              <w:bottom w:w="100" w:type="dxa"/>
              <w:right w:w="120" w:type="dxa"/>
            </w:tcMar>
          </w:tcPr>
          <w:p w14:paraId="03CAC159" w14:textId="77777777" w:rsidR="006F5578" w:rsidRDefault="00000000">
            <w:pPr>
              <w:jc w:val="center"/>
            </w:pPr>
            <w:r>
              <w:rPr>
                <w:b/>
                <w:bCs/>
                <w:color w:val="FFFFFF"/>
                <w:sz w:val="20"/>
                <w:szCs w:val="20"/>
              </w:rPr>
              <w:t>Dimensão</w:t>
            </w:r>
          </w:p>
        </w:tc>
        <w:tc>
          <w:tcPr>
            <w:tcW w:w="2340" w:type="dxa"/>
            <w:tcBorders>
              <w:top w:val="single" w:sz="1" w:space="0" w:color="0D3BB3"/>
              <w:left w:val="single" w:sz="1" w:space="0" w:color="0D3BB3"/>
              <w:bottom w:val="single" w:sz="1" w:space="0" w:color="0D3BB3"/>
              <w:right w:val="single" w:sz="1" w:space="0" w:color="0D3BB3"/>
            </w:tcBorders>
            <w:shd w:val="clear" w:color="auto" w:fill="0D3BB3"/>
            <w:tcMar>
              <w:top w:w="100" w:type="dxa"/>
              <w:left w:w="120" w:type="dxa"/>
              <w:bottom w:w="100" w:type="dxa"/>
              <w:right w:w="120" w:type="dxa"/>
            </w:tcMar>
          </w:tcPr>
          <w:p w14:paraId="14683665" w14:textId="77777777" w:rsidR="006F5578" w:rsidRDefault="00000000">
            <w:pPr>
              <w:jc w:val="center"/>
            </w:pPr>
            <w:r>
              <w:rPr>
                <w:b/>
                <w:bCs/>
                <w:color w:val="FFFFFF"/>
                <w:sz w:val="20"/>
                <w:szCs w:val="20"/>
              </w:rPr>
              <w:t>Situação Atual</w:t>
            </w:r>
          </w:p>
        </w:tc>
        <w:tc>
          <w:tcPr>
            <w:tcW w:w="2340" w:type="dxa"/>
            <w:tcBorders>
              <w:top w:val="single" w:sz="1" w:space="0" w:color="0D3BB3"/>
              <w:left w:val="single" w:sz="1" w:space="0" w:color="0D3BB3"/>
              <w:bottom w:val="single" w:sz="1" w:space="0" w:color="0D3BB3"/>
              <w:right w:val="single" w:sz="1" w:space="0" w:color="0D3BB3"/>
            </w:tcBorders>
            <w:shd w:val="clear" w:color="auto" w:fill="0D3BB3"/>
            <w:tcMar>
              <w:top w:w="100" w:type="dxa"/>
              <w:left w:w="120" w:type="dxa"/>
              <w:bottom w:w="100" w:type="dxa"/>
              <w:right w:w="120" w:type="dxa"/>
            </w:tcMar>
          </w:tcPr>
          <w:p w14:paraId="7CFB89F8" w14:textId="77777777" w:rsidR="006F5578" w:rsidRDefault="00000000">
            <w:pPr>
              <w:jc w:val="center"/>
            </w:pPr>
            <w:r>
              <w:rPr>
                <w:b/>
                <w:bCs/>
                <w:color w:val="FFFFFF"/>
                <w:sz w:val="20"/>
                <w:szCs w:val="20"/>
              </w:rPr>
              <w:t>Nível de Risco</w:t>
            </w:r>
          </w:p>
        </w:tc>
        <w:tc>
          <w:tcPr>
            <w:tcW w:w="2340" w:type="dxa"/>
            <w:tcBorders>
              <w:top w:val="single" w:sz="1" w:space="0" w:color="0D3BB3"/>
              <w:left w:val="single" w:sz="1" w:space="0" w:color="0D3BB3"/>
              <w:bottom w:val="single" w:sz="1" w:space="0" w:color="0D3BB3"/>
              <w:right w:val="single" w:sz="1" w:space="0" w:color="0D3BB3"/>
            </w:tcBorders>
            <w:shd w:val="clear" w:color="auto" w:fill="0D3BB3"/>
            <w:tcMar>
              <w:top w:w="100" w:type="dxa"/>
              <w:left w:w="120" w:type="dxa"/>
              <w:bottom w:w="100" w:type="dxa"/>
              <w:right w:w="120" w:type="dxa"/>
            </w:tcMar>
          </w:tcPr>
          <w:p w14:paraId="58E8E1A8" w14:textId="77777777" w:rsidR="006F5578" w:rsidRDefault="00000000">
            <w:pPr>
              <w:jc w:val="center"/>
            </w:pPr>
            <w:r>
              <w:rPr>
                <w:b/>
                <w:bCs/>
                <w:color w:val="FFFFFF"/>
                <w:sz w:val="20"/>
                <w:szCs w:val="20"/>
              </w:rPr>
              <w:t>Ação Recomendada</w:t>
            </w:r>
          </w:p>
        </w:tc>
      </w:tr>
      <w:tr w:rsidR="006F5578" w14:paraId="47278D47" w14:textId="77777777">
        <w:tblPrEx>
          <w:tblCellMar>
            <w:top w:w="0" w:type="dxa"/>
            <w:bottom w:w="0" w:type="dxa"/>
          </w:tblCellMar>
        </w:tblPrEx>
        <w:tc>
          <w:tcPr>
            <w:tcW w:w="234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3D0B2351" w14:textId="77777777" w:rsidR="006F5578" w:rsidRDefault="00000000">
            <w:r>
              <w:rPr>
                <w:b/>
                <w:bCs/>
                <w:sz w:val="20"/>
                <w:szCs w:val="20"/>
              </w:rPr>
              <w:t>Dados de treinamento</w:t>
            </w:r>
          </w:p>
        </w:tc>
        <w:tc>
          <w:tcPr>
            <w:tcW w:w="234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6F56AD12" w14:textId="77777777" w:rsidR="006F5578" w:rsidRDefault="00000000">
            <w:pPr>
              <w:jc w:val="center"/>
            </w:pPr>
            <w:r>
              <w:rPr>
                <w:sz w:val="20"/>
                <w:szCs w:val="20"/>
              </w:rPr>
              <w:t>Simulados / datasets internacionais</w:t>
            </w:r>
          </w:p>
        </w:tc>
        <w:tc>
          <w:tcPr>
            <w:tcW w:w="234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6B3A72CA" w14:textId="77777777" w:rsidR="006F5578" w:rsidRDefault="00000000">
            <w:pPr>
              <w:jc w:val="center"/>
            </w:pPr>
            <w:r>
              <w:rPr>
                <w:sz w:val="20"/>
                <w:szCs w:val="20"/>
              </w:rPr>
              <w:t>CRÍTICO</w:t>
            </w:r>
          </w:p>
        </w:tc>
        <w:tc>
          <w:tcPr>
            <w:tcW w:w="234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3C5294E9" w14:textId="77777777" w:rsidR="006F5578" w:rsidRDefault="00000000">
            <w:pPr>
              <w:jc w:val="center"/>
            </w:pPr>
            <w:r>
              <w:rPr>
                <w:sz w:val="20"/>
                <w:szCs w:val="20"/>
              </w:rPr>
              <w:t>Definir fonte de dados reais BR antes da fase 2</w:t>
            </w:r>
          </w:p>
        </w:tc>
      </w:tr>
      <w:tr w:rsidR="006F5578" w14:paraId="1F0919D1" w14:textId="77777777">
        <w:tblPrEx>
          <w:tblCellMar>
            <w:top w:w="0" w:type="dxa"/>
            <w:bottom w:w="0" w:type="dxa"/>
          </w:tblCellMar>
        </w:tblPrEx>
        <w:tc>
          <w:tcPr>
            <w:tcW w:w="234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5363C671" w14:textId="77777777" w:rsidR="006F5578" w:rsidRDefault="00000000">
            <w:r>
              <w:rPr>
                <w:b/>
                <w:bCs/>
                <w:sz w:val="20"/>
                <w:szCs w:val="20"/>
              </w:rPr>
              <w:t>Validação clínica</w:t>
            </w:r>
          </w:p>
        </w:tc>
        <w:tc>
          <w:tcPr>
            <w:tcW w:w="234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35C0BB3D" w14:textId="77777777" w:rsidR="006F5578" w:rsidRDefault="00000000">
            <w:pPr>
              <w:jc w:val="center"/>
            </w:pPr>
            <w:r>
              <w:rPr>
                <w:sz w:val="20"/>
                <w:szCs w:val="20"/>
              </w:rPr>
              <w:t>Não iniciada / sem protocolo</w:t>
            </w:r>
          </w:p>
        </w:tc>
        <w:tc>
          <w:tcPr>
            <w:tcW w:w="234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3DDBD300" w14:textId="77777777" w:rsidR="006F5578" w:rsidRDefault="00000000">
            <w:pPr>
              <w:jc w:val="center"/>
            </w:pPr>
            <w:r>
              <w:rPr>
                <w:sz w:val="20"/>
                <w:szCs w:val="20"/>
              </w:rPr>
              <w:t>ALTO</w:t>
            </w:r>
          </w:p>
        </w:tc>
        <w:tc>
          <w:tcPr>
            <w:tcW w:w="234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353A778D" w14:textId="77777777" w:rsidR="006F5578" w:rsidRDefault="00000000">
            <w:pPr>
              <w:jc w:val="center"/>
            </w:pPr>
            <w:r>
              <w:rPr>
                <w:sz w:val="20"/>
                <w:szCs w:val="20"/>
              </w:rPr>
              <w:t>Elaborar EAD e verificar necessidade de CEP</w:t>
            </w:r>
          </w:p>
        </w:tc>
      </w:tr>
      <w:tr w:rsidR="006F5578" w14:paraId="0CDE3A18" w14:textId="77777777">
        <w:tblPrEx>
          <w:tblCellMar>
            <w:top w:w="0" w:type="dxa"/>
            <w:bottom w:w="0" w:type="dxa"/>
          </w:tblCellMar>
        </w:tblPrEx>
        <w:tc>
          <w:tcPr>
            <w:tcW w:w="234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3B30263E" w14:textId="77777777" w:rsidR="006F5578" w:rsidRDefault="00000000">
            <w:r>
              <w:rPr>
                <w:b/>
                <w:bCs/>
                <w:sz w:val="20"/>
                <w:szCs w:val="20"/>
              </w:rPr>
              <w:t>Escopo técnico</w:t>
            </w:r>
          </w:p>
        </w:tc>
        <w:tc>
          <w:tcPr>
            <w:tcW w:w="234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4137DEA8" w14:textId="77777777" w:rsidR="006F5578" w:rsidRDefault="00000000">
            <w:pPr>
              <w:jc w:val="center"/>
            </w:pPr>
            <w:r>
              <w:rPr>
                <w:sz w:val="20"/>
                <w:szCs w:val="20"/>
              </w:rPr>
              <w:t>Muito amplo para o estágio atual</w:t>
            </w:r>
          </w:p>
        </w:tc>
        <w:tc>
          <w:tcPr>
            <w:tcW w:w="234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1765AD79" w14:textId="77777777" w:rsidR="006F5578" w:rsidRDefault="00000000">
            <w:pPr>
              <w:jc w:val="center"/>
            </w:pPr>
            <w:r>
              <w:rPr>
                <w:sz w:val="20"/>
                <w:szCs w:val="20"/>
              </w:rPr>
              <w:t>ALTO</w:t>
            </w:r>
          </w:p>
        </w:tc>
        <w:tc>
          <w:tcPr>
            <w:tcW w:w="234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32BCB7A6" w14:textId="77777777" w:rsidR="006F5578" w:rsidRDefault="00000000">
            <w:pPr>
              <w:jc w:val="center"/>
            </w:pPr>
            <w:r>
              <w:rPr>
                <w:sz w:val="20"/>
                <w:szCs w:val="20"/>
              </w:rPr>
              <w:t>Reduzir ao núcleo mínimo confiável na fase 2</w:t>
            </w:r>
          </w:p>
        </w:tc>
      </w:tr>
      <w:tr w:rsidR="006F5578" w14:paraId="249D9416" w14:textId="77777777">
        <w:tblPrEx>
          <w:tblCellMar>
            <w:top w:w="0" w:type="dxa"/>
            <w:bottom w:w="0" w:type="dxa"/>
          </w:tblCellMar>
        </w:tblPrEx>
        <w:tc>
          <w:tcPr>
            <w:tcW w:w="234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44675594" w14:textId="77777777" w:rsidR="006F5578" w:rsidRDefault="00000000">
            <w:r>
              <w:rPr>
                <w:b/>
                <w:bCs/>
                <w:sz w:val="20"/>
                <w:szCs w:val="20"/>
              </w:rPr>
              <w:t>Alinhamento de mercado</w:t>
            </w:r>
          </w:p>
        </w:tc>
        <w:tc>
          <w:tcPr>
            <w:tcW w:w="234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4B4AE4B5" w14:textId="77777777" w:rsidR="006F5578" w:rsidRDefault="00000000">
            <w:pPr>
              <w:jc w:val="center"/>
            </w:pPr>
            <w:r>
              <w:rPr>
                <w:sz w:val="20"/>
                <w:szCs w:val="20"/>
              </w:rPr>
              <w:t>Forte — IA preditiva + wearable</w:t>
            </w:r>
          </w:p>
        </w:tc>
        <w:tc>
          <w:tcPr>
            <w:tcW w:w="234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1334DAB5" w14:textId="77777777" w:rsidR="006F5578" w:rsidRDefault="00000000">
            <w:pPr>
              <w:jc w:val="center"/>
            </w:pPr>
            <w:r>
              <w:rPr>
                <w:sz w:val="20"/>
                <w:szCs w:val="20"/>
              </w:rPr>
              <w:t>BAIXO</w:t>
            </w:r>
          </w:p>
        </w:tc>
        <w:tc>
          <w:tcPr>
            <w:tcW w:w="234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6DB71B42" w14:textId="77777777" w:rsidR="006F5578" w:rsidRDefault="00000000">
            <w:pPr>
              <w:jc w:val="center"/>
            </w:pPr>
            <w:r>
              <w:rPr>
                <w:sz w:val="20"/>
                <w:szCs w:val="20"/>
              </w:rPr>
              <w:t>Manter posicionamento e explorar saúde mental</w:t>
            </w:r>
          </w:p>
        </w:tc>
      </w:tr>
      <w:tr w:rsidR="006F5578" w14:paraId="2C6E286B" w14:textId="77777777">
        <w:tblPrEx>
          <w:tblCellMar>
            <w:top w:w="0" w:type="dxa"/>
            <w:bottom w:w="0" w:type="dxa"/>
          </w:tblCellMar>
        </w:tblPrEx>
        <w:tc>
          <w:tcPr>
            <w:tcW w:w="234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4C46D30D" w14:textId="77777777" w:rsidR="006F5578" w:rsidRDefault="00000000">
            <w:r>
              <w:rPr>
                <w:b/>
                <w:bCs/>
                <w:sz w:val="20"/>
                <w:szCs w:val="20"/>
              </w:rPr>
              <w:t>Custeabilidade</w:t>
            </w:r>
          </w:p>
        </w:tc>
        <w:tc>
          <w:tcPr>
            <w:tcW w:w="234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541B895D" w14:textId="77777777" w:rsidR="006F5578" w:rsidRDefault="00000000">
            <w:pPr>
              <w:jc w:val="center"/>
            </w:pPr>
            <w:r>
              <w:rPr>
                <w:sz w:val="20"/>
                <w:szCs w:val="20"/>
              </w:rPr>
              <w:t>Declarada, não quantificada</w:t>
            </w:r>
          </w:p>
        </w:tc>
        <w:tc>
          <w:tcPr>
            <w:tcW w:w="234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3F71A75A" w14:textId="77777777" w:rsidR="006F5578" w:rsidRDefault="00000000">
            <w:pPr>
              <w:jc w:val="center"/>
            </w:pPr>
            <w:r>
              <w:rPr>
                <w:sz w:val="20"/>
                <w:szCs w:val="20"/>
              </w:rPr>
              <w:t>MÉDIO</w:t>
            </w:r>
          </w:p>
        </w:tc>
        <w:tc>
          <w:tcPr>
            <w:tcW w:w="234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062DF720" w14:textId="77777777" w:rsidR="006F5578" w:rsidRDefault="00000000">
            <w:pPr>
              <w:jc w:val="center"/>
            </w:pPr>
            <w:r>
              <w:rPr>
                <w:sz w:val="20"/>
                <w:szCs w:val="20"/>
              </w:rPr>
              <w:t>Calcular custo por usuário/mês na arquitetura proposta</w:t>
            </w:r>
          </w:p>
        </w:tc>
      </w:tr>
      <w:tr w:rsidR="006F5578" w14:paraId="4B792928" w14:textId="77777777">
        <w:tblPrEx>
          <w:tblCellMar>
            <w:top w:w="0" w:type="dxa"/>
            <w:bottom w:w="0" w:type="dxa"/>
          </w:tblCellMar>
        </w:tblPrEx>
        <w:tc>
          <w:tcPr>
            <w:tcW w:w="234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191167A4" w14:textId="77777777" w:rsidR="006F5578" w:rsidRDefault="00000000">
            <w:r>
              <w:rPr>
                <w:b/>
                <w:bCs/>
                <w:sz w:val="20"/>
                <w:szCs w:val="20"/>
              </w:rPr>
              <w:t>Parceria institucional (Bupa)</w:t>
            </w:r>
          </w:p>
        </w:tc>
        <w:tc>
          <w:tcPr>
            <w:tcW w:w="234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4BC1BF17" w14:textId="77777777" w:rsidR="006F5578" w:rsidRDefault="00000000">
            <w:pPr>
              <w:jc w:val="center"/>
            </w:pPr>
            <w:r>
              <w:rPr>
                <w:sz w:val="20"/>
                <w:szCs w:val="20"/>
              </w:rPr>
              <w:t>Presente e relevante</w:t>
            </w:r>
          </w:p>
        </w:tc>
        <w:tc>
          <w:tcPr>
            <w:tcW w:w="234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62CCBE41" w14:textId="77777777" w:rsidR="006F5578" w:rsidRDefault="00000000">
            <w:pPr>
              <w:jc w:val="center"/>
            </w:pPr>
            <w:r>
              <w:rPr>
                <w:sz w:val="20"/>
                <w:szCs w:val="20"/>
              </w:rPr>
              <w:t>BAIXO</w:t>
            </w:r>
          </w:p>
        </w:tc>
        <w:tc>
          <w:tcPr>
            <w:tcW w:w="234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63ABA8D7" w14:textId="77777777" w:rsidR="006F5578" w:rsidRDefault="00000000">
            <w:pPr>
              <w:jc w:val="center"/>
            </w:pPr>
            <w:r>
              <w:rPr>
                <w:sz w:val="20"/>
                <w:szCs w:val="20"/>
              </w:rPr>
              <w:t>Ativar como canal de dados e distribuição</w:t>
            </w:r>
          </w:p>
        </w:tc>
      </w:tr>
      <w:tr w:rsidR="006F5578" w14:paraId="2C8BDC56" w14:textId="77777777">
        <w:tblPrEx>
          <w:tblCellMar>
            <w:top w:w="0" w:type="dxa"/>
            <w:bottom w:w="0" w:type="dxa"/>
          </w:tblCellMar>
        </w:tblPrEx>
        <w:tc>
          <w:tcPr>
            <w:tcW w:w="234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022CB056" w14:textId="77777777" w:rsidR="006F5578" w:rsidRDefault="00000000">
            <w:r>
              <w:rPr>
                <w:b/>
                <w:bCs/>
                <w:sz w:val="20"/>
                <w:szCs w:val="20"/>
              </w:rPr>
              <w:t>Conformidade LGPD / ANVISA</w:t>
            </w:r>
          </w:p>
        </w:tc>
        <w:tc>
          <w:tcPr>
            <w:tcW w:w="234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07758DB1" w14:textId="77777777" w:rsidR="006F5578" w:rsidRDefault="00000000">
            <w:pPr>
              <w:jc w:val="center"/>
            </w:pPr>
            <w:r>
              <w:rPr>
                <w:sz w:val="20"/>
                <w:szCs w:val="20"/>
              </w:rPr>
              <w:t>Planejada, não iniciada</w:t>
            </w:r>
          </w:p>
        </w:tc>
        <w:tc>
          <w:tcPr>
            <w:tcW w:w="234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43C9667E" w14:textId="77777777" w:rsidR="006F5578" w:rsidRDefault="00000000">
            <w:pPr>
              <w:jc w:val="center"/>
            </w:pPr>
            <w:r>
              <w:rPr>
                <w:sz w:val="20"/>
                <w:szCs w:val="20"/>
              </w:rPr>
              <w:t>MÉDIO</w:t>
            </w:r>
          </w:p>
        </w:tc>
        <w:tc>
          <w:tcPr>
            <w:tcW w:w="2340" w:type="dxa"/>
            <w:tcBorders>
              <w:top w:val="single" w:sz="1" w:space="0" w:color="BBCCE8"/>
              <w:left w:val="single" w:sz="1" w:space="0" w:color="BBCCE8"/>
              <w:bottom w:val="single" w:sz="1" w:space="0" w:color="BBCCE8"/>
              <w:right w:val="single" w:sz="1" w:space="0" w:color="BBCCE8"/>
            </w:tcBorders>
            <w:shd w:val="clear" w:color="auto" w:fill="F4F6FA"/>
            <w:tcMar>
              <w:top w:w="90" w:type="dxa"/>
              <w:left w:w="120" w:type="dxa"/>
              <w:bottom w:w="90" w:type="dxa"/>
              <w:right w:w="120" w:type="dxa"/>
            </w:tcMar>
          </w:tcPr>
          <w:p w14:paraId="206DBA2C" w14:textId="77777777" w:rsidR="006F5578" w:rsidRDefault="00000000">
            <w:pPr>
              <w:jc w:val="center"/>
            </w:pPr>
            <w:r>
              <w:rPr>
                <w:sz w:val="20"/>
                <w:szCs w:val="20"/>
              </w:rPr>
              <w:t>Iniciar mapeamento regulatório em paralelo ao dev.</w:t>
            </w:r>
          </w:p>
        </w:tc>
      </w:tr>
      <w:tr w:rsidR="006F5578" w14:paraId="0FB0B7A7" w14:textId="77777777">
        <w:tblPrEx>
          <w:tblCellMar>
            <w:top w:w="0" w:type="dxa"/>
            <w:bottom w:w="0" w:type="dxa"/>
          </w:tblCellMar>
        </w:tblPrEx>
        <w:tc>
          <w:tcPr>
            <w:tcW w:w="234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0C90AB7B" w14:textId="77777777" w:rsidR="006F5578" w:rsidRDefault="00000000">
            <w:r>
              <w:rPr>
                <w:b/>
                <w:bCs/>
                <w:sz w:val="20"/>
                <w:szCs w:val="20"/>
              </w:rPr>
              <w:t>Interoperabilidade (FHIR)</w:t>
            </w:r>
          </w:p>
        </w:tc>
        <w:tc>
          <w:tcPr>
            <w:tcW w:w="234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250F582A" w14:textId="77777777" w:rsidR="006F5578" w:rsidRDefault="00000000">
            <w:pPr>
              <w:jc w:val="center"/>
            </w:pPr>
            <w:r>
              <w:rPr>
                <w:sz w:val="20"/>
                <w:szCs w:val="20"/>
              </w:rPr>
              <w:t>Arquitetado corretamente</w:t>
            </w:r>
          </w:p>
        </w:tc>
        <w:tc>
          <w:tcPr>
            <w:tcW w:w="234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58B60BDD" w14:textId="77777777" w:rsidR="006F5578" w:rsidRDefault="00000000">
            <w:pPr>
              <w:jc w:val="center"/>
            </w:pPr>
            <w:r>
              <w:rPr>
                <w:sz w:val="20"/>
                <w:szCs w:val="20"/>
              </w:rPr>
              <w:t>BAIXO</w:t>
            </w:r>
          </w:p>
        </w:tc>
        <w:tc>
          <w:tcPr>
            <w:tcW w:w="2340" w:type="dxa"/>
            <w:tcBorders>
              <w:top w:val="single" w:sz="1" w:space="0" w:color="BBCCE8"/>
              <w:left w:val="single" w:sz="1" w:space="0" w:color="BBCCE8"/>
              <w:bottom w:val="single" w:sz="1" w:space="0" w:color="BBCCE8"/>
              <w:right w:val="single" w:sz="1" w:space="0" w:color="BBCCE8"/>
            </w:tcBorders>
            <w:shd w:val="clear" w:color="auto" w:fill="FFFFFF"/>
            <w:tcMar>
              <w:top w:w="90" w:type="dxa"/>
              <w:left w:w="120" w:type="dxa"/>
              <w:bottom w:w="90" w:type="dxa"/>
              <w:right w:w="120" w:type="dxa"/>
            </w:tcMar>
          </w:tcPr>
          <w:p w14:paraId="5AF1F77F" w14:textId="77777777" w:rsidR="006F5578" w:rsidRDefault="00000000">
            <w:pPr>
              <w:jc w:val="center"/>
            </w:pPr>
            <w:r>
              <w:rPr>
                <w:sz w:val="20"/>
                <w:szCs w:val="20"/>
              </w:rPr>
              <w:t>Avançar integração RNDS na fase 2</w:t>
            </w:r>
          </w:p>
        </w:tc>
      </w:tr>
    </w:tbl>
    <w:p w14:paraId="09824675" w14:textId="77777777" w:rsidR="006F5578" w:rsidRDefault="006F5578">
      <w:pPr>
        <w:spacing w:before="40" w:after="40"/>
      </w:pPr>
    </w:p>
    <w:p w14:paraId="65D5A03D" w14:textId="77777777" w:rsidR="006F5578" w:rsidRDefault="00000000">
      <w:pPr>
        <w:pStyle w:val="Heading2"/>
      </w:pPr>
      <w:bookmarkStart w:id="21" w:name="_Toc224315156"/>
      <w:r>
        <w:t>5.2 As três recomendações prioritárias</w:t>
      </w:r>
      <w:bookmarkEnd w:id="21"/>
    </w:p>
    <w:p w14:paraId="4F7124AB" w14:textId="77777777" w:rsidR="006F5578" w:rsidRDefault="006F557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5578" w14:paraId="225AB3A6" w14:textId="77777777">
        <w:tblPrEx>
          <w:tblCellMar>
            <w:top w:w="0" w:type="dxa"/>
            <w:bottom w:w="0" w:type="dxa"/>
          </w:tblCellMar>
        </w:tblPrEx>
        <w:tc>
          <w:tcPr>
            <w:tcW w:w="9360" w:type="dxa"/>
            <w:tcBorders>
              <w:top w:val="single" w:sz="1" w:space="0" w:color="D6E4FF"/>
              <w:left w:val="single" w:sz="1" w:space="0" w:color="D6E4FF"/>
              <w:bottom w:val="single" w:sz="1" w:space="0" w:color="D6E4FF"/>
              <w:right w:val="single" w:sz="1" w:space="0" w:color="D6E4FF"/>
            </w:tcBorders>
            <w:shd w:val="clear" w:color="auto" w:fill="D6E4FF"/>
            <w:tcMar>
              <w:top w:w="160" w:type="dxa"/>
              <w:left w:w="240" w:type="dxa"/>
              <w:bottom w:w="160" w:type="dxa"/>
              <w:right w:w="240" w:type="dxa"/>
            </w:tcMar>
          </w:tcPr>
          <w:p w14:paraId="42988C29" w14:textId="77777777" w:rsidR="006F5578" w:rsidRDefault="00000000">
            <w:pPr>
              <w:spacing w:after="60"/>
            </w:pPr>
            <w:r>
              <w:rPr>
                <w:b/>
                <w:bCs/>
                <w:color w:val="0D3BB3"/>
              </w:rPr>
              <w:t>Recomendação 1 — Definir a Estratégia de Dados antes de tudo</w:t>
            </w:r>
          </w:p>
          <w:p w14:paraId="7145EB24" w14:textId="77777777" w:rsidR="006F5578" w:rsidRDefault="00000000">
            <w:pPr>
              <w:jc w:val="both"/>
            </w:pPr>
            <w:r>
              <w:rPr>
                <w:color w:val="0D3BB3"/>
              </w:rPr>
              <w:t>Antes de avançar qualquer linha de código na fase 2, a equipe precisa ter uma resposta clara e documentada para: de onde virão os dados reais de treinamento e validação? As opções incluem: (a) acordo de pesquisa com a Care Plus para acesso a dados históricos anonimizados, (b) parceria com hospital universitário para coleta prospectiva aprovada por CEP, (c) uso de dados sintéticos gerados por simulação clínica com validação por especialistas. Qualquer uma dessas opções é válida — o problema é não ter nenhuma.</w:t>
            </w:r>
          </w:p>
        </w:tc>
      </w:tr>
    </w:tbl>
    <w:p w14:paraId="0CAAAC9E" w14:textId="77777777" w:rsidR="006F5578" w:rsidRDefault="006F557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5578" w14:paraId="623911C3" w14:textId="77777777">
        <w:tblPrEx>
          <w:tblCellMar>
            <w:top w:w="0" w:type="dxa"/>
            <w:bottom w:w="0" w:type="dxa"/>
          </w:tblCellMar>
        </w:tblPrEx>
        <w:tc>
          <w:tcPr>
            <w:tcW w:w="9360" w:type="dxa"/>
            <w:tcBorders>
              <w:top w:val="single" w:sz="1" w:space="0" w:color="D6E4FF"/>
              <w:left w:val="single" w:sz="1" w:space="0" w:color="D6E4FF"/>
              <w:bottom w:val="single" w:sz="1" w:space="0" w:color="D6E4FF"/>
              <w:right w:val="single" w:sz="1" w:space="0" w:color="D6E4FF"/>
            </w:tcBorders>
            <w:shd w:val="clear" w:color="auto" w:fill="D6E4FF"/>
            <w:tcMar>
              <w:top w:w="160" w:type="dxa"/>
              <w:left w:w="240" w:type="dxa"/>
              <w:bottom w:w="160" w:type="dxa"/>
              <w:right w:w="240" w:type="dxa"/>
            </w:tcMar>
          </w:tcPr>
          <w:p w14:paraId="0AACDD8D" w14:textId="77777777" w:rsidR="006F5578" w:rsidRDefault="00000000">
            <w:pPr>
              <w:spacing w:after="60"/>
            </w:pPr>
            <w:r>
              <w:rPr>
                <w:b/>
                <w:bCs/>
                <w:color w:val="0D3BB3"/>
              </w:rPr>
              <w:t>Recomendação 2 — Escolher um endpoint clínico prioritário e ir fundo</w:t>
            </w:r>
          </w:p>
          <w:p w14:paraId="24BC2DE3" w14:textId="77777777" w:rsidR="006F5578" w:rsidRDefault="00000000">
            <w:pPr>
              <w:jc w:val="both"/>
            </w:pPr>
            <w:r>
              <w:rPr>
                <w:color w:val="0D3BB3"/>
              </w:rPr>
              <w:lastRenderedPageBreak/>
              <w:t>Selecionar um único problema clínico de alto impacto e alta prevalência na base de beneficiários da Care Plus (candidatos: hipertensão arterial, síndrome metabólica, distúrbios do sono) e construir o modelo preditivo para esse endpoint com rigor clínico total — protocolo de validação, métricas honestas, explicabilidade. Um produto que faz uma coisa muito bem tem muito mais chance de aprovação regulatória, adoção clínica e sustentabilidade comercial do que um produto que faz tudo de forma mediocre.</w:t>
            </w:r>
          </w:p>
        </w:tc>
      </w:tr>
    </w:tbl>
    <w:p w14:paraId="426B5DCD" w14:textId="77777777" w:rsidR="006F5578" w:rsidRDefault="006F557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5578" w14:paraId="3E455B83" w14:textId="77777777">
        <w:tblPrEx>
          <w:tblCellMar>
            <w:top w:w="0" w:type="dxa"/>
            <w:bottom w:w="0" w:type="dxa"/>
          </w:tblCellMar>
        </w:tblPrEx>
        <w:tc>
          <w:tcPr>
            <w:tcW w:w="9360" w:type="dxa"/>
            <w:tcBorders>
              <w:top w:val="single" w:sz="1" w:space="0" w:color="D6E4FF"/>
              <w:left w:val="single" w:sz="1" w:space="0" w:color="D6E4FF"/>
              <w:bottom w:val="single" w:sz="1" w:space="0" w:color="D6E4FF"/>
              <w:right w:val="single" w:sz="1" w:space="0" w:color="D6E4FF"/>
            </w:tcBorders>
            <w:shd w:val="clear" w:color="auto" w:fill="D6E4FF"/>
            <w:tcMar>
              <w:top w:w="160" w:type="dxa"/>
              <w:left w:w="240" w:type="dxa"/>
              <w:bottom w:w="160" w:type="dxa"/>
              <w:right w:w="240" w:type="dxa"/>
            </w:tcMar>
          </w:tcPr>
          <w:p w14:paraId="2BFA53E5" w14:textId="77777777" w:rsidR="006F5578" w:rsidRDefault="00000000">
            <w:pPr>
              <w:spacing w:after="60"/>
            </w:pPr>
            <w:r>
              <w:rPr>
                <w:b/>
                <w:bCs/>
                <w:color w:val="0D3BB3"/>
              </w:rPr>
              <w:t>Recomendação 3 — Quantificar a custeabilidade como feature, não como promessa</w:t>
            </w:r>
          </w:p>
          <w:p w14:paraId="3D714A8A" w14:textId="77777777" w:rsidR="006F5578" w:rsidRDefault="00000000">
            <w:pPr>
              <w:jc w:val="both"/>
            </w:pPr>
            <w:r>
              <w:rPr>
                <w:color w:val="0D3BB3"/>
              </w:rPr>
              <w:t>O diferencial de custeabilidade do projeto só tem valor se puder ser demonstrado numericamente. A equipe deveria calcular, mesmo que com estimativas conservadoras, o custo operacional por usuário ativo por mês (infraestrutura de nuvem + processamento de ML + APIs). Esse número, se for competitivo, transforma-se em argumento de venda para a Care Plus e para o mercado de operadoras. Se não for competitivo, precisa ser endereçado agora — e não descoberto depois de escalar.</w:t>
            </w:r>
          </w:p>
        </w:tc>
      </w:tr>
    </w:tbl>
    <w:p w14:paraId="05D48018" w14:textId="77777777" w:rsidR="006F5578" w:rsidRDefault="00000000">
      <w:r>
        <w:br w:type="page"/>
      </w:r>
    </w:p>
    <w:p w14:paraId="4442C17B" w14:textId="77777777" w:rsidR="006F5578" w:rsidRDefault="00000000">
      <w:pPr>
        <w:pStyle w:val="Heading1"/>
        <w:pBdr>
          <w:bottom w:val="single" w:sz="10" w:space="6" w:color="1A56FF"/>
        </w:pBdr>
      </w:pPr>
      <w:bookmarkStart w:id="22" w:name="_Toc224315157"/>
      <w:r>
        <w:lastRenderedPageBreak/>
        <w:t>6. Conclusão</w:t>
      </w:r>
      <w:bookmarkEnd w:id="22"/>
    </w:p>
    <w:p w14:paraId="50055E54" w14:textId="77777777" w:rsidR="006F5578" w:rsidRDefault="00000000">
      <w:pPr>
        <w:spacing w:before="80" w:after="100"/>
        <w:jc w:val="both"/>
      </w:pPr>
      <w:r>
        <w:t>O CarePlus Predict é um projeto com premissa genuinamente relevante, arquitetura tecnicamente coerente e um posicionamento de mercado que se alinha às principais tendências do setor de healthtech global para os próximos cinco anos. A aposta em IA preditiva com wearable, interoperabilidade via FHIR e custeabilidade como diferencial competitivo não é uma aposta errada — é, na verdade, exatamente onde o mercado está convergindo.</w:t>
      </w:r>
    </w:p>
    <w:p w14:paraId="7900A3C3" w14:textId="77777777" w:rsidR="006F5578" w:rsidRDefault="00000000">
      <w:pPr>
        <w:spacing w:before="80" w:after="100"/>
        <w:jc w:val="both"/>
      </w:pPr>
      <w:r>
        <w:t>O que separa um projeto com essa premissa de um produto bem-sucedido não é a sofisticação da arquitetura proposta — é a disciplina de validar o núcleo antes de expandir a complexidade. O mercado de healthtech está repleto de plataformas tecnicamente impressionantes que falharam porque o modelo de ML não funcionava em dados reais, ou porque o custo operacional era insustentável em escala, ou porque a regulação não foi considerada cedo o suficiente.</w:t>
      </w:r>
    </w:p>
    <w:p w14:paraId="28977B95" w14:textId="77777777" w:rsidR="006F5578" w:rsidRDefault="00000000">
      <w:pPr>
        <w:spacing w:before="80" w:after="100"/>
        <w:jc w:val="both"/>
      </w:pPr>
      <w:r>
        <w:t>A mensagem central desta análise é, portanto, de calibração: o projeto tem o posicionamento certo, o parceiro certo (Care Plus / Bupa) e o momento certo (o mercado global está convergindo para exatamente o que o CarePlus Predict propõe). O que precisa de atenção é a sequência de prioridades — colocar a validação do núcleo preditivo com dados reais acima de qualquer expansão de feature, e quantificar a custeabilidade como um compromisso técnico, não apenas como uma aspiração estratégica.</w:t>
      </w:r>
    </w:p>
    <w:p w14:paraId="566CD3D3" w14:textId="77777777" w:rsidR="006F5578" w:rsidRDefault="00000000">
      <w:pPr>
        <w:spacing w:before="80" w:after="100"/>
        <w:jc w:val="both"/>
      </w:pPr>
      <w:r>
        <w:t>Feito isso, o CarePlus Predict tem os elementos para se tornar não apenas um bom projeto acadêmico, mas uma referência concreta em healthtech preventivo e acessível no mercado brasileiro.</w:t>
      </w:r>
    </w:p>
    <w:p w14:paraId="2807378C" w14:textId="77777777" w:rsidR="006F5578" w:rsidRDefault="006F5578">
      <w:pPr>
        <w:spacing w:before="40" w:after="40"/>
      </w:pPr>
    </w:p>
    <w:p w14:paraId="37EAACEF" w14:textId="77777777" w:rsidR="006F5578" w:rsidRDefault="006F5578">
      <w:pPr>
        <w:spacing w:before="40" w:after="40"/>
      </w:pPr>
    </w:p>
    <w:p w14:paraId="40F913B5" w14:textId="77777777" w:rsidR="006F5578" w:rsidRDefault="00000000">
      <w:pPr>
        <w:pBdr>
          <w:top w:val="single" w:sz="4" w:space="8" w:color="1A56FF"/>
        </w:pBdr>
        <w:spacing w:before="200" w:after="80"/>
        <w:jc w:val="center"/>
      </w:pPr>
      <w:r>
        <w:rPr>
          <w:color w:val="555577"/>
          <w:sz w:val="20"/>
          <w:szCs w:val="20"/>
        </w:rPr>
        <w:t>FIAP — Faculdade de Informática e Administração Paulista</w:t>
      </w:r>
    </w:p>
    <w:p w14:paraId="2E75DA27" w14:textId="77777777" w:rsidR="006F5578" w:rsidRDefault="00000000">
      <w:pPr>
        <w:jc w:val="center"/>
      </w:pPr>
      <w:r>
        <w:rPr>
          <w:color w:val="555577"/>
          <w:sz w:val="20"/>
          <w:szCs w:val="20"/>
        </w:rPr>
        <w:t>Projeto Next Gen — 1CCPS | Scrum Master: Allan Roberto | São Paulo, 2025</w:t>
      </w:r>
    </w:p>
    <w:sectPr w:rsidR="006F5578">
      <w:headerReference w:type="default" r:id="rId7"/>
      <w:footerReference w:type="default" r:id="rId8"/>
      <w:pgSz w:w="11906" w:h="16838"/>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FFB18" w14:textId="77777777" w:rsidR="00A6557F" w:rsidRDefault="00A6557F">
      <w:r>
        <w:separator/>
      </w:r>
    </w:p>
  </w:endnote>
  <w:endnote w:type="continuationSeparator" w:id="0">
    <w:p w14:paraId="344E4CA9" w14:textId="77777777" w:rsidR="00A6557F" w:rsidRDefault="00A655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C6902" w14:textId="77777777" w:rsidR="006F5578" w:rsidRDefault="00000000">
    <w:pPr>
      <w:pBdr>
        <w:top w:val="single" w:sz="6" w:space="4" w:color="1A56FF"/>
      </w:pBdr>
    </w:pPr>
    <w:r w:rsidRPr="00DB2E94">
      <w:rPr>
        <w:color w:val="555577"/>
        <w:sz w:val="17"/>
        <w:szCs w:val="17"/>
        <w:lang w:val="en-US"/>
      </w:rPr>
      <w:t xml:space="preserve">FIAP | Next Gen 1CCPS | SM: Allan Roberto     Pág. </w:t>
    </w:r>
    <w:r>
      <w:rPr>
        <w:color w:val="555577"/>
        <w:sz w:val="17"/>
        <w:szCs w:val="17"/>
      </w:rPr>
      <w:fldChar w:fldCharType="begin"/>
    </w:r>
    <w:r w:rsidRPr="00DB2E94">
      <w:rPr>
        <w:color w:val="555577"/>
        <w:sz w:val="17"/>
        <w:szCs w:val="17"/>
        <w:lang w:val="en-US"/>
      </w:rPr>
      <w:instrText>PAGE</w:instrText>
    </w:r>
    <w:r>
      <w:rPr>
        <w:color w:val="555577"/>
        <w:sz w:val="17"/>
        <w:szCs w:val="17"/>
      </w:rPr>
      <w:fldChar w:fldCharType="separate"/>
    </w:r>
    <w:r w:rsidR="00DB2E94">
      <w:rPr>
        <w:noProof/>
        <w:color w:val="555577"/>
        <w:sz w:val="17"/>
        <w:szCs w:val="17"/>
      </w:rPr>
      <w:t>1</w:t>
    </w:r>
    <w:r>
      <w:rPr>
        <w:color w:val="5555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4D630" w14:textId="77777777" w:rsidR="00A6557F" w:rsidRDefault="00A6557F">
      <w:r>
        <w:separator/>
      </w:r>
    </w:p>
  </w:footnote>
  <w:footnote w:type="continuationSeparator" w:id="0">
    <w:p w14:paraId="0A79BEDE" w14:textId="77777777" w:rsidR="00A6557F" w:rsidRDefault="00A655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F6747" w14:textId="77777777" w:rsidR="006F5578" w:rsidRDefault="00000000">
    <w:pPr>
      <w:pBdr>
        <w:bottom w:val="single" w:sz="6" w:space="4" w:color="1A56FF"/>
      </w:pBdr>
      <w:jc w:val="right"/>
    </w:pPr>
    <w:r>
      <w:rPr>
        <w:color w:val="555577"/>
        <w:sz w:val="17"/>
        <w:szCs w:val="17"/>
      </w:rPr>
      <w:t>CarePlus Predict — Análise Crítica &amp; Posicionamento de Mercado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F60E2"/>
    <w:multiLevelType w:val="hybridMultilevel"/>
    <w:tmpl w:val="F3D8302C"/>
    <w:lvl w:ilvl="0" w:tplc="4E322C98">
      <w:start w:val="1"/>
      <w:numFmt w:val="decimal"/>
      <w:lvlText w:val="%1."/>
      <w:lvlJc w:val="left"/>
      <w:pPr>
        <w:ind w:left="720" w:hanging="360"/>
      </w:pPr>
    </w:lvl>
    <w:lvl w:ilvl="1" w:tplc="1346A48C">
      <w:numFmt w:val="decimal"/>
      <w:lvlText w:val=""/>
      <w:lvlJc w:val="left"/>
    </w:lvl>
    <w:lvl w:ilvl="2" w:tplc="088E7832">
      <w:numFmt w:val="decimal"/>
      <w:lvlText w:val=""/>
      <w:lvlJc w:val="left"/>
    </w:lvl>
    <w:lvl w:ilvl="3" w:tplc="9028C420">
      <w:numFmt w:val="decimal"/>
      <w:lvlText w:val=""/>
      <w:lvlJc w:val="left"/>
    </w:lvl>
    <w:lvl w:ilvl="4" w:tplc="85243BC4">
      <w:numFmt w:val="decimal"/>
      <w:lvlText w:val=""/>
      <w:lvlJc w:val="left"/>
    </w:lvl>
    <w:lvl w:ilvl="5" w:tplc="30CED360">
      <w:numFmt w:val="decimal"/>
      <w:lvlText w:val=""/>
      <w:lvlJc w:val="left"/>
    </w:lvl>
    <w:lvl w:ilvl="6" w:tplc="7F928BC8">
      <w:numFmt w:val="decimal"/>
      <w:lvlText w:val=""/>
      <w:lvlJc w:val="left"/>
    </w:lvl>
    <w:lvl w:ilvl="7" w:tplc="07DA9742">
      <w:numFmt w:val="decimal"/>
      <w:lvlText w:val=""/>
      <w:lvlJc w:val="left"/>
    </w:lvl>
    <w:lvl w:ilvl="8" w:tplc="528C2BD4">
      <w:numFmt w:val="decimal"/>
      <w:lvlText w:val=""/>
      <w:lvlJc w:val="left"/>
    </w:lvl>
  </w:abstractNum>
  <w:abstractNum w:abstractNumId="1" w15:restartNumberingAfterBreak="0">
    <w:nsid w:val="4EC76852"/>
    <w:multiLevelType w:val="hybridMultilevel"/>
    <w:tmpl w:val="D070054A"/>
    <w:lvl w:ilvl="0" w:tplc="25126790">
      <w:start w:val="1"/>
      <w:numFmt w:val="bullet"/>
      <w:lvlText w:val="•"/>
      <w:lvlJc w:val="left"/>
      <w:pPr>
        <w:ind w:left="720" w:hanging="360"/>
      </w:pPr>
    </w:lvl>
    <w:lvl w:ilvl="1" w:tplc="6148A624">
      <w:numFmt w:val="decimal"/>
      <w:lvlText w:val=""/>
      <w:lvlJc w:val="left"/>
    </w:lvl>
    <w:lvl w:ilvl="2" w:tplc="2F5A02F4">
      <w:numFmt w:val="decimal"/>
      <w:lvlText w:val=""/>
      <w:lvlJc w:val="left"/>
    </w:lvl>
    <w:lvl w:ilvl="3" w:tplc="91C83312">
      <w:numFmt w:val="decimal"/>
      <w:lvlText w:val=""/>
      <w:lvlJc w:val="left"/>
    </w:lvl>
    <w:lvl w:ilvl="4" w:tplc="B2FCFD52">
      <w:numFmt w:val="decimal"/>
      <w:lvlText w:val=""/>
      <w:lvlJc w:val="left"/>
    </w:lvl>
    <w:lvl w:ilvl="5" w:tplc="F05C9FFE">
      <w:numFmt w:val="decimal"/>
      <w:lvlText w:val=""/>
      <w:lvlJc w:val="left"/>
    </w:lvl>
    <w:lvl w:ilvl="6" w:tplc="6EF674D0">
      <w:numFmt w:val="decimal"/>
      <w:lvlText w:val=""/>
      <w:lvlJc w:val="left"/>
    </w:lvl>
    <w:lvl w:ilvl="7" w:tplc="D8968468">
      <w:numFmt w:val="decimal"/>
      <w:lvlText w:val=""/>
      <w:lvlJc w:val="left"/>
    </w:lvl>
    <w:lvl w:ilvl="8" w:tplc="EC9EF2B2">
      <w:numFmt w:val="decimal"/>
      <w:lvlText w:val=""/>
      <w:lvlJc w:val="left"/>
    </w:lvl>
  </w:abstractNum>
  <w:abstractNum w:abstractNumId="2" w15:restartNumberingAfterBreak="0">
    <w:nsid w:val="67AD3220"/>
    <w:multiLevelType w:val="hybridMultilevel"/>
    <w:tmpl w:val="F8741D72"/>
    <w:lvl w:ilvl="0" w:tplc="FA869358">
      <w:start w:val="1"/>
      <w:numFmt w:val="bullet"/>
      <w:lvlText w:val="●"/>
      <w:lvlJc w:val="left"/>
      <w:pPr>
        <w:ind w:left="720" w:hanging="360"/>
      </w:pPr>
    </w:lvl>
    <w:lvl w:ilvl="1" w:tplc="2B500504">
      <w:start w:val="1"/>
      <w:numFmt w:val="bullet"/>
      <w:lvlText w:val="○"/>
      <w:lvlJc w:val="left"/>
      <w:pPr>
        <w:ind w:left="1440" w:hanging="360"/>
      </w:pPr>
    </w:lvl>
    <w:lvl w:ilvl="2" w:tplc="DCF41C46">
      <w:start w:val="1"/>
      <w:numFmt w:val="bullet"/>
      <w:lvlText w:val="■"/>
      <w:lvlJc w:val="left"/>
      <w:pPr>
        <w:ind w:left="2160" w:hanging="360"/>
      </w:pPr>
    </w:lvl>
    <w:lvl w:ilvl="3" w:tplc="F800D6DC">
      <w:start w:val="1"/>
      <w:numFmt w:val="bullet"/>
      <w:lvlText w:val="●"/>
      <w:lvlJc w:val="left"/>
      <w:pPr>
        <w:ind w:left="2880" w:hanging="360"/>
      </w:pPr>
    </w:lvl>
    <w:lvl w:ilvl="4" w:tplc="6FE6382E">
      <w:start w:val="1"/>
      <w:numFmt w:val="bullet"/>
      <w:lvlText w:val="○"/>
      <w:lvlJc w:val="left"/>
      <w:pPr>
        <w:ind w:left="3600" w:hanging="360"/>
      </w:pPr>
    </w:lvl>
    <w:lvl w:ilvl="5" w:tplc="C45ED6E4">
      <w:start w:val="1"/>
      <w:numFmt w:val="bullet"/>
      <w:lvlText w:val="■"/>
      <w:lvlJc w:val="left"/>
      <w:pPr>
        <w:ind w:left="4320" w:hanging="360"/>
      </w:pPr>
    </w:lvl>
    <w:lvl w:ilvl="6" w:tplc="9B7C7BCA">
      <w:start w:val="1"/>
      <w:numFmt w:val="bullet"/>
      <w:lvlText w:val="●"/>
      <w:lvlJc w:val="left"/>
      <w:pPr>
        <w:ind w:left="5040" w:hanging="360"/>
      </w:pPr>
    </w:lvl>
    <w:lvl w:ilvl="7" w:tplc="8A382D32">
      <w:start w:val="1"/>
      <w:numFmt w:val="bullet"/>
      <w:lvlText w:val="●"/>
      <w:lvlJc w:val="left"/>
      <w:pPr>
        <w:ind w:left="5760" w:hanging="360"/>
      </w:pPr>
    </w:lvl>
    <w:lvl w:ilvl="8" w:tplc="4ED829B8">
      <w:start w:val="1"/>
      <w:numFmt w:val="bullet"/>
      <w:lvlText w:val="●"/>
      <w:lvlJc w:val="left"/>
      <w:pPr>
        <w:ind w:left="6480" w:hanging="360"/>
      </w:pPr>
    </w:lvl>
  </w:abstractNum>
  <w:num w:numId="1" w16cid:durableId="91385736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578"/>
    <w:rsid w:val="006F5578"/>
    <w:rsid w:val="00A47C66"/>
    <w:rsid w:val="00A6557F"/>
    <w:rsid w:val="00DB2E9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6CD9A"/>
  <w15:docId w15:val="{C6AD1335-727D-4E6E-929F-21D946C33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0D3BB3"/>
      <w:sz w:val="36"/>
      <w:szCs w:val="36"/>
    </w:rPr>
  </w:style>
  <w:style w:type="paragraph" w:styleId="Heading2">
    <w:name w:val="heading 2"/>
    <w:uiPriority w:val="9"/>
    <w:unhideWhenUsed/>
    <w:qFormat/>
    <w:pPr>
      <w:spacing w:before="320" w:after="120"/>
      <w:outlineLvl w:val="1"/>
    </w:pPr>
    <w:rPr>
      <w:b/>
      <w:bCs/>
      <w:color w:val="1A56FF"/>
      <w:sz w:val="28"/>
      <w:szCs w:val="28"/>
    </w:rPr>
  </w:style>
  <w:style w:type="paragraph" w:styleId="Heading3">
    <w:name w:val="heading 3"/>
    <w:uiPriority w:val="9"/>
    <w:unhideWhenUsed/>
    <w:qFormat/>
    <w:pPr>
      <w:spacing w:before="220" w:after="100"/>
      <w:outlineLvl w:val="2"/>
    </w:pPr>
    <w:rPr>
      <w:b/>
      <w:bCs/>
      <w:color w:val="0D3BB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DB2E94"/>
    <w:pPr>
      <w:spacing w:after="100"/>
    </w:pPr>
  </w:style>
  <w:style w:type="paragraph" w:styleId="TOC2">
    <w:name w:val="toc 2"/>
    <w:basedOn w:val="Normal"/>
    <w:next w:val="Normal"/>
    <w:autoRedefine/>
    <w:uiPriority w:val="39"/>
    <w:unhideWhenUsed/>
    <w:rsid w:val="00DB2E94"/>
    <w:pPr>
      <w:spacing w:after="100"/>
      <w:ind w:left="220"/>
    </w:pPr>
  </w:style>
  <w:style w:type="paragraph" w:styleId="TOC3">
    <w:name w:val="toc 3"/>
    <w:basedOn w:val="Normal"/>
    <w:next w:val="Normal"/>
    <w:autoRedefine/>
    <w:uiPriority w:val="39"/>
    <w:unhideWhenUsed/>
    <w:rsid w:val="00DB2E9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4222</Words>
  <Characters>22804</Characters>
  <Application>Microsoft Office Word</Application>
  <DocSecurity>0</DocSecurity>
  <Lines>190</Lines>
  <Paragraphs>53</Paragraphs>
  <ScaleCrop>false</ScaleCrop>
  <Company/>
  <LinksUpToDate>false</LinksUpToDate>
  <CharactersWithSpaces>26973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Maykon Fonseca</cp:lastModifiedBy>
  <cp:revision>2</cp:revision>
  <dcterms:created xsi:type="dcterms:W3CDTF">2026-03-13T20:25:00Z</dcterms:created>
  <dcterms:modified xsi:type="dcterms:W3CDTF">2026-03-13T20:25:00Z</dcterms:modified>
</cp:coreProperties>
</file>