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Яка машиночитаність потрібна для доступності використання відкритих даних</w:t>
      </w:r>
    </w:p>
    <w:p>
      <w:pPr>
        <w:pStyle w:val="Author"/>
      </w:pPr>
      <w:r>
        <w:t xml:space="preserve">Микола Кузін</w:t>
      </w:r>
    </w:p>
    <w:p>
      <w:pPr>
        <w:pStyle w:val="Date"/>
      </w:pPr>
      <w:r>
        <w:t xml:space="preserve">2025-02-13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Машиночитаність — це структурованість документа на логічному рівні, що уможливлює автоматизоване зчитування його структури та змісту. У сфері відкритих даних цей термін важливо розглядати разом з поняттями</w:t>
      </w:r>
      <w:r>
        <w:t xml:space="preserve"> </w:t>
      </w:r>
      <w:r>
        <w:t xml:space="preserve">“доступності використання”</w:t>
      </w:r>
      <w:r>
        <w:t xml:space="preserve"> </w:t>
      </w:r>
      <w:r>
        <w:t xml:space="preserve">й</w:t>
      </w:r>
      <w:r>
        <w:t xml:space="preserve"> </w:t>
      </w:r>
      <w:r>
        <w:t xml:space="preserve">“простоти обробки”</w:t>
      </w:r>
      <w:r>
        <w:t xml:space="preserve"> </w:t>
      </w:r>
      <w:r>
        <w:t xml:space="preserve">наборів даних — тобто приймати до уваги користувацьку перспективу. З точки зору користувача важлива не лише публікація набору у машиночитаному (структурованому) форматі, а й дотримання стандартів публікації даних. В цій статті наводжу аргументи, чому для українських розпорядників назагал важливіше сфокусуватися на користувацькій перспективі й усунути бар’єри використання наборів, які вже публікуються — й лише після цього (за потреби) дивитися в бік стандартів W3C і Інтернету Даних.</w:t>
      </w:r>
    </w:p>
    <w:bookmarkStart w:id="24" w:name="X68012d9d87309725b7e471074db98d65073e6f5"/>
    <w:p>
      <w:pPr>
        <w:pStyle w:val="Heading2"/>
      </w:pPr>
      <w:r>
        <w:t xml:space="preserve">1 Відкриті дані: вільний доступ і доступність використання</w:t>
      </w:r>
    </w:p>
    <w:p>
      <w:pPr>
        <w:pStyle w:val="FirstParagraph"/>
      </w:pPr>
      <w:r>
        <w:t xml:space="preserve">За визначенням Open Knowledge Foundation —розробників CKAN, на якій реалізований український Портал відкритих даних —</w:t>
      </w:r>
      <w:r>
        <w:t xml:space="preserve"> </w:t>
      </w:r>
      <w:r>
        <w:t xml:space="preserve">“відкритість”</w:t>
      </w:r>
      <w:r>
        <w:t xml:space="preserve"> </w:t>
      </w:r>
      <w:r>
        <w:t xml:space="preserve">даних полягає в тому, що будь-хто може мати до них вільний доступ, вільно використовувати, змінювати та ділитися ними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BodyText"/>
      </w:pPr>
      <w:hyperlink r:id="rId22">
        <w:r>
          <w:rPr>
            <w:rStyle w:val="Hyperlink"/>
          </w:rPr>
          <w:t xml:space="preserve">Однак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“вільний”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не завжди значить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“відкритий”</w:t>
        </w:r>
      </w:hyperlink>
      <w:r>
        <w:t xml:space="preserve">: часто потрібні додаткові кроки, щоби з інформації у вільному доступі зробити дані, доступні до використання.</w:t>
      </w:r>
    </w:p>
    <w:p>
      <w:pPr>
        <w:pStyle w:val="BodyText"/>
      </w:pPr>
      <w:r>
        <w:t xml:space="preserve">Доступність використання — важлива категорія. У Постанові КМУ № 835 принцип</w:t>
      </w:r>
      <w:r>
        <w:t xml:space="preserve"> </w:t>
      </w:r>
      <w:r>
        <w:t xml:space="preserve">“доступності використання”</w:t>
      </w:r>
      <w:r>
        <w:t xml:space="preserve"> </w:t>
      </w:r>
      <w:r>
        <w:t xml:space="preserve">відкритих даних напряму пов’язується з машиночитаним форматом оприлюднених даних. А машиночитаність — зі структурованістю, що уможливлює обробку без участі людини (власне, машинну обробку). У тому ж документі визначено перелік структурованих форматів, що використовуються для оприлюднення наборів. Сюди відносяться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.xls(x)</w:t>
      </w:r>
      <w:r>
        <w:t xml:space="preserve">,</w:t>
      </w:r>
      <w:r>
        <w:t xml:space="preserve"> </w:t>
      </w:r>
      <w:r>
        <w:rPr>
          <w:rStyle w:val="VerbatimChar"/>
        </w:rPr>
        <w:t xml:space="preserve">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.rdf</w:t>
      </w:r>
      <w:r>
        <w:t xml:space="preserve"> </w:t>
      </w:r>
      <w:r>
        <w:t xml:space="preserve">та інші.</w:t>
      </w:r>
    </w:p>
    <w:p>
      <w:pPr>
        <w:pStyle w:val="BodyText"/>
      </w:pPr>
      <w:r>
        <w:t xml:space="preserve">Але візьмемо набір даних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Єдиний звіт про кримінальні правопорушення</w:t>
        </w:r>
      </w:hyperlink>
      <w:r>
        <w:t xml:space="preserve">”</w:t>
      </w:r>
      <w:r>
        <w:t xml:space="preserve">, що оприлюднюється Генеральною Прокуратурою на Порталі відкритих даних. Цей набір даних оприлюднюється у структурованому форматі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і відтак, відповідно до визначень вище, відповідає принципу доступності використання. Втім, заглянуваши всередину опублікованих ресурсів (файлів) набору, побачимо, чому про</w:t>
      </w:r>
      <w:r>
        <w:t xml:space="preserve"> </w:t>
      </w:r>
      <w:r>
        <w:t xml:space="preserve">“машиночитаність”</w:t>
      </w:r>
      <w:r>
        <w:t xml:space="preserve"> </w:t>
      </w:r>
      <w:r>
        <w:t xml:space="preserve">та</w:t>
      </w:r>
      <w:r>
        <w:t xml:space="preserve"> </w:t>
      </w:r>
      <w:r>
        <w:t xml:space="preserve">“доступність використання”</w:t>
      </w:r>
      <w:r>
        <w:t xml:space="preserve"> </w:t>
      </w:r>
      <w:r>
        <w:t xml:space="preserve">тут можна говорити досить умовно:</w:t>
      </w:r>
    </w:p>
    <w:p>
      <w:pPr>
        <w:pStyle w:val="Compact"/>
        <w:numPr>
          <w:ilvl w:val="0"/>
          <w:numId w:val="1001"/>
        </w:numPr>
      </w:pPr>
      <w:r>
        <w:t xml:space="preserve">Всередині однієї вкладки можуть розміщуватися кілька таблиць, одна під одною. Розрізнити їх між собою для роботи в середовищі розробки</w:t>
      </w:r>
      <w:r>
        <w:t xml:space="preserve"> </w:t>
      </w:r>
      <w:r>
        <w:t xml:space="preserve">“без участі людини”</w:t>
      </w:r>
      <w:r>
        <w:t xml:space="preserve"> </w:t>
      </w:r>
      <w:r>
        <w:t xml:space="preserve">складно.</w:t>
      </w:r>
    </w:p>
    <w:p>
      <w:pPr>
        <w:pStyle w:val="Compact"/>
        <w:numPr>
          <w:ilvl w:val="0"/>
          <w:numId w:val="1001"/>
        </w:numPr>
      </w:pPr>
      <w:r>
        <w:t xml:space="preserve">Самі таблиці використовуються для відображення ієрархічних структур даних: для прикладу, за рядком</w:t>
      </w:r>
      <w:r>
        <w:t xml:space="preserve"> </w:t>
      </w:r>
      <w:r>
        <w:t xml:space="preserve">“Усього кримінальних правопорушень”</w:t>
      </w:r>
      <w:r>
        <w:t xml:space="preserve"> </w:t>
      </w:r>
      <w:r>
        <w:t xml:space="preserve">слідують рядки з різнорівневими значеннями</w:t>
      </w:r>
      <w:r>
        <w:t xml:space="preserve"> </w:t>
      </w:r>
      <w:r>
        <w:t xml:space="preserve">“з них”</w:t>
      </w:r>
      <w:r>
        <w:t xml:space="preserve">. Екселівські таблиці — не кращий спосіб відображення даних, що мають ієрархічну структуру.</w:t>
      </w:r>
    </w:p>
    <w:p>
      <w:pPr>
        <w:pStyle w:val="Compact"/>
        <w:numPr>
          <w:ilvl w:val="0"/>
          <w:numId w:val="1001"/>
        </w:numPr>
      </w:pPr>
      <w:r>
        <w:t xml:space="preserve">Назви колонок йдуть у кілька рядків, частина цих клітинок злита між собою, що далі ускладнює зчитування цих таблиць у середовище розробки.</w:t>
      </w:r>
    </w:p>
    <w:p>
      <w:pPr>
        <w:pStyle w:val="Compact"/>
        <w:numPr>
          <w:ilvl w:val="0"/>
          <w:numId w:val="1001"/>
        </w:numPr>
      </w:pPr>
      <w:r>
        <w:t xml:space="preserve">Значення колонок сумуються — це різновид дублювання даних і такі рядки треба додатково вичищати.</w:t>
      </w:r>
    </w:p>
    <w:p>
      <w:pPr>
        <w:pStyle w:val="FirstParagraph"/>
      </w:pPr>
      <w:r>
        <w:t xml:space="preserve">На перший погляд маємо суперечність: набір даних опублікований у структурованому форматі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і тому є машиночитаним, але для прочитання в середовищі розробки (для машинної обробки) потребує суттєвої участі людини і тому не є машиночитаним.</w:t>
      </w:r>
    </w:p>
    <w:p>
      <w:pPr>
        <w:pStyle w:val="BodyText"/>
      </w:pPr>
      <w:r>
        <w:t xml:space="preserve">У Хартії відкритих даних, що описує шість основоположних принципів публікації наборів у форматі відкритих даних, ця суперечність знімається за умови дотримання третього та четвертого принципів. В одному наголошується на важливості використовувати структуровані (машиночитані) формати, тоді як інший вказує на необхідність дотримуватися</w:t>
      </w:r>
      <w:r>
        <w:t xml:space="preserve"> </w:t>
      </w:r>
      <w:r>
        <w:t xml:space="preserve">“поширених стандартів”</w:t>
      </w:r>
      <w:r>
        <w:t xml:space="preserve"> </w:t>
      </w:r>
      <w:r>
        <w:t xml:space="preserve">публікації даних.</w:t>
      </w:r>
    </w:p>
    <w:p>
      <w:pPr>
        <w:pStyle w:val="BodyText"/>
      </w:pPr>
      <w:r>
        <w:t xml:space="preserve">Перед тим як детальніше сказати про користувацьку перспективу і стандарти публікації даних, розглянемо досить спеціальний контекст використання поняття машиночитаності — а саме стандарти публікації даних W3C. Оскільки і</w:t>
      </w:r>
      <w:r>
        <w:t xml:space="preserve"> </w:t>
      </w:r>
      <w:r>
        <w:t xml:space="preserve">“стандарти публікації даних W3C”</w:t>
      </w:r>
      <w:r>
        <w:t xml:space="preserve"> </w:t>
      </w:r>
      <w:r>
        <w:t xml:space="preserve">і</w:t>
      </w:r>
      <w:r>
        <w:t xml:space="preserve"> </w:t>
      </w:r>
      <w:r>
        <w:t xml:space="preserve">“поширені стандарти публікації даних”</w:t>
      </w:r>
      <w:r>
        <w:t xml:space="preserve"> </w:t>
      </w:r>
      <w:r>
        <w:t xml:space="preserve">містять слово</w:t>
      </w:r>
      <w:r>
        <w:t xml:space="preserve"> </w:t>
      </w:r>
      <w:r>
        <w:t xml:space="preserve">“стандарти”</w:t>
      </w:r>
      <w:r>
        <w:t xml:space="preserve">, а тексти з рекомендаціями стосовно кожного з них містяться на Порталі відкритих даних, треба чітко відділити одне від одного.</w:t>
      </w:r>
    </w:p>
    <w:bookmarkEnd w:id="24"/>
    <w:bookmarkStart w:id="30" w:name="X555363a5961787977a44a2fa0824159cff61cf1"/>
    <w:p>
      <w:pPr>
        <w:pStyle w:val="Heading2"/>
      </w:pPr>
      <w:r>
        <w:t xml:space="preserve">2</w:t>
      </w:r>
      <w:r>
        <w:t xml:space="preserve"> </w:t>
      </w:r>
      <w:r>
        <w:rPr>
          <w:b/>
          <w:bCs/>
        </w:rPr>
        <w:t xml:space="preserve">Стандарти W3C і машиночитаність як інтегрованість набору в Інтернет Даних</w:t>
      </w:r>
    </w:p>
    <w:p>
      <w:pPr>
        <w:pStyle w:val="FirstParagraph"/>
      </w:pPr>
      <w:r>
        <w:t xml:space="preserve">Тім Бернерс-Лі розповідав, що на створення Всесвітньої Мережі його наштовхнули постійні складнощі обміну документами між різними користувачами. Оскільки це були в основному текстові документи (те, що можна прочитати), звідти маємо</w:t>
      </w:r>
      <w:r>
        <w:t xml:space="preserve"> </w:t>
      </w:r>
      <w:r>
        <w:t xml:space="preserve">“гіпер-текстові”</w:t>
      </w:r>
      <w:r>
        <w:t xml:space="preserve"> </w:t>
      </w:r>
      <w:r>
        <w:t xml:space="preserve">(hypertext, HT) посилання, HTTP-протокол, HTML-розмітку для структурування веб-сторінок і ще ряд засадничих для сьогоднішньої Мережі стандартів та технологій.</w:t>
      </w:r>
    </w:p>
    <w:p>
      <w:pPr>
        <w:pStyle w:val="BodyText"/>
      </w:pPr>
      <w:r>
        <w:t xml:space="preserve">Згодом він написав статтю</w:t>
      </w:r>
      <w:r>
        <w:rPr>
          <w:rStyle w:val="FootnoteReference"/>
        </w:rPr>
        <w:footnoteReference w:id="25"/>
      </w:r>
      <w:r>
        <w:t xml:space="preserve">, де заявив, що поряд із гіпертекстовою мережею (мережею документів), потрібна мережа даних, оскільки даних стає все більше — і всі виграють, якщо набори даних будуть пов’язані з іншими релевантними наборами по всій Всесвітній Мережі. Він сформулював поняття Linked Data,</w:t>
      </w:r>
      <w:r>
        <w:t xml:space="preserve"> </w:t>
      </w:r>
      <w:r>
        <w:t xml:space="preserve">“пов’язаних [лінками] даних”</w:t>
      </w:r>
      <w:r>
        <w:t xml:space="preserve">, або</w:t>
      </w:r>
      <w:r>
        <w:t xml:space="preserve"> </w:t>
      </w:r>
      <w:r>
        <w:t xml:space="preserve">“залінкованих даних”</w:t>
      </w:r>
      <w:r>
        <w:t xml:space="preserve">. На відміну від гіпертекстової мережі, де лінки (посилання) на інші документи містяться в тезі</w:t>
      </w:r>
      <w:r>
        <w:t xml:space="preserve"> </w:t>
      </w:r>
      <w:r>
        <w:rPr>
          <w:rStyle w:val="VerbatimChar"/>
        </w:rPr>
        <w:t xml:space="preserve">&lt;a&gt;</w:t>
      </w:r>
      <w:r>
        <w:t xml:space="preserve"> </w:t>
      </w:r>
      <w:r>
        <w:t xml:space="preserve">з атрибутом</w:t>
      </w:r>
      <w:r>
        <w:t xml:space="preserve"> </w:t>
      </w:r>
      <w:r>
        <w:rPr>
          <w:rStyle w:val="VerbatimChar"/>
        </w:rPr>
        <w:t xml:space="preserve">href</w:t>
      </w:r>
      <w:r>
        <w:t xml:space="preserve"> </w:t>
      </w:r>
      <w:r>
        <w:t xml:space="preserve">у HTML-документі, об’єкт мережі даних містить посилання на інші об’єкти в RDF-документі.</w:t>
      </w:r>
    </w:p>
    <w:p>
      <w:pPr>
        <w:pStyle w:val="BodyText"/>
      </w:pPr>
      <w:r>
        <w:t xml:space="preserve">Так, якщо розпорядник в Україні, скажімо, КМДА, публікує набір даних про парковки в Київі, при дотриманні стандарту RDF (зокрема, використанні словників DCAT), цей набір буде залінкований з усіма наборами у світі, в яких йдеться про парковки в містах — якщо в них дотримані ті ж стандарти. RDF використовує троїсті структури (триплети) для опису спостережень:</w:t>
      </w:r>
    </w:p>
    <w:p>
      <w:pPr>
        <w:pStyle w:val="Compact"/>
        <w:numPr>
          <w:ilvl w:val="0"/>
          <w:numId w:val="1002"/>
        </w:numPr>
      </w:pPr>
      <w:r>
        <w:t xml:space="preserve">Тут буде</w:t>
      </w:r>
      <w:r>
        <w:t xml:space="preserve"> </w:t>
      </w:r>
      <w:r>
        <w:rPr>
          <w:rStyle w:val="VerbatimChar"/>
        </w:rPr>
        <w:t xml:space="preserve">суб'єкт</w:t>
      </w:r>
      <w:r>
        <w:t xml:space="preserve">, конкретне паркомісце в Києві зі своїм унікальним на весь Інтернет URI-ідентифікатором;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предикат</w:t>
      </w:r>
      <w:r>
        <w:t xml:space="preserve">, який описуватиме властивість цього суб’єкта — наприклад,</w:t>
      </w:r>
      <w:r>
        <w:t xml:space="preserve"> </w:t>
      </w:r>
      <w:r>
        <w:t xml:space="preserve">“Кількість паркомісць”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об'єкт</w:t>
      </w:r>
      <w:r>
        <w:t xml:space="preserve"> </w:t>
      </w:r>
      <w:r>
        <w:t xml:space="preserve">— це значення предиката. Скажімо,</w:t>
      </w:r>
      <w:r>
        <w:t xml:space="preserve"> </w:t>
      </w:r>
      <w:r>
        <w:t xml:space="preserve">“70”</w:t>
      </w:r>
      <w:r>
        <w:t xml:space="preserve"> </w:t>
      </w:r>
      <w:r>
        <w:t xml:space="preserve">(паркомісць).</w:t>
      </w:r>
    </w:p>
    <w:p>
      <w:pPr>
        <w:pStyle w:val="FirstParagraph"/>
      </w:pPr>
      <w:r>
        <w:t xml:space="preserve">Цей гарний інтерактивний граф з Linked Open Data Cloud показує, яка виглядає Інтернет даних, завдяки організаціям, які дотримуються стандартів відкритих даних WC3:</w:t>
      </w:r>
    </w:p>
    <w:p>
      <w:pPr>
        <w:pStyle w:val="BodyText"/>
      </w:pPr>
      <w:r>
        <w:t xml:space="preserve">Я навмисно тут дещо заглибився в технічні деталі, щоб показати, що робота з RDF-форматом — це не просто</w:t>
      </w:r>
      <w:r>
        <w:rPr>
          <w:rStyle w:val="FootnoteReference"/>
        </w:rPr>
        <w:footnoteReference w:id="27"/>
      </w:r>
      <w:r>
        <w:t xml:space="preserve">. Для повноцінного використання стандартів відкритих даних W3C розпорядникам потрібні спеціалісти. На українському Порталі відкритих даних станом на 11 грудня 2024 року з 841,643 опублікованих ресурсів (файлів), у форматі RDF опубліковано лише 25 (двадцять п’ять). При чому усі у 2018 році і в одного розпорядника, Державної прикордонної служби.</w:t>
      </w:r>
    </w:p>
    <w:p>
      <w:pPr>
        <w:pStyle w:val="SourceCode"/>
      </w:pPr>
      <w:r>
        <w:rPr>
          <w:rStyle w:val="VerbatimChar"/>
        </w:rPr>
        <w:t xml:space="preserve"># A tibble: 25 × 2</w:t>
      </w:r>
      <w:r>
        <w:br/>
      </w:r>
      <w:r>
        <w:rPr>
          <w:rStyle w:val="VerbatimChar"/>
        </w:rPr>
        <w:t xml:space="preserve">   mimetype            created                   </w:t>
      </w:r>
      <w:r>
        <w:br/>
      </w:r>
      <w:r>
        <w:rPr>
          <w:rStyle w:val="VerbatimChar"/>
        </w:rPr>
        <w:t xml:space="preserve">   &lt;chr&gt;               &lt;chr&gt;                     </w:t>
      </w:r>
      <w:r>
        <w:br/>
      </w:r>
      <w:r>
        <w:rPr>
          <w:rStyle w:val="VerbatimChar"/>
        </w:rPr>
        <w:t xml:space="preserve"> 1 application/rdf+xml 2018-11-01T13:28:03.538971</w:t>
      </w:r>
      <w:r>
        <w:br/>
      </w:r>
      <w:r>
        <w:rPr>
          <w:rStyle w:val="VerbatimChar"/>
        </w:rPr>
        <w:t xml:space="preserve"> 2 application/rdf+xml 2018-11-02T09:00:38.201840</w:t>
      </w:r>
      <w:r>
        <w:br/>
      </w:r>
      <w:r>
        <w:rPr>
          <w:rStyle w:val="VerbatimChar"/>
        </w:rPr>
        <w:t xml:space="preserve"> 3 application/rdf+xml 2018-11-01T11:14:31.685839</w:t>
      </w:r>
      <w:r>
        <w:br/>
      </w:r>
      <w:r>
        <w:rPr>
          <w:rStyle w:val="VerbatimChar"/>
        </w:rPr>
        <w:t xml:space="preserve"> 4 application/rdf+xml 2018-11-05T10:37:34.390529</w:t>
      </w:r>
      <w:r>
        <w:br/>
      </w:r>
      <w:r>
        <w:rPr>
          <w:rStyle w:val="VerbatimChar"/>
        </w:rPr>
        <w:t xml:space="preserve"> 5 application/rdf+xml 2018-11-05T10:21:52.515944</w:t>
      </w:r>
      <w:r>
        <w:br/>
      </w:r>
      <w:r>
        <w:rPr>
          <w:rStyle w:val="VerbatimChar"/>
        </w:rPr>
        <w:t xml:space="preserve"> 6 application/rdf+xml 2018-11-05T10:39:31.313447</w:t>
      </w:r>
      <w:r>
        <w:br/>
      </w:r>
      <w:r>
        <w:rPr>
          <w:rStyle w:val="VerbatimChar"/>
        </w:rPr>
        <w:t xml:space="preserve"> 7 application/rdf+xml 2018-11-02T11:02:25.354277</w:t>
      </w:r>
      <w:r>
        <w:br/>
      </w:r>
      <w:r>
        <w:rPr>
          <w:rStyle w:val="VerbatimChar"/>
        </w:rPr>
        <w:t xml:space="preserve"> 8 application/rdf+xml 2018-11-05T10:22:31.868074</w:t>
      </w:r>
      <w:r>
        <w:br/>
      </w:r>
      <w:r>
        <w:rPr>
          <w:rStyle w:val="VerbatimChar"/>
        </w:rPr>
        <w:t xml:space="preserve"> 9 application/rdf+xml 2018-11-05T10:41:03.930371</w:t>
      </w:r>
      <w:r>
        <w:br/>
      </w:r>
      <w:r>
        <w:rPr>
          <w:rStyle w:val="VerbatimChar"/>
        </w:rPr>
        <w:t xml:space="preserve">10 application/rdf+xml 2018-11-05T10:23:24.421427</w:t>
      </w:r>
      <w:r>
        <w:br/>
      </w:r>
      <w:r>
        <w:rPr>
          <w:rStyle w:val="VerbatimChar"/>
        </w:rPr>
        <w:t xml:space="preserve"># ℹ 15 more rows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9">
        <w:r>
          <w:rPr>
            <w:rStyle w:val="Hyperlink"/>
            <w:vertAlign w:val="subscript"/>
          </w:rPr>
          <w:t xml:space="preserve">Article Notebook</w:t>
        </w:r>
      </w:hyperlink>
    </w:p>
    <w:bookmarkEnd w:id="30"/>
    <w:bookmarkStart w:id="37" w:name="sec-data-methods"/>
    <w:p>
      <w:pPr>
        <w:pStyle w:val="Heading2"/>
      </w:pPr>
      <w:r>
        <w:t xml:space="preserve">3 Поширені стандарти публікації даних і увага до користувачів</w:t>
      </w:r>
    </w:p>
    <w:p>
      <w:pPr>
        <w:pStyle w:val="FirstParagraph"/>
      </w:pPr>
      <w:r>
        <w:t xml:space="preserve">Перше, що кинулося мені у вічі, коли почав читати обговорення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спільноти відкритих даних Сполученого королівства — це уточення</w:t>
      </w:r>
      <w:r>
        <w:t xml:space="preserve"> </w:t>
      </w:r>
      <w:r>
        <w:rPr>
          <w:i/>
          <w:iCs/>
        </w:rPr>
        <w:t xml:space="preserve">user stories</w:t>
      </w:r>
      <w:r>
        <w:t xml:space="preserve">, тобто сценаріїв використання наборів даних різними групами користувачів. Цей же підхід є у рекомендованих країною стандартах публікації відкритих даних. Для прикладу, є рекомендований стандарт публікації табличних даних</w:t>
      </w:r>
      <w:r>
        <w:rPr>
          <w:rStyle w:val="FootnoteReference"/>
        </w:rPr>
        <w:footnoteReference w:id="33"/>
      </w:r>
      <w:r>
        <w:t xml:space="preserve">, в якому на самому початку описані користувачі таких даних:</w:t>
      </w:r>
    </w:p>
    <w:p>
      <w:pPr>
        <w:pStyle w:val="Compact"/>
        <w:numPr>
          <w:ilvl w:val="0"/>
          <w:numId w:val="1003"/>
        </w:numPr>
      </w:pPr>
      <w:r>
        <w:t xml:space="preserve">люди, які використовують табличний редактор для базового аналізу</w:t>
      </w:r>
    </w:p>
    <w:p>
      <w:pPr>
        <w:pStyle w:val="Compact"/>
        <w:numPr>
          <w:ilvl w:val="0"/>
          <w:numId w:val="1003"/>
        </w:numPr>
      </w:pPr>
      <w:r>
        <w:t xml:space="preserve">аналітики, які використовують дані в статистичних програмах або застосунках для бізнес-аналітики для проведення інтерактивного аналізу</w:t>
      </w:r>
    </w:p>
    <w:p>
      <w:pPr>
        <w:pStyle w:val="Compact"/>
        <w:numPr>
          <w:ilvl w:val="0"/>
          <w:numId w:val="1003"/>
        </w:numPr>
      </w:pPr>
      <w:r>
        <w:t xml:space="preserve">дата-сайєнтисти, які пишуть програмне забезпечення для аналізу даних, яке завантажує та обробляє дані, наприклад, відтворювані аналітичні пайплайни</w:t>
      </w:r>
    </w:p>
    <w:p>
      <w:pPr>
        <w:pStyle w:val="Compact"/>
        <w:numPr>
          <w:ilvl w:val="0"/>
          <w:numId w:val="1003"/>
        </w:numPr>
      </w:pPr>
      <w:r>
        <w:t xml:space="preserve">розробники, які обробляють дані в різному програмному забезпеченні</w:t>
      </w:r>
    </w:p>
    <w:p>
      <w:pPr>
        <w:pStyle w:val="Compact"/>
        <w:numPr>
          <w:ilvl w:val="0"/>
          <w:numId w:val="1003"/>
        </w:numPr>
      </w:pPr>
      <w:r>
        <w:t xml:space="preserve">люди, яким потрібно швидко шукати релевантні дані перед їх аналізом за допомогою спеціалізованих інструментів</w:t>
      </w:r>
    </w:p>
    <w:p>
      <w:pPr>
        <w:pStyle w:val="FirstParagraph"/>
      </w:pPr>
      <w:r>
        <w:t xml:space="preserve">Відповідно, знаючи профілі тих, хто користуватиметься даними, стають зрозумілішіми їхні потреби, з яких вже можна сформулювати вимоги до публікації самих табличних наборів. За такого підходу доступність й простота використання справді стоїть на першому місці.</w:t>
      </w:r>
    </w:p>
    <w:p>
      <w:pPr>
        <w:pStyle w:val="BodyText"/>
      </w:pPr>
      <w:r>
        <w:t xml:space="preserve">На противагу, повертаючись до згаданого набору Генпрокуратури, єдиною групою користувачів, яку можна уявити розглядаючи набір у його поточному стані — це люди, які користуються роздрукуваними листками. Втім, сам факт публікації цього набору розпорядником є важливою віхою; питання стоїть як цей набір і решту табличних наборів зробити зручнішими для використання.</w:t>
      </w:r>
    </w:p>
    <w:p>
      <w:pPr>
        <w:pStyle w:val="BodyText"/>
      </w:pPr>
      <w:r>
        <w:t xml:space="preserve">В Україні є сформульовані рекомендації щодо публікації табличних даних, що роблять простішою для користувачів роботу з ними. У пам’ятці «Підготовка даних до публікації», розробленої в рамках проекту «Прозорість та підзвітність в державному управлінні та послугах» / TAPAS, влучно зазначено, що «… найбільш цінними для користувачів є саме структуровані та машиночитані дані. Однак із цим типом даних традиційно виникає найбільше проблем у розпорядників даних»</w:t>
      </w:r>
      <w:r>
        <w:rPr>
          <w:rStyle w:val="FootnoteReference"/>
        </w:rPr>
        <w:footnoteReference w:id="35"/>
      </w:r>
      <w:r>
        <w:t xml:space="preserve">. Там же наведені конкретні приклади, як виглядають правильні і неправильні таблиці — і чому так.</w:t>
      </w:r>
    </w:p>
    <w:p>
      <w:pPr>
        <w:pStyle w:val="BodyText"/>
      </w:pPr>
      <w:r>
        <w:t xml:space="preserve">Крім того, на Порталі відкритих даних є лаконічні рекомендації з принципами оприлюднення табличних даних (вони потребують уточнення і розширення, щоб справді бути корисними розпорядникам):</w:t>
      </w:r>
    </w:p>
    <w:p>
      <w:pPr>
        <w:pStyle w:val="Compact"/>
        <w:numPr>
          <w:ilvl w:val="0"/>
          <w:numId w:val="1004"/>
        </w:numPr>
      </w:pPr>
      <w:r>
        <w:t xml:space="preserve">Таблиця — це впорядкована сукупність колонок та рядків.</w:t>
      </w:r>
    </w:p>
    <w:p>
      <w:pPr>
        <w:pStyle w:val="Compact"/>
        <w:numPr>
          <w:ilvl w:val="0"/>
          <w:numId w:val="1004"/>
        </w:numPr>
      </w:pPr>
      <w:r>
        <w:t xml:space="preserve">Кожен рядок таблиці містить один запис.</w:t>
      </w:r>
    </w:p>
    <w:p>
      <w:pPr>
        <w:pStyle w:val="Compact"/>
        <w:numPr>
          <w:ilvl w:val="0"/>
          <w:numId w:val="1004"/>
        </w:numPr>
      </w:pPr>
      <w:r>
        <w:t xml:space="preserve">Кожна колонка — значення, що змінюються від рядка до рядка.</w:t>
      </w:r>
    </w:p>
    <w:p>
      <w:pPr>
        <w:pStyle w:val="Compact"/>
        <w:numPr>
          <w:ilvl w:val="0"/>
          <w:numId w:val="1004"/>
        </w:numPr>
      </w:pPr>
      <w:r>
        <w:t xml:space="preserve">Назви колонок розміщуються в шапці. #</w:t>
      </w:r>
      <w:r>
        <w:t xml:space="preserve"> </w:t>
      </w:r>
      <w:r>
        <w:rPr>
          <w:i/>
          <w:iCs/>
        </w:rPr>
        <w:t xml:space="preserve">тут треба ще додати, що в одному рядку</w:t>
      </w:r>
    </w:p>
    <w:p>
      <w:pPr>
        <w:pStyle w:val="Compact"/>
        <w:numPr>
          <w:ilvl w:val="0"/>
          <w:numId w:val="1004"/>
        </w:numPr>
      </w:pPr>
      <w:r>
        <w:t xml:space="preserve">На перетині рядків та колонок знаходяться комірки.</w:t>
      </w:r>
    </w:p>
    <w:p>
      <w:pPr>
        <w:pStyle w:val="Compact"/>
        <w:numPr>
          <w:ilvl w:val="0"/>
          <w:numId w:val="1004"/>
        </w:numPr>
      </w:pPr>
      <w:r>
        <w:t xml:space="preserve">Таблиця не може містити заголовків та об’єднаних комірок.</w:t>
      </w:r>
    </w:p>
    <w:p>
      <w:pPr>
        <w:pStyle w:val="Compact"/>
        <w:numPr>
          <w:ilvl w:val="0"/>
          <w:numId w:val="1004"/>
        </w:numPr>
      </w:pPr>
      <w:r>
        <w:t xml:space="preserve">Колір, шрифт, інше форматування тексту та комірок не є даними.</w:t>
      </w:r>
    </w:p>
    <w:p>
      <w:pPr>
        <w:pStyle w:val="FirstParagraph"/>
      </w:pPr>
      <w:r>
        <w:t xml:space="preserve">Таким чином, в Україні проблема простоти та доступності використання структурованих даних, як бачимо, поставлена, поточна мета — засвоєння базових рекомендацій щодо публікацій наборів якомога ширшим колом розпорядників.</w:t>
      </w:r>
    </w:p>
    <w:bookmarkEnd w:id="37"/>
    <w:bookmarkStart w:id="38" w:name="висновки"/>
    <w:p>
      <w:pPr>
        <w:pStyle w:val="Heading2"/>
      </w:pPr>
      <w:r>
        <w:t xml:space="preserve">4 Висновки</w:t>
      </w:r>
    </w:p>
    <w:p>
      <w:pPr>
        <w:pStyle w:val="FirstParagraph"/>
      </w:pPr>
      <w:r>
        <w:t xml:space="preserve">Візіонерський проєкт Інтернету даних, описаний у стандартах відкритих даних W3C, вимагає від ропорядників ресурсів та інституційної спроможності для реалізації цих проєктів. Більшість ЦОВВ і окремі ОМС в Україні можуть це робити — й отримають більше видимості у світі та інтеграції з релевантними для них стейкхолдерами.</w:t>
      </w:r>
    </w:p>
    <w:p>
      <w:pPr>
        <w:pStyle w:val="BodyText"/>
      </w:pPr>
      <w:r>
        <w:t xml:space="preserve">Втім, є прагматичніша ціль, від якої виграють усі користувачі даних в Україні — привести ті набори даних, що вже публікуються, у відповідність базовим рекомендаціям (стандартам) до публікації наборів.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https://opendefinition.org/od/2.0/ua/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https://www.w3.org/DesignIssues/LinkedData.html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Це лагідний вступ до роботи з RDF (на мові R)</w:t>
      </w:r>
      <w:r>
        <w:t xml:space="preserve"> </w:t>
      </w:r>
      <w:hyperlink r:id="rId28">
        <w:r>
          <w:rPr>
            <w:rStyle w:val="Hyperlink"/>
          </w:rPr>
          <w:t xml:space="preserve">https://cran.r-project.org/web/packages/rdflib/vignettes/rdf_intro.html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https://github.com/co-cddo/open-standards/issues/40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Hyperlink"/>
          </w:rPr>
          <w:t xml:space="preserve">https://www.gov.uk/government/publications/recommended-open-standards-for-government/tabular-data-standard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https://data.gov.ua/uploads/files/2018-08-11-104337.710875Part04.pdf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8" Target="https://cran.r-project.org/web/packages/rdflib/vignettes/rdf_intro.html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36" Target="https://data.gov.ua/uploads/files/2018-08-11-104337.710875Part04.pdf" TargetMode="External" /><Relationship Type="http://schemas.openxmlformats.org/officeDocument/2006/relationships/hyperlink" Id="rId32" Target="https://github.com/co-cddo/open-standards/issues/40" TargetMode="External" /><Relationship Type="http://schemas.openxmlformats.org/officeDocument/2006/relationships/hyperlink" Id="rId29" Target="https://mykuzin.github.io/machine-readability-and-open-data/index.qmd.html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34" Target="https://www.gov.uk/government/publications/recommended-open-standards-for-government/tabular-data-standard" TargetMode="External" /><Relationship Type="http://schemas.openxmlformats.org/officeDocument/2006/relationships/hyperlink" Id="rId26" Target="https://www.w3.org/DesignIssues/LinkedDa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8" Target="https://cran.r-project.org/web/packages/rdflib/vignettes/rdf_intro.html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36" Target="https://data.gov.ua/uploads/files/2018-08-11-104337.710875Part04.pdf" TargetMode="External" /><Relationship Type="http://schemas.openxmlformats.org/officeDocument/2006/relationships/hyperlink" Id="rId32" Target="https://github.com/co-cddo/open-standards/issues/40" TargetMode="External" /><Relationship Type="http://schemas.openxmlformats.org/officeDocument/2006/relationships/hyperlink" Id="rId29" Target="https://mykuzin.github.io/machine-readability-and-open-data/index.qmd.html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34" Target="https://www.gov.uk/government/publications/recommended-open-standards-for-government/tabular-data-standard" TargetMode="External" /><Relationship Type="http://schemas.openxmlformats.org/officeDocument/2006/relationships/hyperlink" Id="rId26" Target="https://www.w3.org/DesignIssues/LinkedDa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Яка машиночитаність потрібна для доступності використання відкритих даних</dc:title>
  <dc:creator>Микола Кузін</dc:creator>
  <cp:keywords>машиночитаність, відкриті дані, стандарти відкритих даних</cp:keywords>
  <dcterms:created xsi:type="dcterms:W3CDTF">2025-02-13T14:30:43Z</dcterms:created>
  <dcterms:modified xsi:type="dcterms:W3CDTF">2025-02-13T14:30:43Z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Машиночитаність — це структурованість документа на логічному рівні, що уможливлює автоматизоване зчитування його структури та змісту. У сфері відкритих даних цей термін важливо розглядати разом з поняттями “доступності використання” й “простоти обробки” наборів даних — тобто приймати до уваги користувацьку перспективу. З точки зору користувача важлива не лише публікація набору у машиночитаному (структурованому) форматі, а й дотримання стандартів публікації даних. В цій статті наводжу аргументи, чому для українських розпорядників назагал важливіше сфокусуватися на користувацькій перспективі й усунути бар’єри використання наборів, які вже публікуються — й лише після цього (за потреби) дивитися в бік стандартів W3C і Інтернету Даних.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2025-02-13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