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Яка машиночитаність потрібна для доступності використання відкритих даних</w:t>
      </w:r>
    </w:p>
    <w:p>
      <w:pPr>
        <w:pStyle w:val="Author"/>
      </w:pPr>
      <w:r>
        <w:t xml:space="preserve">Микола Кузін</w:t>
      </w:r>
    </w:p>
    <w:p>
      <w:pPr>
        <w:pStyle w:val="Date"/>
      </w:pPr>
      <w:r>
        <w:t xml:space="preserve">2024-11-11</w:t>
      </w:r>
    </w:p>
    <w:p>
      <w:pPr>
        <w:pStyle w:val="AbstractTitle"/>
      </w:pPr>
      <w:r>
        <w:t xml:space="preserve">Abstract</w:t>
      </w:r>
    </w:p>
    <w:p>
      <w:pPr>
        <w:pStyle w:val="Abstract"/>
      </w:pPr>
      <w:r>
        <w:t xml:space="preserve">Говорячи про машиночитаність, слід розрізняти</w:t>
      </w:r>
    </w:p>
    <w:bookmarkStart w:id="26" w:name="Xae1608cf9dc80ec89a022862eeea72a1f3ba73e"/>
    <w:p>
      <w:pPr>
        <w:pStyle w:val="Heading2"/>
      </w:pPr>
      <w:r>
        <w:t xml:space="preserve">1 Вільний доступ vs доступність використання відкритих даних</w:t>
      </w:r>
    </w:p>
    <w:p>
      <w:pPr>
        <w:pStyle w:val="FirstParagraph"/>
      </w:pPr>
      <w:r>
        <w:t xml:space="preserve">За визначенням Open Knowledge Foundation, розробників CKAN, на якій реалізований український Портал відкритих даних,</w:t>
      </w:r>
      <w:r>
        <w:t xml:space="preserve"> </w:t>
      </w:r>
      <w:r>
        <w:t xml:space="preserve">“відкритість”</w:t>
      </w:r>
      <w:r>
        <w:t xml:space="preserve"> </w:t>
      </w:r>
      <w:r>
        <w:t xml:space="preserve">даних полягає в тому, що будь-хто може мати до них вільний доступ, вільно використовувати, змінювати та ділитися ними.</w:t>
      </w:r>
    </w:p>
    <w:p>
      <w:pPr>
        <w:pStyle w:val="BodyText"/>
      </w:pPr>
      <w:r>
        <w:t xml:space="preserve">Однак</w:t>
      </w:r>
      <w:r>
        <w:t xml:space="preserve"> </w:t>
      </w:r>
      <w:r>
        <w:t xml:space="preserve">“вільний”</w:t>
      </w:r>
      <w:r>
        <w:t xml:space="preserve"> </w:t>
      </w:r>
      <w:r>
        <w:t xml:space="preserve">не завжди значить</w:t>
      </w:r>
      <w:r>
        <w:t xml:space="preserve"> </w:t>
      </w:r>
      <w:r>
        <w:t xml:space="preserve">“відкритий”</w:t>
      </w:r>
      <w:r>
        <w:t xml:space="preserve">: часто потрібні додаткові кроки, щоби з інформації у вільному доступі зробити дані, доступні до використання.</w:t>
      </w:r>
    </w:p>
    <w:p>
      <w:pPr>
        <w:pStyle w:val="BodyText"/>
      </w:pPr>
      <w:r>
        <w:t xml:space="preserve">У Постанові КМУ № 835</w:t>
      </w:r>
      <w:r>
        <w:t xml:space="preserve"> </w:t>
      </w:r>
      <w:r>
        <w:t xml:space="preserve">“доступність використання”</w:t>
      </w:r>
      <w:r>
        <w:t xml:space="preserve"> </w:t>
      </w:r>
      <w:r>
        <w:t xml:space="preserve">відкритих даних напряму пов’язується з машиночитаним форматом оприлюднених даних. А машиночитаність — зі структурованістю даних, що уможливлює обробку без участі людини (власне, машинну обробку). У Постанові також визначено перелік форматів (розширень) структурованих</w:t>
      </w:r>
    </w:p>
    <w:p>
      <w:pPr>
        <w:pStyle w:val="BodyText"/>
      </w:pPr>
      <w:r>
        <w:t xml:space="preserve">Подивимося на значення машиночитаності в контексті відкритих даних і поміркуємо</w:t>
      </w:r>
    </w:p>
    <w:p>
      <w:pPr>
        <w:pStyle w:val="BodyText"/>
      </w:pPr>
      <w:r>
        <w:t xml:space="preserve">Free is not Always Open. Making data freely available is only the first step in making it open for all to reuse. There are layers of barriers between information that anyone can get and data that anyone can use. This is because making the data open is not always about licences or the format issues, but it is also about comprehension and access. Open data should not require additional time, resources and expertise to be used.</w:t>
      </w:r>
    </w:p>
    <w:p>
      <w:pPr>
        <w:pStyle w:val="BodyText"/>
      </w:pPr>
      <w:r>
        <w:t xml:space="preserve">“Open means anyone can freely access, use, modify, and share for any purpose (subject, at most, to requirements that preserve provenance and openness).”</w:t>
      </w:r>
    </w:p>
    <w:p>
      <w:pPr>
        <w:pStyle w:val="BodyText"/>
      </w:pPr>
      <w:r>
        <w:t xml:space="preserve">Тому при відкритті даних слід зважати не лише на ліцензії та формати даних, а й на сприйняття та доступність користувачеві.</w:t>
      </w:r>
    </w:p>
    <w:p>
      <w:pPr>
        <w:pStyle w:val="BodyText"/>
      </w:pPr>
      <w:r>
        <w:t xml:space="preserve">Based on data up to and including 1971, eruptions on La Palma happen every</w:t>
      </w:r>
      <w:r>
        <w:t xml:space="preserve"> </w:t>
      </w:r>
      <w:r>
        <w:rPr>
          <w:rStyle w:val="VerbatimChar"/>
        </w:rPr>
        <w:t xml:space="preserve">{r} round(avg_years_between_eruptions, 1)</w:t>
      </w:r>
      <w:r>
        <w:t xml:space="preserve"> </w:t>
      </w:r>
      <w:r>
        <w:t xml:space="preserve">years on average.</w:t>
      </w:r>
    </w:p>
    <w:p>
      <w:pPr>
        <w:pStyle w:val="BodyText"/>
      </w:pPr>
      <w:r>
        <w:t xml:space="preserve">Studies of the magma systems feeding the volcano, save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w:t>
      </w:r>
    </w:p>
    <w:p>
      <w:pPr>
        <w:pStyle w:val="BodyText"/>
      </w:pPr>
      <w:r>
        <w:t xml:space="preserve">Data and methods are discus</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20"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20"/>
    </w:p>
    <w:p>
      <w:pPr>
        <w:pStyle w:val="FirstParagraph"/>
      </w:pPr>
      <w:r>
        <w:t xml:space="preserve">where</w:t>
      </w:r>
      <w:r>
        <w:t xml:space="preserve"> </w:t>
      </w:r>
      <m:oMath>
        <m:r>
          <m:t>λ</m:t>
        </m:r>
      </m:oMath>
      <w:r>
        <w:t xml:space="preserve"> </w:t>
      </w:r>
      <w:r>
        <w:t xml:space="preserve">is the rate of eruptions per year. robability of an eruption in the next</w:t>
      </w:r>
      <w:r>
        <w:t xml:space="preserve"> </w:t>
      </w:r>
      <m:oMath>
        <m:r>
          <m:t>t</m:t>
        </m:r>
      </m:oMath>
      <w:r>
        <w:t xml:space="preserve"> </w:t>
      </w:r>
      <w:r>
        <w:t xml:space="preserve">years can be calculated.</w:t>
      </w:r>
    </w:p>
    <w:tbl>
      <w:tblPr>
        <w:tblStyle w:val="Table"/>
        <w:tblW w:type="pct" w:w="5000"/>
        <w:tblLayout w:type="fixed"/>
        <w:tblLook w:firstRow="0" w:lastRow="0" w:firstColumn="0" w:lastColumn="0" w:noHBand="0" w:noVBand="0" w:val="0000"/>
      </w:tblPr>
      <w:tblGrid>
        <w:gridCol w:w="7920"/>
      </w:tblGrid>
      <w:tr>
        <w:tc>
          <w:tcPr/>
          <w:bookmarkStart w:id="21"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Name</w:t>
                  </w:r>
                </w:p>
              </w:tc>
              <w:tc>
                <w:tcPr/>
                <w:p>
                  <w:pPr>
                    <w:pStyle w:val="Compact"/>
                    <w:jc w:val="center"/>
                  </w:pPr>
                  <w:r>
                    <w:t xml:space="preserve">Year</w:t>
                  </w:r>
                </w:p>
              </w:tc>
            </w:tr>
            <w:tr>
              <w:tc>
                <w:tcPr/>
                <w:p>
                  <w:pPr>
                    <w:pStyle w:val="Compact"/>
                    <w:jc w:val="center"/>
                  </w:pPr>
                  <w:r>
                    <w:t xml:space="preserve">Current</w:t>
                  </w:r>
                </w:p>
              </w:tc>
              <w:tc>
                <w:tcPr/>
                <w:p>
                  <w:pPr>
                    <w:pStyle w:val="Compact"/>
                    <w:jc w:val="center"/>
                  </w:pPr>
                  <w:r>
                    <w:t xml:space="preserve">2021</w:t>
                  </w:r>
                </w:p>
              </w:tc>
            </w:tr>
            <w:tr>
              <w:tc>
                <w:tcPr/>
                <w:p>
                  <w:pPr>
                    <w:pStyle w:val="Compact"/>
                    <w:jc w:val="center"/>
                  </w:pPr>
                  <w:r>
                    <w:t xml:space="preserve">Teneguía</w:t>
                  </w:r>
                </w:p>
              </w:tc>
              <w:tc>
                <w:tcPr/>
                <w:p>
                  <w:pPr>
                    <w:pStyle w:val="Compact"/>
                    <w:jc w:val="center"/>
                  </w:pPr>
                  <w:r>
                    <w:t xml:space="preserve">1971</w:t>
                  </w:r>
                </w:p>
              </w:tc>
            </w:tr>
            <w:tr>
              <w:tc>
                <w:tcPr/>
                <w:p>
                  <w:pPr>
                    <w:pStyle w:val="Compact"/>
                    <w:jc w:val="center"/>
                  </w:pPr>
                  <w:r>
                    <w:t xml:space="preserve">Nambroque</w:t>
                  </w:r>
                </w:p>
              </w:tc>
              <w:tc>
                <w:tcPr/>
                <w:p>
                  <w:pPr>
                    <w:pStyle w:val="Compact"/>
                    <w:jc w:val="center"/>
                  </w:pPr>
                  <w:r>
                    <w:t xml:space="preserve">1949</w:t>
                  </w:r>
                </w:p>
              </w:tc>
            </w:tr>
            <w:tr>
              <w:tc>
                <w:tcPr/>
                <w:p>
                  <w:pPr>
                    <w:pStyle w:val="Compact"/>
                    <w:jc w:val="center"/>
                  </w:pPr>
                  <w:r>
                    <w:t xml:space="preserve">El Charco</w:t>
                  </w:r>
                </w:p>
              </w:tc>
              <w:tc>
                <w:tcPr/>
                <w:p>
                  <w:pPr>
                    <w:pStyle w:val="Compact"/>
                    <w:jc w:val="center"/>
                  </w:pPr>
                  <w:r>
                    <w:t xml:space="preserve">1712</w:t>
                  </w:r>
                </w:p>
              </w:tc>
            </w:tr>
            <w:tr>
              <w:tc>
                <w:tcPr/>
                <w:p>
                  <w:pPr>
                    <w:pStyle w:val="Compact"/>
                    <w:jc w:val="center"/>
                  </w:pPr>
                  <w:r>
                    <w:t xml:space="preserve">Volcán San Antonio</w:t>
                  </w:r>
                </w:p>
              </w:tc>
              <w:tc>
                <w:tcPr/>
                <w:p>
                  <w:pPr>
                    <w:pStyle w:val="Compact"/>
                    <w:jc w:val="center"/>
                  </w:pPr>
                  <w:r>
                    <w:t xml:space="preserve">1677</w:t>
                  </w:r>
                </w:p>
              </w:tc>
            </w:tr>
            <w:tr>
              <w:tc>
                <w:tcPr/>
                <w:p>
                  <w:pPr>
                    <w:pStyle w:val="Compact"/>
                    <w:jc w:val="center"/>
                  </w:pPr>
                  <w:r>
                    <w:t xml:space="preserve">Volcán San Martin</w:t>
                  </w:r>
                </w:p>
              </w:tc>
              <w:tc>
                <w:tcPr/>
                <w:p>
                  <w:pPr>
                    <w:pStyle w:val="Compact"/>
                    <w:jc w:val="center"/>
                  </w:pPr>
                  <w:r>
                    <w:t xml:space="preserve">1646</w:t>
                  </w:r>
                </w:p>
              </w:tc>
            </w:tr>
            <w:tr>
              <w:tc>
                <w:tcPr/>
                <w:p>
                  <w:pPr>
                    <w:pStyle w:val="Compact"/>
                    <w:jc w:val="center"/>
                  </w:pPr>
                  <w:r>
                    <w:t xml:space="preserve">Tajuya near El Paso</w:t>
                  </w:r>
                </w:p>
              </w:tc>
              <w:tc>
                <w:tcPr/>
                <w:p>
                  <w:pPr>
                    <w:pStyle w:val="Compact"/>
                    <w:jc w:val="center"/>
                  </w:pPr>
                  <w:r>
                    <w:t xml:space="preserve">1585</w:t>
                  </w:r>
                </w:p>
              </w:tc>
            </w:tr>
            <w:tr>
              <w:tc>
                <w:tcPr/>
                <w:p>
                  <w:pPr>
                    <w:pStyle w:val="Compact"/>
                    <w:jc w:val="center"/>
                  </w:pPr>
                  <w:r>
                    <w:t xml:space="preserve">Montaña Quemada</w:t>
                  </w:r>
                </w:p>
              </w:tc>
              <w:tc>
                <w:tcPr/>
                <w:p>
                  <w:pPr>
                    <w:pStyle w:val="Compact"/>
                    <w:jc w:val="center"/>
                  </w:pPr>
                  <w:r>
                    <w:t xml:space="preserve">1492</w:t>
                  </w:r>
                </w:p>
              </w:tc>
            </w:tr>
          </w:tbl>
          <w:bookmarkEnd w:id="21"/>
          <w:p/>
        </w:tc>
      </w:tr>
    </w:tbl>
    <w:p>
      <w:pPr>
        <w:pStyle w:val="BodyText"/>
      </w:pPr>
      <w:r>
        <w:t xml:space="preserve">the eruptions recorded since the colonization of the islands by Europeans in the late 1400s.</w:t>
      </w:r>
    </w:p>
    <w:tbl>
      <w:tblPr>
        <w:tblStyle w:val="Table"/>
        <w:tblW w:type="pct" w:w="5000"/>
        <w:tblLayout w:type="fixed"/>
        <w:tblLook w:firstRow="0" w:lastRow="0" w:firstColumn="0" w:lastColumn="0" w:noHBand="0" w:noVBand="0" w:val="0000"/>
      </w:tblPr>
      <w:tblGrid>
        <w:gridCol w:w="7920"/>
      </w:tblGrid>
      <w:tr>
        <w:tc>
          <w:tcPr/>
          <w:bookmarkStart w:id="25" w:name="fig-map"/>
          <w:p>
            <w:pPr>
              <w:pStyle w:val="Compact"/>
              <w:jc w:val="center"/>
            </w:pPr>
            <w:r>
              <w:drawing>
                <wp:inline>
                  <wp:extent cx="5334000" cy="2369740"/>
                  <wp:effectExtent b="0" l="0" r="0" t="0"/>
                  <wp:docPr descr="" title="" id="23" name="Picture"/>
                  <a:graphic>
                    <a:graphicData uri="http://schemas.openxmlformats.org/drawingml/2006/picture">
                      <pic:pic>
                        <pic:nvPicPr>
                          <pic:cNvPr descr="images/la-palma-map.png" id="24" name="Picture"/>
                          <pic:cNvPicPr>
                            <a:picLocks noChangeArrowheads="1" noChangeAspect="1"/>
                          </pic:cNvPicPr>
                        </pic:nvPicPr>
                        <pic:blipFill>
                          <a:blip r:embed="rId22"/>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La Palma</w:t>
            </w:r>
          </w:p>
          <w:bookmarkEnd w:id="25"/>
        </w:tc>
      </w:tr>
    </w:tbl>
    <w:p>
      <w:pPr>
        <w:pStyle w:val="BodyText"/>
      </w:pPr>
      <w:r>
        <w:t xml:space="preserve">La Palma is one of the west most islands in the Volcanic Archipelago of the Canary Islan</w:t>
      </w:r>
    </w:p>
    <w:bookmarkEnd w:id="26"/>
    <w:bookmarkStart w:id="27" w:name="sec-data-methods"/>
    <w:p>
      <w:pPr>
        <w:pStyle w:val="Heading2"/>
      </w:pPr>
      <w:r>
        <w:t xml:space="preserve">2 Data &amp; Methods</w:t>
      </w:r>
    </w:p>
    <w:bookmarkEnd w:id="27"/>
    <w:bookmarkStart w:id="28" w:name="conclusion"/>
    <w:p>
      <w:pPr>
        <w:pStyle w:val="Heading2"/>
      </w:pPr>
      <w:r>
        <w:t xml:space="preserve">3 Conclusion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Яка машиночитаність потрібна для доступності використання відкритих даних</dc:title>
  <dc:creator>Микола Кузін</dc:creator>
  <cp:keywords>машиночитаність, відкриті дані</cp:keywords>
  <dcterms:created xsi:type="dcterms:W3CDTF">2024-11-11T13:37:51Z</dcterms:created>
  <dcterms:modified xsi:type="dcterms:W3CDTF">2024-11-11T13:37:51Z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Говорячи про машиночитаність, слід розрізняти</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2024-11-11</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