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Яка машиночитаність потрібна для доступності використання відкритих даних</w:t>
      </w:r>
    </w:p>
    <w:p>
      <w:pPr>
        <w:pStyle w:val="Author"/>
      </w:pPr>
      <w:r>
        <w:t xml:space="preserve">Микола Кузін</w:t>
      </w:r>
    </w:p>
    <w:p>
      <w:pPr>
        <w:pStyle w:val="Date"/>
      </w:pPr>
      <w:r>
        <w:t xml:space="preserve">2024-11-11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Машиночитаність — широкий термін, що може позначати як технічні вимоги до оформлення веб-ресурсів (як 5-Star Linked Data), що уможливлює їхню автоматизовану взаємодію в мережі Інтернет, так і доступність автоматизованої обробки з боку кінцевих користувачів. За кожним з цих значень стоять різні стандарти та практики — і ці значення слід розрізняти між собою, готуючи набори відкритих даних до публікації.</w:t>
      </w:r>
    </w:p>
    <w:bookmarkStart w:id="28" w:name="Xae1608cf9dc80ec89a022862eeea72a1f3ba73e"/>
    <w:p>
      <w:pPr>
        <w:pStyle w:val="Heading2"/>
      </w:pPr>
      <w:r>
        <w:t xml:space="preserve">1 Вільний доступ vs доступність використання відкритих даних</w:t>
      </w:r>
    </w:p>
    <w:p>
      <w:pPr>
        <w:pStyle w:val="FirstParagraph"/>
      </w:pPr>
      <w:r>
        <w:t xml:space="preserve">За визначенням Open Knowledge Foundation —розробників CKAN, на якій реалізований український Портал відкритих даних —</w:t>
      </w:r>
      <w:r>
        <w:t xml:space="preserve"> </w:t>
      </w:r>
      <w:r>
        <w:t xml:space="preserve">“відкритість”</w:t>
      </w:r>
      <w:r>
        <w:t xml:space="preserve"> </w:t>
      </w:r>
      <w:r>
        <w:t xml:space="preserve">даних полягає в тому, що будь-хто може мати до них вільний доступ, вільно використовувати, змінювати та ділитися ними</w:t>
      </w:r>
      <w:r>
        <w:rPr>
          <w:rStyle w:val="FootnoteReference"/>
        </w:rPr>
        <w:footnoteReference w:id="20"/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Однак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“вільний”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не завжди значить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“відкритий”</w:t>
        </w:r>
      </w:hyperlink>
      <w:r>
        <w:t xml:space="preserve">: часто потрібні додаткові кроки, щоби з інформації у вільному доступі зробити дані, доступні до використання.</w:t>
      </w:r>
    </w:p>
    <w:p>
      <w:pPr>
        <w:pStyle w:val="BodyText"/>
      </w:pPr>
      <w:r>
        <w:t xml:space="preserve">Доступність використання — важлива категорія. У Постанові КМУ № 835 принцип</w:t>
      </w:r>
      <w:r>
        <w:t xml:space="preserve"> </w:t>
      </w:r>
      <w:r>
        <w:t xml:space="preserve">“доступності використання”</w:t>
      </w:r>
      <w:r>
        <w:t xml:space="preserve"> </w:t>
      </w:r>
      <w:r>
        <w:t xml:space="preserve">відкритих даних напряму пов’язується з машиночитаним форматом оприлюднених даних. А машиночитаність — зі структурованістю, що уможливлює обробку без участі людини (власне, машинну обробку). У тому ж документі визначено перелік структурованих форматів (розширень), що використовуються для оприлюднення наборів. Сюди відносяться .json, .csv, .xls(x) та інші.</w:t>
      </w:r>
    </w:p>
    <w:p>
      <w:pPr>
        <w:pStyle w:val="BodyText"/>
      </w:pPr>
      <w:r>
        <w:t xml:space="preserve">Але візьмемо набір даних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Єдиний звіт про кримінальні правопорушення</w:t>
        </w:r>
      </w:hyperlink>
      <w:r>
        <w:t xml:space="preserve">”</w:t>
      </w:r>
      <w:r>
        <w:t xml:space="preserve">, що оприлюднюється Генеральною Прокуратурою на Порталі відкритих даних. Цей набір даних оприлюднюється у структурованому форматі .xlsx і відтак, відповідно до визначень вище, відповідає принципу доступності використання. Втім, заглянуваши всередину опублікованих ресурсів (файлів) набору, побачимо, чому про</w:t>
      </w:r>
      <w:r>
        <w:t xml:space="preserve"> </w:t>
      </w:r>
      <w:r>
        <w:t xml:space="preserve">“машиночитаність”</w:t>
      </w:r>
      <w:r>
        <w:t xml:space="preserve"> </w:t>
      </w:r>
      <w:r>
        <w:t xml:space="preserve">та</w:t>
      </w:r>
      <w:r>
        <w:t xml:space="preserve"> </w:t>
      </w:r>
      <w:r>
        <w:t xml:space="preserve">“доступність використання”</w:t>
      </w:r>
      <w:r>
        <w:t xml:space="preserve"> </w:t>
      </w:r>
      <w:r>
        <w:t xml:space="preserve">тут можна говорити досить умовно:</w:t>
      </w:r>
    </w:p>
    <w:p>
      <w:pPr>
        <w:pStyle w:val="Compact"/>
        <w:numPr>
          <w:ilvl w:val="0"/>
          <w:numId w:val="1001"/>
        </w:numPr>
      </w:pPr>
      <w:r>
        <w:t xml:space="preserve">Всередині однієї вкладки можуть розміщуватися кілька таблиць, одна під одною. Розрізнити їх між собою для роботи в середовищі розробки</w:t>
      </w:r>
      <w:r>
        <w:t xml:space="preserve"> </w:t>
      </w:r>
      <w:r>
        <w:t xml:space="preserve">“без участі людини”</w:t>
      </w:r>
      <w:r>
        <w:t xml:space="preserve"> </w:t>
      </w:r>
      <w:r>
        <w:t xml:space="preserve">складно.</w:t>
      </w:r>
    </w:p>
    <w:p>
      <w:pPr>
        <w:pStyle w:val="Compact"/>
        <w:numPr>
          <w:ilvl w:val="0"/>
          <w:numId w:val="1001"/>
        </w:numPr>
      </w:pPr>
      <w:r>
        <w:t xml:space="preserve">Самі таблиці використовуються для відображення ієрархічних структур даних: для прикладу, за рядком</w:t>
      </w:r>
      <w:r>
        <w:t xml:space="preserve"> </w:t>
      </w:r>
      <w:r>
        <w:t xml:space="preserve">“Усього кримінальних правопорушень”</w:t>
      </w:r>
      <w:r>
        <w:t xml:space="preserve"> </w:t>
      </w:r>
      <w:r>
        <w:t xml:space="preserve">слідують рядки з різнорівневими значеннями</w:t>
      </w:r>
      <w:r>
        <w:t xml:space="preserve"> </w:t>
      </w:r>
      <w:r>
        <w:t xml:space="preserve">“з них”</w:t>
      </w:r>
      <w:r>
        <w:t xml:space="preserve">. Екселівські таблиці — не кращий спосіб відображення даних, що мають ієрархічну структуру.</w:t>
      </w:r>
    </w:p>
    <w:p>
      <w:pPr>
        <w:pStyle w:val="Compact"/>
        <w:numPr>
          <w:ilvl w:val="0"/>
          <w:numId w:val="1001"/>
        </w:numPr>
      </w:pPr>
      <w:r>
        <w:t xml:space="preserve">Назви колонок йдуть у кілька рядків, частина цих клітинок злита між собою, що далі ускладнює зчитування цих таблиць у середовище розробки.</w:t>
      </w:r>
    </w:p>
    <w:p>
      <w:pPr>
        <w:pStyle w:val="Compact"/>
        <w:numPr>
          <w:ilvl w:val="0"/>
          <w:numId w:val="1001"/>
        </w:numPr>
      </w:pPr>
      <w:r>
        <w:t xml:space="preserve">Значення колонок сумуються — це різновид дублювання даних і такі рядки треба додатково вичищати</w:t>
      </w:r>
    </w:p>
    <w:p>
      <w:pPr>
        <w:pStyle w:val="FirstParagraph"/>
      </w:pPr>
      <w:r>
        <w:t xml:space="preserve">На перший погляд маємо парадокс: набір даних опублікований у структурованому форматі .xlsx і тому є машиночитаним, але для прочитання в середовищі розробки (машинної обробки) потребує суттєвої участі людини і тому не є машиночитаним. Цей парадокс зникає, коли детальніше дивимося на значення, в яких машиночитаність може використовуватись: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ступінь інтегрованості набору даних у мережу Інтернет</w:t>
      </w:r>
      <w:r>
        <w:rPr>
          <w:rStyle w:val="FootnoteReference"/>
        </w:rPr>
        <w:footnoteReference w:id="24"/>
      </w:r>
      <w:r>
        <w:t xml:space="preserve">. Сюди відносяться вимоги та рекомендації, які дозволяють веб-ресурсам правильно і повно взаємодіяти один з одним. Публікація набору даних у структурованому форматі .xlsx — це вже приклад відповідності таким вимогам</w:t>
      </w:r>
      <w:r>
        <w:rPr>
          <w:rStyle w:val="FootnoteReference"/>
        </w:rPr>
        <w:footnoteReference w:id="26"/>
      </w:r>
      <w:r>
        <w:t xml:space="preserve">. Це технічна сторона вимог до оформлення веб-ресурсу — концепція</w:t>
      </w:r>
      <w:r>
        <w:t xml:space="preserve"> </w:t>
      </w:r>
      <w:r>
        <w:rPr>
          <w:i/>
          <w:iCs/>
        </w:rPr>
        <w:t xml:space="preserve">5-Star Linked Data</w:t>
      </w:r>
      <w:r>
        <w:t xml:space="preserve"> </w:t>
      </w:r>
      <w:r>
        <w:t xml:space="preserve">Тіма Бернерса-Лі є найвідомішим прикладом рекомендацій щодо машиночитаності.</w:t>
      </w:r>
    </w:p>
    <w:p>
      <w:pPr>
        <w:pStyle w:val="Compact"/>
        <w:numPr>
          <w:ilvl w:val="0"/>
          <w:numId w:val="1002"/>
        </w:numPr>
      </w:pPr>
      <w:r>
        <w:t xml:space="preserve">Машиночитаність як чистота даних та відповідність використовуваних форматів потребам користувачів. Поняття tidy data, критерії Open Data certificate, важливість юз-кейсів/ розуміння, хто буде користуватися наборами.</w:t>
      </w:r>
    </w:p>
    <w:bookmarkEnd w:id="28"/>
    <w:bookmarkStart w:id="30" w:name="X6a8adbe721e7aeb2c93e09828c5b0aa8c44728b"/>
    <w:p>
      <w:pPr>
        <w:pStyle w:val="Heading2"/>
      </w:pPr>
      <w:r>
        <w:t xml:space="preserve">2 Машиночитаність як інтегрованість набору даних у мережу Інтернет</w:t>
      </w:r>
    </w:p>
    <w:bookmarkStart w:id="29" w:name="а.-5-star-linked"/>
    <w:p>
      <w:pPr>
        <w:pStyle w:val="Heading3"/>
      </w:pPr>
      <w:r>
        <w:t xml:space="preserve">2.1 а. 5-Star Linked</w:t>
      </w:r>
    </w:p>
    <w:bookmarkEnd w:id="29"/>
    <w:bookmarkEnd w:id="30"/>
    <w:bookmarkStart w:id="31" w:name="sec-data-methods"/>
    <w:p>
      <w:pPr>
        <w:pStyle w:val="Heading2"/>
      </w:pPr>
      <w:r>
        <w:t xml:space="preserve">3 Машиночитаність як відповідність потребам користувачів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https://opendefinition.org/od/2.0/ua/</w:t>
        </w:r>
      </w:hyperlink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5">
        <w:r>
          <w:rPr>
            <w:rStyle w:val="Hyperlink"/>
          </w:rPr>
          <w:t xml:space="preserve">https://blog.ldodds.com/2015/02/20/comparing-the-5-star-scheme-with-open-data-certificates/</w:t>
        </w:r>
      </w:hyperlink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7">
        <w:r>
          <w:rPr>
            <w:rStyle w:val="Hyperlink"/>
          </w:rPr>
          <w:t xml:space="preserve">https://www.w3.org/2011/gld/wiki/5_Star_Linked_Data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27" Target="https://www.w3.org/2011/gld/wiki/5_Star_Linked_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ims.gitbook.io/open-data-mooc/unit-1-open-data-principles/lesson-1.1-what-is-open-data#id-5.-challenges" TargetMode="External" /><Relationship Type="http://schemas.openxmlformats.org/officeDocument/2006/relationships/hyperlink" Id="rId25" Target="https://blog.ldodds.com/2015/02/20/comparing-the-5-star-scheme-with-open-data-certificates/" TargetMode="External" /><Relationship Type="http://schemas.openxmlformats.org/officeDocument/2006/relationships/hyperlink" Id="rId23" Target="https://data.gov.ua/dataset/8b9b1677-2407-454a-bfa7-76eb638c0ea1" TargetMode="External" /><Relationship Type="http://schemas.openxmlformats.org/officeDocument/2006/relationships/hyperlink" Id="rId21" Target="https://opendefinition.org/od/2.0/ua/" TargetMode="External" /><Relationship Type="http://schemas.openxmlformats.org/officeDocument/2006/relationships/hyperlink" Id="rId27" Target="https://www.w3.org/2011/gld/wiki/5_Star_Linked_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Яка машиночитаність потрібна для доступності використання відкритих даних</dc:title>
  <dc:creator>Микола Кузін</dc:creator>
  <cp:keywords>машиночитаність, відкриті дані</cp:keywords>
  <dcterms:created xsi:type="dcterms:W3CDTF">2024-11-11T17:46:21Z</dcterms:created>
  <dcterms:modified xsi:type="dcterms:W3CDTF">2024-11-11T17:46:21Z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Машиночитаність — широкий термін, що може позначати як технічні вимоги до оформлення веб-ресурсів (як 5-Star Linked Data), що уможливлює їхню автоматизовану взаємодію в мережі Інтернет, так і доступність автоматизованої обробки з боку кінцевих користувачів. За кожним з цих значень стоять різні стандарти та практики — і ці значення слід розрізняти між собою, готуючи набори відкритих даних до публікації.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date">
    <vt:lpwstr>2024-11-11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key-points">
    <vt:lpwstr/>
  </property>
  <property fmtid="{D5CDD505-2E9C-101B-9397-08002B2CF9AE}" pid="15" name="labels">
    <vt:lpwstr/>
  </property>
  <property fmtid="{D5CDD505-2E9C-101B-9397-08002B2CF9AE}" pid="16" name="lightbox">
    <vt:lpwstr>auto</vt:lpwstr>
  </property>
  <property fmtid="{D5CDD505-2E9C-101B-9397-08002B2CF9AE}" pid="17" name="manuscript">
    <vt:lpwstr/>
  </property>
  <property fmtid="{D5CDD505-2E9C-101B-9397-08002B2CF9AE}" pid="18" name="notebook-preview-options">
    <vt:lpwstr/>
  </property>
  <property fmtid="{D5CDD505-2E9C-101B-9397-08002B2CF9AE}" pid="19" name="quarto-internal">
    <vt:lpwstr/>
  </property>
  <property fmtid="{D5CDD505-2E9C-101B-9397-08002B2CF9AE}" pid="20" name="remove-hidden">
    <vt:lpwstr>all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