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2024-11-11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w:t>
      </w:r>
    </w:p>
    <w:bookmarkStart w:id="28" w:name="Xae1608cf9dc80ec89a022862eeea72a1f3ba73e"/>
    <w:p>
      <w:pPr>
        <w:pStyle w:val="Heading2"/>
      </w:pPr>
      <w:r>
        <w:t xml:space="preserve">1 Вільний доступ vs доступність використання відкритих даних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 (розширень), що використовуються для оприлюднення наборів. Сюди відносяться .json, .csv, .xls(x) 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 .xlsx 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</w:t>
      </w:r>
    </w:p>
    <w:p>
      <w:pPr>
        <w:pStyle w:val="FirstParagraph"/>
      </w:pPr>
      <w:r>
        <w:t xml:space="preserve">На перший погляд маємо парадокс: набір даних опублікований у структурованому форматі .xlsx і тому є машиночитаним, але для прочитання в середовищі розробки (машинної обробки) потребує суттєвої участі людини і тому не є машиночитаним. Цей парадокс зникає, коли детальніше дивимося на значення, в яких машиночитаність може використовуватись: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ступінь інтегрованості набору даних у мережу Інтернет</w:t>
      </w:r>
      <w:r>
        <w:rPr>
          <w:rStyle w:val="FootnoteReference"/>
        </w:rPr>
        <w:footnoteReference w:id="24"/>
      </w:r>
      <w:r>
        <w:t xml:space="preserve">. Сюди відносяться вимоги та рекомендації, які дозволяють веб-ресурсам правильно і повно взаємодіяти один з одним. Публікація набору даних у структурованому форматі .xlsx — це вже приклад відповідності таким вимогам</w:t>
      </w:r>
      <w:r>
        <w:rPr>
          <w:rStyle w:val="FootnoteReference"/>
        </w:rPr>
        <w:footnoteReference w:id="26"/>
      </w:r>
      <w:r>
        <w:t xml:space="preserve">. Це технічна сторона вимог до оформлення веб-ресурсу — концепція</w:t>
      </w:r>
      <w:r>
        <w:t xml:space="preserve"> </w:t>
      </w:r>
      <w:r>
        <w:rPr>
          <w:i/>
          <w:iCs/>
        </w:rPr>
        <w:t xml:space="preserve">5-Star Linked Data</w:t>
      </w:r>
      <w:r>
        <w:t xml:space="preserve"> </w:t>
      </w:r>
      <w:r>
        <w:t xml:space="preserve">Тіма Бернерса-Лі є найвідомішим прикладом рекомендацій щодо машиночитаності.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чистота даних та відповідність використовуваних форматів потребам користувачів. Поняття tidy data, критерії Open Data certificate, важливість юз-кейсів/ розуміння, хто буде користуватися наборами.</w:t>
      </w:r>
    </w:p>
    <w:bookmarkEnd w:id="28"/>
    <w:bookmarkStart w:id="30" w:name="X6a8adbe721e7aeb2c93e09828c5b0aa8c44728b"/>
    <w:p>
      <w:pPr>
        <w:pStyle w:val="Heading2"/>
      </w:pPr>
      <w:r>
        <w:t xml:space="preserve">2 Машиночитаність як інтегрованість набору даних у мережу Інтернет</w:t>
      </w:r>
    </w:p>
    <w:bookmarkStart w:id="29" w:name="а.-5-star-linked"/>
    <w:p>
      <w:pPr>
        <w:pStyle w:val="Heading3"/>
      </w:pPr>
      <w:r>
        <w:t xml:space="preserve">2.1 а. 5-Star Linked</w:t>
      </w:r>
    </w:p>
    <w:bookmarkEnd w:id="29"/>
    <w:bookmarkEnd w:id="30"/>
    <w:bookmarkStart w:id="31" w:name="sec-data-methods"/>
    <w:p>
      <w:pPr>
        <w:pStyle w:val="Heading2"/>
      </w:pPr>
      <w:r>
        <w:t xml:space="preserve">3 Машиночитаність як відповідність потребам користувачів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https://blog.ldodds.com/2015/02/20/comparing-the-5-star-scheme-with-open-data-certificates/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https://www.w3.org/2011/gld/wiki/5_Star_Linked_Data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</cp:keywords>
  <dcterms:created xsi:type="dcterms:W3CDTF">2024-11-11T17:50:54Z</dcterms:created>
  <dcterms:modified xsi:type="dcterms:W3CDTF">2024-11-11T17:50:54Z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2024-11-11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