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Log &amp; UI Hi-Fi Readiness</w:t>
      </w:r>
    </w:p>
    <w:p>
      <w:r>
        <w:t>Version 1.0  •  14 October 2026  •  Status: Approved decisions recorded; design preparation in progress</w:t>
      </w:r>
    </w:p>
    <w:p>
      <w:pPr>
        <w:pStyle w:val="Heading1"/>
      </w:pPr>
      <w:r>
        <w:t>1. Approved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Design / delivery impact</w:t>
            </w:r>
          </w:p>
        </w:tc>
      </w:tr>
      <w:tr>
        <w:tc>
          <w:tcPr>
            <w:tcW w:type="dxa" w:w="2160"/>
          </w:tcPr>
          <w:p>
            <w:r>
              <w:t>DEC-001</w:t>
            </w:r>
          </w:p>
        </w:tc>
        <w:tc>
          <w:tcPr>
            <w:tcW w:type="dxa" w:w="2160"/>
          </w:tcPr>
          <w:p>
            <w:r>
              <w:t>MVP countries</w:t>
              <w:br/>
              <w:t>Sweden, Netherlands, Finland, France, Germany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Five countries are scope commitments; verified country/program records are a separate publication gate.</w:t>
            </w:r>
          </w:p>
        </w:tc>
      </w:tr>
      <w:tr>
        <w:tc>
          <w:tcPr>
            <w:tcW w:type="dxa" w:w="2160"/>
          </w:tcPr>
          <w:p>
            <w:r>
              <w:t>DEC-002</w:t>
            </w:r>
          </w:p>
        </w:tc>
        <w:tc>
          <w:tcPr>
            <w:tcW w:type="dxa" w:w="2160"/>
          </w:tcPr>
          <w:p>
            <w:r>
              <w:t>Guest budget workflow</w:t>
              <w:br/>
              <w:t>Guests may calculate and preview budget. Authentication is required to persist results.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Keep unsaved inputs through sign-in return where technically feasible; no guest server-side save.</w:t>
            </w:r>
          </w:p>
        </w:tc>
      </w:tr>
      <w:tr>
        <w:tc>
          <w:tcPr>
            <w:tcW w:type="dxa" w:w="2160"/>
          </w:tcPr>
          <w:p>
            <w:r>
              <w:t>DEC-003</w:t>
            </w:r>
          </w:p>
        </w:tc>
        <w:tc>
          <w:tcPr>
            <w:tcW w:type="dxa" w:w="2160"/>
          </w:tcPr>
          <w:p>
            <w:r>
              <w:t>Exchange rates &amp; costs</w:t>
              <w:br/>
              <w:t>Use official sources and proposed review cadence.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Exchange rates daily; tuition per academic year/change; living costs quarterly; visa/financial thresholds monthly and on official change. Mark freshness and source.</w:t>
            </w:r>
          </w:p>
        </w:tc>
      </w:tr>
      <w:tr>
        <w:tc>
          <w:tcPr>
            <w:tcW w:type="dxa" w:w="2160"/>
          </w:tcPr>
          <w:p>
            <w:r>
              <w:t>DEC-004</w:t>
            </w:r>
          </w:p>
        </w:tc>
        <w:tc>
          <w:tcPr>
            <w:tcW w:type="dxa" w:w="2160"/>
          </w:tcPr>
          <w:p>
            <w:r>
              <w:t>Mobile UX validation</w:t>
              <w:br/>
              <w:t>Prototype and test priority mobile screens before locking layout.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Test search/filter, compare, budget, checklist and login/save gate.</w:t>
            </w:r>
          </w:p>
        </w:tc>
      </w:tr>
      <w:tr>
        <w:tc>
          <w:tcPr>
            <w:tcW w:type="dxa" w:w="2160"/>
          </w:tcPr>
          <w:p>
            <w:r>
              <w:t>DEC-005</w:t>
            </w:r>
          </w:p>
        </w:tc>
        <w:tc>
          <w:tcPr>
            <w:tcW w:type="dxa" w:w="2160"/>
          </w:tcPr>
          <w:p>
            <w:r>
              <w:t>Reviewer publishing authority</w:t>
              <w:br/>
              <w:t>Follow approved ACL: scoped Reviewer may publish if granted publish permission; otherwise cannot.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  <w:tc>
          <w:tcPr>
            <w:tcW w:type="dxa" w:w="2160"/>
          </w:tcPr>
          <w:p>
            <w:r>
              <w:t>No separate Publisher role has been approved; approval/publishing subject to version, source and separation-of-duties controls.</w:t>
            </w:r>
          </w:p>
        </w:tc>
      </w:tr>
    </w:tbl>
    <w:p>
      <w:pPr>
        <w:pStyle w:val="Heading1"/>
      </w:pPr>
      <w:r>
        <w:t>2. UX behavior baseline</w:t>
      </w:r>
    </w:p>
    <w:p>
      <w:pPr>
        <w:pStyle w:val="ListBullet"/>
      </w:pPr>
      <w:r>
        <w:t>Guest can browse countries/programs, compare options and run a budget estimate without signing in.</w:t>
      </w:r>
    </w:p>
    <w:p>
      <w:pPr>
        <w:pStyle w:val="ListBullet"/>
      </w:pPr>
      <w:r>
        <w:t>Selecting Save on a budget estimate or checklist prompts authentication; after success, return to the original task and preserve draft inputs if possible.</w:t>
      </w:r>
    </w:p>
    <w:p>
      <w:pPr>
        <w:pStyle w:val="ListBullet"/>
      </w:pPr>
      <w:r>
        <w:t>All published cost/visa/program figures show source URL, date checked, currency, unit and relevant academic year.</w:t>
      </w:r>
    </w:p>
    <w:p>
      <w:pPr>
        <w:pStyle w:val="ListBullet"/>
      </w:pPr>
      <w:r>
        <w:t>An unavailable or stale rate must be visibly labeled; never silently present an old conversion as current.</w:t>
      </w:r>
    </w:p>
    <w:p>
      <w:pPr>
        <w:pStyle w:val="ListBullet"/>
      </w:pPr>
      <w:r>
        <w:t>Role-based UI visibility does not replace server-side authorization. Reviewer publication requires explicit scoped permission per ACL.</w:t>
      </w:r>
    </w:p>
    <w:p>
      <w:pPr>
        <w:pStyle w:val="Heading1"/>
      </w:pPr>
      <w:r>
        <w:t>3. Proposed data governance rules (operational defaults)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Review cadence</w:t>
            </w:r>
          </w:p>
        </w:tc>
        <w:tc>
          <w:tcPr>
            <w:tcW w:type="dxa" w:w="2880"/>
          </w:tcPr>
          <w:p>
            <w:r>
              <w:t>Display / fallback</w:t>
            </w:r>
          </w:p>
        </w:tc>
      </w:tr>
      <w:tr>
        <w:tc>
          <w:tcPr>
            <w:tcW w:type="dxa" w:w="2880"/>
          </w:tcPr>
          <w:p>
            <w:r>
              <w:t>FX rates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Source, timestamp, original currency and VND conversion; label stale if refresh fails</w:t>
            </w:r>
          </w:p>
        </w:tc>
      </w:tr>
      <w:tr>
        <w:tc>
          <w:tcPr>
            <w:tcW w:type="dxa" w:w="2880"/>
          </w:tcPr>
          <w:p>
            <w:r>
              <w:t>Tuition</w:t>
            </w:r>
          </w:p>
        </w:tc>
        <w:tc>
          <w:tcPr>
            <w:tcW w:type="dxa" w:w="2880"/>
          </w:tcPr>
          <w:p>
            <w:r>
              <w:t>Each academic year and official changes</w:t>
            </w:r>
          </w:p>
        </w:tc>
        <w:tc>
          <w:tcPr>
            <w:tcW w:type="dxa" w:w="2880"/>
          </w:tcPr>
          <w:p>
            <w:r>
              <w:t>Institution/program URL, year, fee basis and student category</w:t>
            </w:r>
          </w:p>
        </w:tc>
      </w:tr>
      <w:tr>
        <w:tc>
          <w:tcPr>
            <w:tcW w:type="dxa" w:w="2880"/>
          </w:tcPr>
          <w:p>
            <w:r>
              <w:t>Living costs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Official statistical/study portal reference, period, location and estimate caveat</w:t>
            </w:r>
          </w:p>
        </w:tc>
      </w:tr>
      <w:tr>
        <w:tc>
          <w:tcPr>
            <w:tcW w:type="dxa" w:w="2880"/>
          </w:tcPr>
          <w:p>
            <w:r>
              <w:t>Visa fees / maintenance funds</w:t>
            </w:r>
          </w:p>
        </w:tc>
        <w:tc>
          <w:tcPr>
            <w:tcW w:type="dxa" w:w="2880"/>
          </w:tcPr>
          <w:p>
            <w:r>
              <w:t>Monthly and official change</w:t>
            </w:r>
          </w:p>
        </w:tc>
        <w:tc>
          <w:tcPr>
            <w:tcW w:type="dxa" w:w="2880"/>
          </w:tcPr>
          <w:p>
            <w:r>
              <w:t>Immigration authority URL, effective date and rule scope</w:t>
            </w:r>
          </w:p>
        </w:tc>
      </w:tr>
    </w:tbl>
    <w:p>
      <w:pPr>
        <w:pStyle w:val="Heading1"/>
      </w:pPr>
      <w:r>
        <w:t>4. Hi-fi design handoff</w:t>
      </w:r>
    </w:p>
    <w:p>
      <w:pPr>
        <w:pStyle w:val="ListNumber"/>
      </w:pPr>
      <w:r>
        <w:t>Define responsive design tokens, typography, spacing, components and accessibility states.</w:t>
      </w:r>
    </w:p>
    <w:p>
      <w:pPr>
        <w:pStyle w:val="ListNumber"/>
      </w:pPr>
      <w:r>
        <w:t>Design mobile-first high-fidelity screens for search/results, program details, compare, budget and checklist.</w:t>
      </w:r>
    </w:p>
    <w:p>
      <w:pPr>
        <w:pStyle w:val="ListNumber"/>
      </w:pPr>
      <w:r>
        <w:t>Include sign-in return, save success, validation errors, empty/no-results, stale-source and authorization-denied states.</w:t>
      </w:r>
    </w:p>
    <w:p>
      <w:pPr>
        <w:pStyle w:val="ListNumber"/>
      </w:pPr>
      <w:r>
        <w:t>Prototype 5 priority mobile tasks; run moderated usability sessions (initial target 5–8 participants, not a statistical sample).</w:t>
      </w:r>
    </w:p>
    <w:p>
      <w:pPr>
        <w:pStyle w:val="ListNumber"/>
      </w:pPr>
      <w:r>
        <w:t>Record observations, severity, design revisions and sign-off before UI freeze.</w:t>
      </w:r>
    </w:p>
    <w:p>
      <w:pPr>
        <w:pStyle w:val="Heading1"/>
      </w:pPr>
      <w:r>
        <w:t>5. Remaining delivery checks (not new product decisions)</w:t>
      </w:r>
    </w:p>
    <w:p>
      <w:pPr>
        <w:pStyle w:val="ListBullet"/>
      </w:pPr>
      <w:r>
        <w:t>Verify specific programs and tuition entries in each of the five approved countries before publishing.</w:t>
      </w:r>
    </w:p>
    <w:p>
      <w:pPr>
        <w:pStyle w:val="ListBullet"/>
      </w:pPr>
      <w:r>
        <w:t>Select and technically validate actual official exchange-rate feeds and cost-source URLs; do not assume a single government source covers all costs.</w:t>
      </w:r>
    </w:p>
    <w:p>
      <w:pPr>
        <w:pStyle w:val="ListBullet"/>
      </w:pPr>
      <w:r>
        <w:t>Confirm data retention and handling for guest budget draft through sign-in, including privacy notice.</w:t>
      </w:r>
    </w:p>
    <w:p>
      <w:pPr>
        <w:pStyle w:val="ListBullet"/>
      </w:pPr>
      <w:r>
        <w:t>Check exact ACL permissions against the approved specification during implementation and QA.</w:t>
      </w:r>
    </w:p>
    <w:p>
      <w:pPr>
        <w:pStyle w:val="Heading1"/>
      </w:pPr>
      <w:r>
        <w:t>6. Source documents</w:t>
      </w:r>
    </w:p>
    <w:p>
      <w:pPr>
        <w:pStyle w:val="ListBullet"/>
      </w:pPr>
      <w:r>
        <w:t>Study_Abroad_PRD_v0.1.docx — user-approved baseline</w:t>
      </w:r>
    </w:p>
    <w:p>
      <w:pPr>
        <w:pStyle w:val="ListBullet"/>
      </w:pPr>
      <w:r>
        <w:t>Study_Abroad_Authorization_Access_Control_v0.1.docx — approved authorization baseline</w:t>
      </w:r>
    </w:p>
    <w:p>
      <w:pPr>
        <w:pStyle w:val="ListBullet"/>
      </w:pPr>
      <w:r>
        <w:t>Study_Abroad_Information_Architecture_v1.0.docx</w:t>
      </w:r>
    </w:p>
    <w:p>
      <w:pPr>
        <w:pStyle w:val="ListBullet"/>
      </w:pPr>
      <w:r>
        <w:t>Study_Abroad_User_Flows_v1.0.docx</w:t>
      </w:r>
    </w:p>
    <w:p>
      <w:pPr>
        <w:pStyle w:val="ListBullet"/>
      </w:pPr>
      <w:r>
        <w:t>Study_Abroad_Wireframe_UX_Specification_v1.0.docx</w:t>
      </w:r>
    </w:p>
    <w:p>
      <w:pPr>
        <w:pStyle w:val="ListBullet"/>
      </w:pPr>
      <w:r>
        <w:t>User-confirmed decisions in conversation dated 14 October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working document  •  Approved decisions are distinct from proposed operational defaults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STUDY ABROAD  /  PRODUCT DESIGN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