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STUDY ABROAD</w:t>
      </w:r>
    </w:p>
    <w:p>
      <w:pPr>
        <w:pStyle w:val="Heading1"/>
      </w:pPr>
      <w:r>
        <w:t>High-Fidelity UI Design Specification</w:t>
      </w:r>
    </w:p>
    <w:p>
      <w:pPr>
        <w:pStyle w:val="Subtitle"/>
      </w:pPr>
      <w:r>
        <w:t>Version 1.0  |  14 October 2026  |  Review draft</w:t>
      </w:r>
    </w:p>
    <w:p>
      <w:r>
        <w:t>Visual direction: Apple-inspired Minimalism × Liquid Glass × Iridescent Glass. This deliverable contains six polished static screen concepts plus implementation-oriented UI specifications. These are visual proposals, not tested or approved production screens.</w:t>
      </w:r>
    </w:p>
    <w:p>
      <w:pPr>
        <w:pStyle w:val="Heading1"/>
      </w:pPr>
      <w:r>
        <w:t>01  Scope and decisions</w:t>
      </w:r>
    </w:p>
    <w:p>
      <w:pPr>
        <w:pStyle w:val="ListBullet"/>
      </w:pPr>
      <w:r>
        <w:t>MVP countries: Sweden, Netherlands, Finland, France, Germany. Program-level information remains unpublished until individually verified.</w:t>
      </w:r>
    </w:p>
    <w:p>
      <w:pPr>
        <w:pStyle w:val="ListBullet"/>
      </w:pPr>
      <w:r>
        <w:t>Guest can calculate a budget; authentication is required to save it. Checklist persistence also requires authentication.</w:t>
      </w:r>
    </w:p>
    <w:p>
      <w:pPr>
        <w:pStyle w:val="ListBullet"/>
      </w:pPr>
      <w:r>
        <w:t>Official exchange-rate and cost sources with the agreed review cadence; every displayed financial datum needs source, timestamp, currency and freshness status.</w:t>
      </w:r>
    </w:p>
    <w:p>
      <w:pPr>
        <w:pStyle w:val="ListBullet"/>
      </w:pPr>
      <w:r>
        <w:t>Reviewer publishing rights remain exactly as defined in the approved ACL; no additional Publisher role is assumed.</w:t>
      </w:r>
    </w:p>
    <w:p>
      <w:pPr>
        <w:pStyle w:val="ListBullet"/>
      </w:pPr>
      <w:r>
        <w:t>Mobile prototypes must undergo prioritized usability testing before layout sign-off.</w:t>
      </w:r>
    </w:p>
    <w:p>
      <w:pPr>
        <w:pStyle w:val="Heading1"/>
      </w:pPr>
      <w:r>
        <w:t>02  High-fidelity screen gallery</w:t>
      </w:r>
    </w:p>
    <w:p>
      <w:pPr>
        <w:pStyle w:val="Heading2"/>
      </w:pPr>
      <w:r>
        <w:t>1. Home — desktop concept</w:t>
      </w:r>
    </w:p>
    <w:p>
      <w:r>
        <w:drawing>
          <wp:inline xmlns:a="http://schemas.openxmlformats.org/drawingml/2006/main" xmlns:pic="http://schemas.openxmlformats.org/drawingml/2006/picture">
            <wp:extent cx="6217920" cy="35394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_fi_home_desk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3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Visual mockup uses illustrative copy and placeholder values; it is not a claim about verified programs or tuition.</w:t>
      </w:r>
    </w:p>
    <w:p>
      <w:pPr>
        <w:pStyle w:val="Heading2"/>
      </w:pPr>
      <w:r>
        <w:t>1. Home — mobile concept</w:t>
      </w:r>
    </w:p>
    <w:p>
      <w:r>
        <w:drawing>
          <wp:inline xmlns:a="http://schemas.openxmlformats.org/drawingml/2006/main" xmlns:pic="http://schemas.openxmlformats.org/drawingml/2006/picture">
            <wp:extent cx="2430942" cy="4663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_fi_home_mob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0942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 Explore — desktop concept</w:t>
      </w:r>
    </w:p>
    <w:p>
      <w:r>
        <w:drawing>
          <wp:inline xmlns:a="http://schemas.openxmlformats.org/drawingml/2006/main" xmlns:pic="http://schemas.openxmlformats.org/drawingml/2006/picture">
            <wp:extent cx="6217920" cy="35394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_fi_explore_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3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Visual mockup uses illustrative copy and placeholder values; it is not a claim about verified programs or tuition.</w:t>
      </w:r>
    </w:p>
    <w:p>
      <w:pPr>
        <w:pStyle w:val="Heading2"/>
      </w:pPr>
      <w:r>
        <w:t>2. Explore — mobile concept</w:t>
      </w:r>
    </w:p>
    <w:p>
      <w:r>
        <w:drawing>
          <wp:inline xmlns:a="http://schemas.openxmlformats.org/drawingml/2006/main" xmlns:pic="http://schemas.openxmlformats.org/drawingml/2006/picture">
            <wp:extent cx="2430942" cy="4663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_fi_explore_mob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0942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3. Budget — desktop concept</w:t>
      </w:r>
    </w:p>
    <w:p>
      <w:r>
        <w:drawing>
          <wp:inline xmlns:a="http://schemas.openxmlformats.org/drawingml/2006/main" xmlns:pic="http://schemas.openxmlformats.org/drawingml/2006/picture">
            <wp:extent cx="6217920" cy="35394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_fi_budget_deskt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39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Visual mockup uses illustrative copy and placeholder values; it is not a claim about verified programs or tuition.</w:t>
      </w:r>
    </w:p>
    <w:p>
      <w:pPr>
        <w:pStyle w:val="Heading2"/>
      </w:pPr>
      <w:r>
        <w:t>3. Budget — mobile concept</w:t>
      </w:r>
    </w:p>
    <w:p>
      <w:r>
        <w:drawing>
          <wp:inline xmlns:a="http://schemas.openxmlformats.org/drawingml/2006/main" xmlns:pic="http://schemas.openxmlformats.org/drawingml/2006/picture">
            <wp:extent cx="2430942" cy="46634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_fi_budget_mob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0942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03  Screen inventory and visual behavior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Screen</w:t>
            </w:r>
          </w:p>
        </w:tc>
        <w:tc>
          <w:tcPr>
            <w:tcW w:type="dxa" w:w="4968"/>
          </w:tcPr>
          <w:p>
            <w:r>
              <w:t>UI / interaction contract</w:t>
            </w:r>
          </w:p>
        </w:tc>
      </w:tr>
      <w:tr>
        <w:tc>
          <w:tcPr>
            <w:tcW w:type="dxa" w:w="4968"/>
          </w:tcPr>
          <w:p>
            <w:r>
              <w:t>Home</w:t>
            </w:r>
          </w:p>
        </w:tc>
        <w:tc>
          <w:tcPr>
            <w:tcW w:type="dxa" w:w="4968"/>
          </w:tcPr>
          <w:p>
            <w:r>
              <w:t>Prominent search, five-country discovery, explicit trust signals; no fabricated verification badges.</w:t>
            </w:r>
          </w:p>
        </w:tc>
      </w:tr>
      <w:tr>
        <w:tc>
          <w:tcPr>
            <w:tcW w:type="dxa" w:w="4968"/>
          </w:tcPr>
          <w:p>
            <w:r>
              <w:t>Explore / Search</w:t>
            </w:r>
          </w:p>
        </w:tc>
        <w:tc>
          <w:tcPr>
            <w:tcW w:type="dxa" w:w="4968"/>
          </w:tcPr>
          <w:p>
            <w:r>
              <w:t>Keyword search; country/degree/field/tuition filters; sorting; loading/empty/error; only published records.</w:t>
            </w:r>
          </w:p>
        </w:tc>
      </w:tr>
      <w:tr>
        <w:tc>
          <w:tcPr>
            <w:tcW w:type="dxa" w:w="4968"/>
          </w:tcPr>
          <w:p>
            <w:r>
              <w:t>Country / Program detail</w:t>
            </w:r>
          </w:p>
        </w:tc>
        <w:tc>
          <w:tcPr>
            <w:tcW w:type="dxa" w:w="4968"/>
          </w:tcPr>
          <w:p>
            <w:r>
              <w:t>Program title, school, degree, requirements, tuition, source link, checked-at date and missing-data markers.</w:t>
            </w:r>
          </w:p>
        </w:tc>
      </w:tr>
      <w:tr>
        <w:tc>
          <w:tcPr>
            <w:tcW w:type="dxa" w:w="4968"/>
          </w:tcPr>
          <w:p>
            <w:r>
              <w:t>Compare</w:t>
            </w:r>
          </w:p>
        </w:tc>
        <w:tc>
          <w:tcPr>
            <w:tcW w:type="dxa" w:w="4968"/>
          </w:tcPr>
          <w:p>
            <w:r>
              <w:t>Maximum two programs; mobile stacked/side-by-side variants for testing; no inferred ranking or hidden gaps.</w:t>
            </w:r>
          </w:p>
        </w:tc>
      </w:tr>
      <w:tr>
        <w:tc>
          <w:tcPr>
            <w:tcW w:type="dxa" w:w="4968"/>
          </w:tcPr>
          <w:p>
            <w:r>
              <w:t>Budget Planner</w:t>
            </w:r>
          </w:p>
        </w:tc>
        <w:tc>
          <w:tcPr>
            <w:tcW w:type="dxa" w:w="4968"/>
          </w:tcPr>
          <w:p>
            <w:r>
              <w:t>Guest can calculate; sign-in gate only on Save; display local currency and VND with dated conversion and provenance.</w:t>
            </w:r>
          </w:p>
        </w:tc>
      </w:tr>
      <w:tr>
        <w:tc>
          <w:tcPr>
            <w:tcW w:type="dxa" w:w="4968"/>
          </w:tcPr>
          <w:p>
            <w:r>
              <w:t>Study Plan</w:t>
            </w:r>
          </w:p>
        </w:tc>
        <w:tc>
          <w:tcPr>
            <w:tcW w:type="dxa" w:w="4968"/>
          </w:tcPr>
          <w:p>
            <w:r>
              <w:t>Task creation, due date, status, edit, delete confirmation; saving requires sign-in; private by owner.</w:t>
            </w:r>
          </w:p>
        </w:tc>
      </w:tr>
      <w:tr>
        <w:tc>
          <w:tcPr>
            <w:tcW w:type="dxa" w:w="4968"/>
          </w:tcPr>
          <w:p>
            <w:r>
              <w:t>Report Issue</w:t>
            </w:r>
          </w:p>
        </w:tc>
        <w:tc>
          <w:tcPr>
            <w:tcW w:type="dxa" w:w="4968"/>
          </w:tcPr>
          <w:p>
            <w:r>
              <w:t>Page reference, issue category, description, optional evidence URL; validation and anti-spam feedback.</w:t>
            </w:r>
          </w:p>
        </w:tc>
      </w:tr>
      <w:tr>
        <w:tc>
          <w:tcPr>
            <w:tcW w:type="dxa" w:w="4968"/>
          </w:tcPr>
          <w:p>
            <w:r>
              <w:t>CMS Editorial</w:t>
            </w:r>
          </w:p>
        </w:tc>
        <w:tc>
          <w:tcPr>
            <w:tcW w:type="dxa" w:w="4968"/>
          </w:tcPr>
          <w:p>
            <w:r>
              <w:t>Draft, review, approve, publish, archive, audit trail; no self-approval; role-aware action availability.</w:t>
            </w:r>
          </w:p>
        </w:tc>
      </w:tr>
      <w:tr>
        <w:tc>
          <w:tcPr>
            <w:tcW w:type="dxa" w:w="4968"/>
          </w:tcPr>
          <w:p>
            <w:r>
              <w:t>Admin / Access</w:t>
            </w:r>
          </w:p>
        </w:tc>
        <w:tc>
          <w:tcPr>
            <w:tcW w:type="dxa" w:w="4968"/>
          </w:tcPr>
          <w:p>
            <w:r>
              <w:t>Role and scope visibility; step-up authentication for sensitive actions; no default private-plan access.</w:t>
            </w:r>
          </w:p>
        </w:tc>
      </w:tr>
    </w:tbl>
    <w:p>
      <w:pPr>
        <w:pStyle w:val="Heading1"/>
      </w:pPr>
      <w:r>
        <w:t>04  Visual tokens (proposed)</w:t>
      </w:r>
    </w:p>
    <w:p>
      <w:pPr>
        <w:pStyle w:val="ListBullet"/>
      </w:pPr>
      <w:r>
        <w:t>Core: Snow #F8FAFC, Silver #E5E9F0, Ice Blue #DCECF8, Iridescent #C9C5F4, Ink #202B3D.</w:t>
      </w:r>
    </w:p>
    <w:p>
      <w:pPr>
        <w:pStyle w:val="ListBullet"/>
      </w:pPr>
      <w:r>
        <w:t>Glass: translucent layers reserved for hero, navigation and floating controls; use solid surfaces for dense financial and policy data.</w:t>
      </w:r>
    </w:p>
    <w:p>
      <w:pPr>
        <w:pStyle w:val="ListBullet"/>
      </w:pPr>
      <w:r>
        <w:t>Type: system UI / Aptos or platform-native fallback with Vietnamese glyph support; body &gt;= 16px in implementation, readable line height.</w:t>
      </w:r>
    </w:p>
    <w:p>
      <w:pPr>
        <w:pStyle w:val="ListBullet"/>
      </w:pPr>
      <w:r>
        <w:t>Spacing: 4px base scale; primary layout rhythm 8/16/24/32px. Radius: 12/16/24px tiers.</w:t>
      </w:r>
    </w:p>
    <w:p>
      <w:pPr>
        <w:pStyle w:val="ListBullet"/>
      </w:pPr>
      <w:r>
        <w:t>States: default, hover, focus-visible, pressed, disabled, loading, success, error, empty and stale-data.</w:t>
      </w:r>
    </w:p>
    <w:p>
      <w:pPr>
        <w:pStyle w:val="ListBullet"/>
      </w:pPr>
      <w:r>
        <w:t>Accessibility: target WCAG 2.2 AA; ensure contrast over variable glass backgrounds, keyboard focus, reduced motion and 44px touch targets where feasible.</w:t>
      </w:r>
    </w:p>
    <w:p>
      <w:pPr>
        <w:pStyle w:val="Heading1"/>
      </w:pPr>
      <w:r>
        <w:t>05  Interaction and security handoff</w:t>
      </w:r>
    </w:p>
    <w:p>
      <w:pPr>
        <w:pStyle w:val="ListBullet"/>
      </w:pPr>
      <w:r>
        <w:t>Guest presses Save Budget → sign-in prompt → return to previous draft; preservation mechanism and retention need engineering/privacy approval.</w:t>
      </w:r>
    </w:p>
    <w:p>
      <w:pPr>
        <w:pStyle w:val="ListBullet"/>
      </w:pPr>
      <w:r>
        <w:t>All role checks happen server-side; hidden buttons are not authorization. Unauthorized access: 401/403/404 per approved ACL.</w:t>
      </w:r>
    </w:p>
    <w:p>
      <w:pPr>
        <w:pStyle w:val="ListBullet"/>
      </w:pPr>
      <w:r>
        <w:t>Budget input validation: no negative amounts, explicit duration, currency units and rounding. Missing/stale FX blocks or clearly labels conversion according to product policy.</w:t>
      </w:r>
    </w:p>
    <w:p>
      <w:pPr>
        <w:pStyle w:val="ListBullet"/>
      </w:pPr>
      <w:r>
        <w:t>Published content displays source evidence and verified-at timestamp. Unverified placeholder content must never masquerade as official data.</w:t>
      </w:r>
    </w:p>
    <w:p>
      <w:pPr>
        <w:pStyle w:val="ListBullet"/>
      </w:pPr>
      <w:r>
        <w:t>Reviewer may publish only within ACL-defined scope and separation-of-duties checks; version conflicts show 409 resolution state.</w:t>
      </w:r>
    </w:p>
    <w:p>
      <w:pPr>
        <w:pStyle w:val="Heading1"/>
      </w:pPr>
      <w:r>
        <w:t>06  Mobile usability test plan</w:t>
      </w:r>
    </w:p>
    <w:p>
      <w:pPr>
        <w:pStyle w:val="ListBullet"/>
      </w:pPr>
      <w:r>
        <w:t>Tasks: find a program using filters; compare two programs; estimate a budget; attempt to save as guest; find source evidence.</w:t>
      </w:r>
    </w:p>
    <w:p>
      <w:pPr>
        <w:pStyle w:val="ListBullet"/>
      </w:pPr>
      <w:r>
        <w:t>Prototype variants: compare side-by-side vs stacked; filter sheet vs inline; sign-in gate as modal vs routed page.</w:t>
      </w:r>
    </w:p>
    <w:p>
      <w:pPr>
        <w:pStyle w:val="ListBullet"/>
      </w:pPr>
      <w:r>
        <w:t>Observe task completion, time, errors, comprehension and accessibility issues; do not lock responsive layout before findings are reviewed.</w:t>
      </w:r>
    </w:p>
    <w:p>
      <w:pPr>
        <w:pStyle w:val="ListBullet"/>
      </w:pPr>
      <w:r>
        <w:t>Use a small formative round (approximately 5–8 participants) as a starting point; recruit across relevant applicant journeys.</w:t>
      </w:r>
    </w:p>
    <w:p>
      <w:pPr>
        <w:pStyle w:val="Heading1"/>
      </w:pPr>
      <w:r>
        <w:t>07  Acceptance and open items</w:t>
      </w:r>
    </w:p>
    <w:p>
      <w:pPr>
        <w:pStyle w:val="ListBullet"/>
      </w:pPr>
      <w:r>
        <w:t>Approved baseline: PRD v0.1, ACL v0.1, IA v1.0, User Flows v1.0, Wireframe v1.0, Design System v1.0 and UI readiness decisions.</w:t>
      </w:r>
    </w:p>
    <w:p>
      <w:pPr>
        <w:pStyle w:val="ListBullet"/>
      </w:pPr>
      <w:r>
        <w:t>Open: verified program catalog and source URLs for each of five countries; exact FX authority and API; privacy retention for guest draft; identity/login solution; measurable performance targets.</w:t>
      </w:r>
    </w:p>
    <w:p>
      <w:pPr>
        <w:pStyle w:val="ListBullet"/>
      </w:pPr>
      <w:r>
        <w:t>Sign-off gates: product owner review → visual QA → mobile usability tests → accessibility audit → developer handoff.</w:t>
      </w:r>
    </w:p>
    <w:p>
      <w:pPr>
        <w:pStyle w:val="Caption"/>
      </w:pPr>
      <w:r>
        <w:t>Status: Draft for review. Mockup data and labels are illustrative only.</w:t>
      </w:r>
    </w:p>
    <w:sectPr w:rsidR="00FC693F" w:rsidRPr="0006063C" w:rsidSect="00034616">
      <w:pgSz w:w="12240" w:h="15840"/>
      <w:pgMar w:top="1008" w:right="1152" w:bottom="936" w:left="1152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5385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517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