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ABROAD</w:t>
      </w:r>
    </w:p>
    <w:p>
      <w:r>
        <w:t>UI DESIGN SYSTEM SPECIFICATION  |  v1.0  |  14 October 2026</w:t>
      </w:r>
    </w:p>
    <w:p>
      <w:r>
        <w:t>Design direction: Apple-inspired minimalism × Liquid Glass × subtle Iridescent Glass</w:t>
      </w:r>
    </w:p>
    <w:p>
      <w:r>
        <w:t>Status: Design baseline for hi-fi prototype; token values proposed for implementation review, not user-validated.</w:t>
      </w:r>
    </w:p>
    <w:p>
      <w:pPr>
        <w:pStyle w:val="Heading1"/>
      </w:pPr>
      <w:r>
        <w:t>01  Document control &amp;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Item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MVP markets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Sweden, Netherlands, Finland, France, Germany</w:t>
            </w:r>
          </w:p>
        </w:tc>
      </w:tr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Experience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Responsive web; guest discovery; login required to save budget/checklist</w:t>
            </w:r>
          </w:p>
        </w:tc>
      </w:tr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Governance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CMS and publication rights governed by approved ACL; no new publisher role inferred</w:t>
            </w:r>
          </w:p>
        </w:tc>
      </w:tr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Budget data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Official source priority, explicit last-checked date, proposed update schedule</w:t>
            </w:r>
          </w:p>
        </w:tc>
      </w:tr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Mobile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Priority screens must be usability-tested before layout sign-off</w:t>
            </w:r>
          </w:p>
        </w:tc>
      </w:tr>
      <w:tr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Traceability</w:t>
            </w:r>
          </w:p>
        </w:tc>
        <w:tc>
          <w:tcPr>
            <w:tcW w:type="dxa" w:w="4939"/>
          </w:tcPr>
          <w:p>
            <w:pPr>
              <w:spacing w:after="40"/>
            </w:pPr>
            <w:r>
              <w:rPr>
                <w:sz w:val="16"/>
              </w:rPr>
              <w:t>PRD v0.1; ACL v0.1; IA v1.0; User Flows v1.0; Wireframe v1.0; Decision Log v1.0</w:t>
            </w:r>
          </w:p>
        </w:tc>
      </w:tr>
    </w:tbl>
    <w:p/>
    <w:p>
      <w:pPr>
        <w:pStyle w:val="Heading1"/>
      </w:pPr>
      <w:r>
        <w:t>02  Design principles</w:t>
      </w:r>
    </w:p>
    <w:p>
      <w:pPr>
        <w:pStyle w:val="ListBullet"/>
      </w:pPr>
      <w:r>
        <w:t>Clarity over decoration: reading program details, fees, eligibility and dates always takes priority over glass effects.</w:t>
      </w:r>
    </w:p>
    <w:p>
      <w:pPr>
        <w:pStyle w:val="ListBullet"/>
      </w:pPr>
      <w:r>
        <w:t>Progressive disclosure: show the answer first, optional depth second; preserve provenance and freshness.</w:t>
      </w:r>
    </w:p>
    <w:p>
      <w:pPr>
        <w:pStyle w:val="ListBullet"/>
      </w:pPr>
      <w:r>
        <w:t>Guest-first exploration: search, compare and calculate without login; require authentication only at save.</w:t>
      </w:r>
    </w:p>
    <w:p>
      <w:pPr>
        <w:pStyle w:val="ListBullet"/>
      </w:pPr>
      <w:r>
        <w:t>Accessible by default: contrast, focus, keyboard, touch targets, reduced motion and clear validation.</w:t>
      </w:r>
    </w:p>
    <w:p>
      <w:pPr>
        <w:pStyle w:val="ListBullet"/>
      </w:pPr>
      <w:r>
        <w:t>Trustworthy estimates: never represent illustrative budgets as official amounts; label inputs, assumptions and source status.</w:t>
      </w:r>
    </w:p>
    <w:p>
      <w:pPr>
        <w:pStyle w:val="ListBullet"/>
      </w:pPr>
      <w:r>
        <w:t>One system, two contexts: public experience expressive but restrained; CMS utilitarian and information-dense.</w:t>
      </w:r>
    </w:p>
    <w:p>
      <w:pPr>
        <w:pStyle w:val="Heading1"/>
      </w:pPr>
      <w:r>
        <w:t>03  Color system &amp; semantic tokens</w:t>
      </w:r>
    </w:p>
    <w:p>
      <w:r>
        <w:t>Hex values below are proposed design tokens. WCAG contrast must be measured on the actual composite background, not assumed from a translucent layer.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Token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Hex / value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Use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color.canvas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#F8FAFC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Page background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color.surface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#FFFFFF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Data cards, forms, tables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color.silver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#E5E9F0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Quiet borders and separators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color.ice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#DCECF8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Decorative cool tint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color.iris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#C9C5F4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Subtle pearlescent accent only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color.ink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#202B3D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Primary text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color.muted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#536276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Secondary text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color.action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#2459A6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Primary action, links; verify contrast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color.actionHover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#1B457F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Hover/pressed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color.success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#176B52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Confirmed success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color.warning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#865A12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Attention; always pair with label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color.danger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#B42335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Errors and destructive actions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color.focus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#155EEF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Visible keyboard focus ring</w:t>
            </w:r>
          </w:p>
        </w:tc>
      </w:tr>
    </w:tbl>
    <w:p/>
    <w:p>
      <w:r>
        <w:t>Suggested iridescent decorative gradient: linear-gradient(115deg, #DCECF8 0%, #F8FAFC 42%, #C9C5F4 100%). Never place small body text directly over this gradient without an opaque support surface.</w:t>
      </w:r>
    </w:p>
    <w:p>
      <w:pPr>
        <w:pStyle w:val="Heading1"/>
      </w:pPr>
      <w:r>
        <w:t>04  Glass material recipes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Material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Specification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Use / restriction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glass.nav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rgba(255,255,255,.78); backdrop-filter: blur(18px) saturate(135%); 1px rgba(255,255,255,.72) border; soft shadow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Header and floating navigation only; solid fallback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glass.floating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rgba(255,255,255,.88); blur(14px); 1px solid #E5E9F0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Search overlay, lightweight utility panel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glass.decorative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Pearlescent gradient, low opacity, optional masked glow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Hero artwork and highlights; not data containers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surface.data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#FFFFFF opaque; 1px #E5E9F0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Tables, costs, immigration notes, forms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glass.disabled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No blur, no translucent layering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High contrast / forced-colors / low performance</w:t>
            </w:r>
          </w:p>
        </w:tc>
      </w:tr>
    </w:tbl>
    <w:p/>
    <w:p>
      <w:r>
        <w:t>Fallback: when backdrop-filter unsupported or user selects increased contrast, render an opaque white surface and retain a visible border. No essential meaning conveyed solely through reflection or hue.</w:t>
      </w:r>
    </w:p>
    <w:p>
      <w:pPr>
        <w:pStyle w:val="Heading1"/>
      </w:pPr>
      <w:r>
        <w:t>05  Typography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Style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Desktop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Mobile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Guidance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48/56, semibold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34/42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Hero only; short lines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H1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36/44, semibold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28/36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One primary page heading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H2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26/34, semibold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22/30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Section headings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H3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20/28, semibold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18/26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Card groups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Body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16/26, regular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16/26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Primary content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Small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14/21, regular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14/21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Metadata and hints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Caption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12/18, medium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12/18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Only nonessential supplementary text</w:t>
            </w:r>
          </w:p>
        </w:tc>
      </w:tr>
      <w:tr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Numbers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16–28, tabular figures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16–24</w:t>
            </w:r>
          </w:p>
        </w:tc>
        <w:tc>
          <w:tcPr>
            <w:tcW w:type="dxa" w:w="2469"/>
          </w:tcPr>
          <w:p>
            <w:pPr>
              <w:spacing w:after="40"/>
            </w:pPr>
            <w:r>
              <w:rPr>
                <w:sz w:val="16"/>
              </w:rPr>
              <w:t>Budget totals, aligned columns</w:t>
            </w:r>
          </w:p>
        </w:tc>
      </w:tr>
    </w:tbl>
    <w:p/>
    <w:p>
      <w:r>
        <w:t>Font stack: -apple-system, BlinkMacSystemFont, "Segoe UI", Inter, Arial, sans-serif. Test Vietnamese diacritics and numeral rendering on Windows, macOS, iOS and Android. Avoid depending on proprietary font files.</w:t>
      </w:r>
    </w:p>
    <w:p>
      <w:pPr>
        <w:pStyle w:val="Heading1"/>
      </w:pPr>
      <w:r>
        <w:t>06  Layout, spacing, shape and elevation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Token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Value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Rule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space scale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4, 8, 12, 16, 24, 32, 48, 64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Prefer multiples of 4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content.max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1200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Main public content max width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reading.max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760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Long-form program and visa content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grid.desktop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12 columns / 24 px gutter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≥1024 px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grid.tablet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8 columns / 20 px gutter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768–1023 px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grid.mobile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4 columns / 16 px gutter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&lt;768 px; 16 px edge inset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radius.control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12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Inputs, buttons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radius.card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20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Primary cards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radius.pill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999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Chips and compact nav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shadow.raised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0 8px 28px rgba(31,49,77,.08)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Only floating surfaces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target.min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44×44 CSS px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Touch and clickable controls</w:t>
            </w:r>
          </w:p>
        </w:tc>
      </w:tr>
    </w:tbl>
    <w:p/>
    <w:p>
      <w:r>
        <w:t>Breakpoints are proposed implementation conventions, not device categories. At 200% zoom or narrow viewport, reflow without horizontal scrolling except intentional comparison tables.</w:t>
      </w:r>
    </w:p>
    <w:p>
      <w:pPr>
        <w:pStyle w:val="Heading1"/>
      </w:pPr>
      <w:r>
        <w:t>07  Component inventory &amp;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Component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Variants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Required behavior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Button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Primary / secondary / text / destructive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Default, hover, focus-visible, disabled, loading; no layout jump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Input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Text / number / search / currency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Label, hint, validation, error; correct keyboard on mobile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Select / filters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Single / multi / removable chip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Keyboard navigation, clear filters, visible applied state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Card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Country / program / summary / source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Title, status, provenance, primary action; avoid whole-card ambiguity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Tabs / segmented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Compare / country detail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Accessible selected state and keyboard operation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Modal / drawer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Auth prompt / filters / confirmation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Focus trap, close, restore focus; mobile bottom sheet when suitable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Toast / alert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Success / warning / error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Do not rely on transient toast for critical error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Table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Compare / cost breakdown / CMS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Headers, units, responsive strategy, sortable state if enabled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Checklist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Task row / group / progress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Complete, undo, ownership and save states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Source status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Verified / needs review / stale / unknown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Text + icon + date; no misleading guarantee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Skeleton / empty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Loading / no results / service failure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Useful recovery and retry actions</w:t>
            </w:r>
          </w:p>
        </w:tc>
      </w:tr>
    </w:tbl>
    <w:p/>
    <w:p>
      <w:pPr>
        <w:pStyle w:val="Heading1"/>
      </w:pPr>
      <w:r>
        <w:t>08  Screen-specific composition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Screen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Visual priority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Glass application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Home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Value proposition → search → featured destinations → methodology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Hero/nav only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Search results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Query, filters, result count, card metadata, empty state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Search shell optional; result cards opaque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Country/program detail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Eligibility, tuition, deadlines, source URL, last checked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Decorative header only; content opaque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Comparison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2 columns desktop; mobile tested stacked or scrollable comparison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Avoid glass in table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Budget Planner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Inputs → itemized estimate → exchange-rate metadata → save CTA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Opaque totals and fields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Study Planner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Task groups, dates, progress, saved state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Minimal, no reflective checklist rows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Report issue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Source item, reason, optional details, confirmation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Opaque form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CMS review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Draft/version, source, diff, approval actions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No glass in operational panels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Access admin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Role matrix, scope, audit history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Dense but legible; no decorative material</w:t>
            </w:r>
          </w:p>
        </w:tc>
      </w:tr>
    </w:tbl>
    <w:p/>
    <w:p>
      <w:pPr>
        <w:pStyle w:val="Heading1"/>
      </w:pPr>
      <w:r>
        <w:t>09  Budget Planner: data and authentication UX</w:t>
      </w:r>
    </w:p>
    <w:p>
      <w:pPr>
        <w:pStyle w:val="ListBullet"/>
      </w:pPr>
      <w:r>
        <w:t>Guest may enter inputs and see calculated estimate; “Save budget” prompts login. No server-side saved guest budget.</w:t>
      </w:r>
    </w:p>
    <w:p>
      <w:pPr>
        <w:pStyle w:val="ListBullet"/>
      </w:pPr>
      <w:r>
        <w:t>Preserve unsaved form values during login return within the active browser session; disclose if data cannot be recovered. Avoid persisting sensitive financial inputs indefinitely.</w:t>
      </w:r>
    </w:p>
    <w:p>
      <w:pPr>
        <w:pStyle w:val="ListBullet"/>
      </w:pPr>
      <w:r>
        <w:t>Each monetary item displays currency, unit (per month / per year / one-time), source URL, source organization and checked date where applicable.</w:t>
      </w:r>
    </w:p>
    <w:p>
      <w:pPr>
        <w:pStyle w:val="ListBullet"/>
      </w:pPr>
      <w:r>
        <w:t>FX section displays currency pair, provider, rate timestamp, conversion method, and stale/error fallback. Never silently show stale rate as live.</w:t>
      </w:r>
    </w:p>
    <w:p>
      <w:pPr>
        <w:pStyle w:val="ListBullet"/>
      </w:pPr>
      <w:r>
        <w:t>Proposed cadence: exchange rate daily; tuition per academic year / source change; living costs quarterly; visa/financial rules monthly and on official change. Operational cadence requires owner and monitoring process.</w:t>
      </w:r>
    </w:p>
    <w:p>
      <w:pPr>
        <w:pStyle w:val="ListBullet"/>
      </w:pPr>
      <w:r>
        <w:t>Budget results are planning estimates, not financial advice or guaranteed visa sufficiency; show editable contingency separately.</w:t>
      </w:r>
    </w:p>
    <w:p>
      <w:pPr>
        <w:pStyle w:val="Heading1"/>
      </w:pPr>
      <w:r>
        <w:t>10  Accessibility &amp; motion</w:t>
      </w:r>
    </w:p>
    <w:p>
      <w:pPr>
        <w:pStyle w:val="ListBullet"/>
      </w:pPr>
      <w:r>
        <w:t>Target WCAG 2.2 AA: normal text contrast ≥4.5:1; large text ≥3:1; non-text controls and focus indicators ≥3:1 where applicable.</w:t>
      </w:r>
    </w:p>
    <w:p>
      <w:pPr>
        <w:pStyle w:val="ListBullet"/>
      </w:pPr>
      <w:r>
        <w:t>Visible focus on every interactive component; full keyboard operation; semantic labels and descriptive errors; logical heading order.</w:t>
      </w:r>
    </w:p>
    <w:p>
      <w:pPr>
        <w:pStyle w:val="ListBullet"/>
      </w:pPr>
      <w:r>
        <w:t>Respect prefers-reduced-motion; disable parallax and refractive movement; transitions generally 120–220 ms, opacity/transform only.</w:t>
      </w:r>
    </w:p>
    <w:p>
      <w:pPr>
        <w:pStyle w:val="ListBullet"/>
      </w:pPr>
      <w:r>
        <w:t>Do not hide information behind hover; ensure 200% zoom and mobile text enlargement remain usable.</w:t>
      </w:r>
    </w:p>
    <w:p>
      <w:pPr>
        <w:pStyle w:val="ListBullet"/>
      </w:pPr>
      <w:r>
        <w:t>Glass backgrounds must be tested with real page imagery and worst-case content, including forced-colors/high contrast mode.</w:t>
      </w:r>
    </w:p>
    <w:p>
      <w:pPr>
        <w:pStyle w:val="Heading1"/>
      </w:pPr>
      <w:r>
        <w:t>11  Responsive behavior and mobile test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Priority task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Prototype variants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Success signal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Find a program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Filters inline vs drawer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Can apply/clear filters and identify sources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Compare 2 options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Stacked cards vs horizontally scrollable table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Can correctly identify cost and requirements differences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Budget estimate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Single-column steps vs long form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Can complete calculation and understand FX timestamp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Save guest budget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Login gate and return-to-form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No unexpected data loss; clear reason for login</w:t>
            </w:r>
          </w:p>
        </w:tc>
      </w:tr>
      <w:tr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Checklist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Task grouping and add/complete controls</w:t>
            </w:r>
          </w:p>
        </w:tc>
        <w:tc>
          <w:tcPr>
            <w:tcW w:type="dxa" w:w="3293"/>
          </w:tcPr>
          <w:p>
            <w:pPr>
              <w:spacing w:after="40"/>
            </w:pPr>
            <w:r>
              <w:rPr>
                <w:sz w:val="16"/>
              </w:rPr>
              <w:t>Can create/complete task without accidental action</w:t>
            </w:r>
          </w:p>
        </w:tc>
      </w:tr>
    </w:tbl>
    <w:p/>
    <w:p>
      <w:r>
        <w:t>Suggested moderated formative test: 5–8 target participants per round; measure task completion, errors, confusion and qualitative feedback. This is a planning recommendation, not evidence of validated usability.</w:t>
      </w:r>
    </w:p>
    <w:p>
      <w:pPr>
        <w:pStyle w:val="Heading1"/>
      </w:pPr>
      <w:r>
        <w:t>12  Governance, security &amp; handoff</w:t>
      </w:r>
    </w:p>
    <w:p>
      <w:pPr>
        <w:pStyle w:val="ListBullet"/>
      </w:pPr>
      <w:r>
        <w:t>Do not change approved ACL: Editor/Reviewer/publishing separation follows source specification; UI hides unauthorized actions, backend always enforces permissions.</w:t>
      </w:r>
    </w:p>
    <w:p>
      <w:pPr>
        <w:pStyle w:val="ListBullet"/>
      </w:pPr>
      <w:r>
        <w:t>CMS shows permission-dependent actions and explicit disabled/denied states; approval history and source provenance remain auditable.</w:t>
      </w:r>
    </w:p>
    <w:p>
      <w:pPr>
        <w:pStyle w:val="ListBullet"/>
      </w:pPr>
      <w:r>
        <w:t>Design handoff includes Figma-equivalent component states, tokens, spacing specs, responsive annotations, localization strings and accessibility notes.</w:t>
      </w:r>
    </w:p>
    <w:p>
      <w:pPr>
        <w:pStyle w:val="ListBullet"/>
      </w:pPr>
      <w:r>
        <w:t>Each hi-fi screen should trace to wireframe ID, user flow ID, PRD requirement and permission rule; confirm deviations in decision log.</w:t>
      </w:r>
    </w:p>
    <w:p>
      <w:pPr>
        <w:pStyle w:val="ListBullet"/>
      </w:pPr>
      <w:r>
        <w:t>Open items: verify official program dataset for five markets, select exact FX provider, name content data owners, approve retention duration for temporary guest form state, and validate component contrast.</w:t>
      </w:r>
    </w:p>
    <w:p>
      <w:pPr>
        <w:pStyle w:val="Heading1"/>
      </w:pPr>
      <w:r>
        <w:t>13  Acceptance checklist for design sign-off</w:t>
      </w:r>
    </w:p>
    <w:p>
      <w:r>
        <w:t>☐ All nine screen families represented in desktop and mobile prototypes.</w:t>
      </w:r>
    </w:p>
    <w:p>
      <w:r>
        <w:t>☐ Glass surfaces have opaque fallback; no critical information sits on decorative gradient.</w:t>
      </w:r>
    </w:p>
    <w:p>
      <w:r>
        <w:t>☐ All controls show default, focus, loading, disabled and error states where relevant.</w:t>
      </w:r>
    </w:p>
    <w:p>
      <w:r>
        <w:t>☐ Guest Budget Planner can calculate; save invokes login and returns without unexpected loss.</w:t>
      </w:r>
    </w:p>
    <w:p>
      <w:r>
        <w:t>☐ Cost, FX and program data show provenance and freshness; unknown data explicitly labeled.</w:t>
      </w:r>
    </w:p>
    <w:p>
      <w:r>
        <w:t>☐ Reviewer/editor/admin UI matches approved ACL; no client-only security assumption.</w:t>
      </w:r>
    </w:p>
    <w:p>
      <w:r>
        <w:t>☐ Five priority mobile tasks tested and findings documented before final layout sign-off.</w:t>
      </w:r>
    </w:p>
    <w:p>
      <w:r>
        <w:t>☐ Contrast and keyboard review completed, with issues assigned and retested.</w:t>
      </w:r>
    </w:p>
    <w:p>
      <w:pPr>
        <w:pStyle w:val="Heading1"/>
      </w:pPr>
      <w:r>
        <w:t>14  Reference standards</w:t>
      </w:r>
    </w:p>
    <w:p>
      <w:r>
        <w:t>W3C WCAG 2.2: https://www.w3.org/TR/WCAG22/</w:t>
        <w:br/>
        <w:t>WAI ARIA Authoring Practices: https://www.w3.org/WAI/ARIA/apg/</w:t>
        <w:br/>
        <w:t>Apple Human Interface Guidelines: https://developer.apple.com/design/human-interface-guidelines/</w:t>
        <w:br/>
        <w:t>MDN backdrop-filter: https://developer.mozilla.org/en-US/docs/Web/CSS/backdrop-filter</w:t>
        <w:br/>
        <w:t>OWASP Authorization Cheat Sheet: https://cheatsheetseries.owasp.org/cheatsheets/Authorization_Cheat_Sheet.html</w:t>
      </w:r>
    </w:p>
    <w:p>
      <w:r>
        <w:t>These links identify relevant standards; this document does not claim formal compliance or Apple affiliation.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STUDY ABROAD  •  UI DESIGN SYSTEM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E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4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D2C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