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11C7" w14:textId="0853CA21" w:rsidR="00AC1A7B" w:rsidRDefault="00AC1A7B" w:rsidP="00AC1A7B">
      <w:pPr>
        <w:spacing w:after="164" w:line="259" w:lineRule="auto"/>
        <w:ind w:right="660"/>
        <w:jc w:val="right"/>
      </w:pPr>
      <w:r>
        <w:t xml:space="preserve"> </w:t>
      </w:r>
    </w:p>
    <w:p w14:paraId="60D8AC06" w14:textId="77777777" w:rsidR="00AC1A7B" w:rsidRDefault="00AC1A7B" w:rsidP="00AC1A7B">
      <w:pPr>
        <w:spacing w:after="220" w:line="259" w:lineRule="auto"/>
        <w:ind w:left="24"/>
        <w:jc w:val="center"/>
      </w:pPr>
      <w:r>
        <w:t xml:space="preserve"> </w:t>
      </w:r>
    </w:p>
    <w:p w14:paraId="734C4CE0" w14:textId="45131685" w:rsidR="00AC1A7B" w:rsidRDefault="00AC1A7B" w:rsidP="00AC1A7B">
      <w:pPr>
        <w:spacing w:after="216" w:line="259" w:lineRule="auto"/>
        <w:ind w:left="24"/>
        <w:jc w:val="center"/>
      </w:pPr>
      <w:r>
        <w:t xml:space="preserve"> </w:t>
      </w:r>
      <w:r>
        <w:rPr>
          <w:noProof/>
        </w:rPr>
        <w:drawing>
          <wp:inline distT="0" distB="0" distL="0" distR="0" wp14:anchorId="5988EBE6" wp14:editId="2D52967D">
            <wp:extent cx="2692800" cy="1080000"/>
            <wp:effectExtent l="0" t="0" r="0" b="6350"/>
            <wp:docPr id="501041917" name="Image 1"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41917" name="Image 1" descr="Une image contenant texte, Police, Graphique, logo&#10;&#10;Le contenu généré par l’IA peut êtr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92800" cy="1080000"/>
                    </a:xfrm>
                    <a:prstGeom prst="rect">
                      <a:avLst/>
                    </a:prstGeom>
                    <a:noFill/>
                    <a:ln>
                      <a:noFill/>
                    </a:ln>
                  </pic:spPr>
                </pic:pic>
              </a:graphicData>
            </a:graphic>
          </wp:inline>
        </w:drawing>
      </w:r>
      <w:r>
        <w:rPr>
          <w:noProof/>
        </w:rPr>
        <w:drawing>
          <wp:inline distT="0" distB="0" distL="0" distR="0" wp14:anchorId="3B6F17EE" wp14:editId="5463F521">
            <wp:extent cx="2152800" cy="1080000"/>
            <wp:effectExtent l="0" t="0" r="0" b="6350"/>
            <wp:docPr id="1781567089" name="Image 2" descr="Mention de master &quot;Biologie Moléculaire &amp; Cellulaire&quot; Parcours &quot;  Microbiologie &quot; M2 Virolog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ntion de master &quot;Biologie Moléculaire &amp; Cellulaire&quot; Parcours &quot;  Microbiologie &quot; M2 Virologi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52800" cy="1080000"/>
                    </a:xfrm>
                    <a:prstGeom prst="rect">
                      <a:avLst/>
                    </a:prstGeom>
                    <a:noFill/>
                    <a:ln>
                      <a:noFill/>
                    </a:ln>
                  </pic:spPr>
                </pic:pic>
              </a:graphicData>
            </a:graphic>
          </wp:inline>
        </w:drawing>
      </w:r>
    </w:p>
    <w:p w14:paraId="719D6F45" w14:textId="19BFC3EA" w:rsidR="00AC1A7B" w:rsidRDefault="00AC1A7B" w:rsidP="00AC1A7B">
      <w:pPr>
        <w:spacing w:after="216" w:line="259" w:lineRule="auto"/>
        <w:ind w:left="24"/>
        <w:jc w:val="center"/>
      </w:pPr>
      <w:r>
        <w:t xml:space="preserve"> FACULTÉ DES SCIENCES ET INGÉNIERIE </w:t>
      </w:r>
    </w:p>
    <w:p w14:paraId="3FC2AD31" w14:textId="77777777" w:rsidR="00AC1A7B" w:rsidRDefault="00AC1A7B" w:rsidP="00AC1A7B">
      <w:pPr>
        <w:spacing w:after="215" w:line="259" w:lineRule="auto"/>
        <w:ind w:left="24"/>
        <w:jc w:val="center"/>
      </w:pPr>
      <w:r>
        <w:t xml:space="preserve"> </w:t>
      </w:r>
    </w:p>
    <w:p w14:paraId="2A7B05D9" w14:textId="77777777" w:rsidR="00AC1A7B" w:rsidRDefault="00AC1A7B" w:rsidP="00AC1A7B">
      <w:pPr>
        <w:spacing w:after="488" w:line="259" w:lineRule="auto"/>
        <w:ind w:left="24"/>
        <w:jc w:val="center"/>
      </w:pPr>
      <w:r>
        <w:t xml:space="preserve"> </w:t>
      </w:r>
    </w:p>
    <w:p w14:paraId="6CFC83D3" w14:textId="6831078D" w:rsidR="00AC1A7B" w:rsidRPr="003719A8" w:rsidRDefault="003719A8" w:rsidP="003719A8">
      <w:pPr>
        <w:spacing w:after="358" w:line="259" w:lineRule="auto"/>
        <w:ind w:left="-28"/>
        <w:jc w:val="center"/>
        <w:rPr>
          <w:i/>
          <w:iCs/>
          <w:sz w:val="40"/>
          <w:szCs w:val="40"/>
        </w:rPr>
      </w:pPr>
      <w:r w:rsidRPr="003719A8">
        <w:rPr>
          <w:rFonts w:ascii="Calibri" w:eastAsia="Calibri" w:hAnsi="Calibri" w:cs="Calibri"/>
          <w:color w:val="17365D"/>
          <w:sz w:val="52"/>
        </w:rPr>
        <w:t>Prédiction de l’évolution clinique à partir de la similarité transcriptomique</w:t>
      </w:r>
      <w:r w:rsidR="009F7A48" w:rsidRPr="009F7A48">
        <w:rPr>
          <w:rFonts w:ascii="Calibri" w:eastAsia="Calibri" w:hAnsi="Calibri" w:cs="Calibri"/>
          <w:color w:val="17365D"/>
          <w:sz w:val="52"/>
        </w:rPr>
        <w:t xml:space="preserve"> </w:t>
      </w:r>
      <w:r>
        <w:rPr>
          <w:rFonts w:ascii="Calibri" w:eastAsia="Calibri" w:hAnsi="Calibri" w:cs="Calibri"/>
          <w:color w:val="17365D"/>
          <w:sz w:val="52"/>
        </w:rPr>
        <w:br/>
      </w:r>
      <w:r w:rsidR="009F7A48" w:rsidRPr="003719A8">
        <w:rPr>
          <w:rFonts w:ascii="Calibri" w:eastAsia="Calibri" w:hAnsi="Calibri" w:cs="Calibri"/>
          <w:i/>
          <w:iCs/>
          <w:color w:val="17365D"/>
          <w:sz w:val="40"/>
          <w:szCs w:val="40"/>
        </w:rPr>
        <w:t>(</w:t>
      </w:r>
      <w:r w:rsidRPr="003719A8">
        <w:rPr>
          <w:rFonts w:ascii="Calibri" w:eastAsia="Calibri" w:hAnsi="Calibri" w:cs="Calibri"/>
          <w:i/>
          <w:iCs/>
          <w:color w:val="17365D"/>
          <w:sz w:val="40"/>
          <w:szCs w:val="40"/>
        </w:rPr>
        <w:t>Uterine Corpus Endometrial Carcinoma</w:t>
      </w:r>
      <w:r>
        <w:rPr>
          <w:rFonts w:ascii="Calibri" w:eastAsia="Calibri" w:hAnsi="Calibri" w:cs="Calibri"/>
          <w:i/>
          <w:iCs/>
          <w:color w:val="17365D"/>
          <w:sz w:val="40"/>
          <w:szCs w:val="40"/>
        </w:rPr>
        <w:t xml:space="preserve">, </w:t>
      </w:r>
      <w:r w:rsidRPr="003719A8">
        <w:rPr>
          <w:rFonts w:ascii="Calibri" w:eastAsia="Calibri" w:hAnsi="Calibri" w:cs="Calibri"/>
          <w:i/>
          <w:iCs/>
          <w:color w:val="17365D"/>
          <w:sz w:val="40"/>
          <w:szCs w:val="40"/>
        </w:rPr>
        <w:t xml:space="preserve">TCGA </w:t>
      </w:r>
      <w:r>
        <w:rPr>
          <w:rFonts w:ascii="Calibri" w:eastAsia="Calibri" w:hAnsi="Calibri" w:cs="Calibri"/>
          <w:i/>
          <w:iCs/>
          <w:color w:val="17365D"/>
          <w:sz w:val="40"/>
          <w:szCs w:val="40"/>
        </w:rPr>
        <w:t>c</w:t>
      </w:r>
      <w:r w:rsidRPr="003719A8">
        <w:rPr>
          <w:rFonts w:ascii="Calibri" w:eastAsia="Calibri" w:hAnsi="Calibri" w:cs="Calibri"/>
          <w:i/>
          <w:iCs/>
          <w:color w:val="17365D"/>
          <w:sz w:val="40"/>
          <w:szCs w:val="40"/>
        </w:rPr>
        <w:t>ohort</w:t>
      </w:r>
      <w:r w:rsidR="009F7A48" w:rsidRPr="003719A8">
        <w:rPr>
          <w:rFonts w:ascii="Calibri" w:eastAsia="Calibri" w:hAnsi="Calibri" w:cs="Calibri"/>
          <w:i/>
          <w:iCs/>
          <w:color w:val="17365D"/>
          <w:sz w:val="40"/>
          <w:szCs w:val="40"/>
        </w:rPr>
        <w:t>)</w:t>
      </w:r>
    </w:p>
    <w:p w14:paraId="3C83283F" w14:textId="77777777" w:rsidR="00AC1A7B" w:rsidRDefault="00AC1A7B" w:rsidP="00AC1A7B">
      <w:pPr>
        <w:spacing w:after="218" w:line="259" w:lineRule="auto"/>
        <w:ind w:right="40"/>
        <w:jc w:val="center"/>
      </w:pPr>
      <w:r>
        <w:t xml:space="preserve"> </w:t>
      </w:r>
    </w:p>
    <w:p w14:paraId="0EABD7AD" w14:textId="6E9E45C8" w:rsidR="00AC1A7B" w:rsidRPr="009F7A48" w:rsidRDefault="003719A8" w:rsidP="00AC1A7B">
      <w:pPr>
        <w:spacing w:after="218" w:line="259" w:lineRule="auto"/>
        <w:ind w:right="42"/>
        <w:jc w:val="center"/>
        <w:rPr>
          <w:rFonts w:ascii="Calibri" w:eastAsia="Calibri" w:hAnsi="Calibri" w:cs="Calibri"/>
          <w:color w:val="17365D"/>
          <w:sz w:val="40"/>
          <w:szCs w:val="40"/>
        </w:rPr>
      </w:pPr>
      <w:r>
        <w:rPr>
          <w:rFonts w:ascii="Calibri" w:eastAsia="Calibri" w:hAnsi="Calibri" w:cs="Calibri"/>
          <w:color w:val="17365D"/>
          <w:sz w:val="40"/>
          <w:szCs w:val="40"/>
        </w:rPr>
        <w:t>Klervi</w:t>
      </w:r>
      <w:r>
        <w:rPr>
          <w:rFonts w:ascii="Calibri" w:eastAsia="Calibri" w:hAnsi="Calibri" w:cs="Calibri"/>
          <w:color w:val="17365D"/>
          <w:sz w:val="40"/>
          <w:szCs w:val="40"/>
        </w:rPr>
        <w:br/>
        <w:t>Quentin</w:t>
      </w:r>
      <w:r>
        <w:rPr>
          <w:rFonts w:ascii="Calibri" w:eastAsia="Calibri" w:hAnsi="Calibri" w:cs="Calibri"/>
          <w:color w:val="17365D"/>
          <w:sz w:val="40"/>
          <w:szCs w:val="40"/>
        </w:rPr>
        <w:br/>
      </w:r>
      <w:r w:rsidR="00AC1A7B" w:rsidRPr="009F7A48">
        <w:rPr>
          <w:rFonts w:ascii="Calibri" w:eastAsia="Calibri" w:hAnsi="Calibri" w:cs="Calibri"/>
          <w:color w:val="17365D"/>
          <w:sz w:val="40"/>
          <w:szCs w:val="40"/>
        </w:rPr>
        <w:t xml:space="preserve">Laïla </w:t>
      </w:r>
    </w:p>
    <w:p w14:paraId="53865DBF" w14:textId="77777777" w:rsidR="009F7A48" w:rsidRDefault="009F7A48" w:rsidP="00AC1A7B">
      <w:pPr>
        <w:spacing w:after="220" w:line="259" w:lineRule="auto"/>
        <w:ind w:left="24"/>
        <w:jc w:val="center"/>
      </w:pPr>
    </w:p>
    <w:p w14:paraId="04E180FD" w14:textId="77777777" w:rsidR="009F7A48" w:rsidRDefault="009F7A48" w:rsidP="00AC1A7B">
      <w:pPr>
        <w:spacing w:after="220" w:line="259" w:lineRule="auto"/>
        <w:ind w:left="24"/>
        <w:jc w:val="center"/>
      </w:pPr>
    </w:p>
    <w:p w14:paraId="5A1E1092" w14:textId="0496735F" w:rsidR="009F7A48" w:rsidRPr="009F7A48" w:rsidRDefault="009F7A48" w:rsidP="009F7A48">
      <w:pPr>
        <w:spacing w:after="218" w:line="259" w:lineRule="auto"/>
        <w:ind w:right="42"/>
        <w:jc w:val="right"/>
        <w:rPr>
          <w:sz w:val="32"/>
          <w:szCs w:val="32"/>
        </w:rPr>
      </w:pPr>
      <w:r w:rsidRPr="009F7A48">
        <w:rPr>
          <w:sz w:val="32"/>
          <w:szCs w:val="32"/>
        </w:rPr>
        <w:t>Pr Lorette NOIRET</w:t>
      </w:r>
      <w:r w:rsidRPr="009F7A48">
        <w:rPr>
          <w:sz w:val="32"/>
          <w:szCs w:val="32"/>
        </w:rPr>
        <w:br/>
        <w:t>Pr Nicolas TCHITCHEK</w:t>
      </w:r>
    </w:p>
    <w:p w14:paraId="1D2456B1" w14:textId="77777777" w:rsidR="00AC1A7B" w:rsidRDefault="00AC1A7B" w:rsidP="00AC1A7B">
      <w:pPr>
        <w:pStyle w:val="Titre1"/>
        <w:pBdr>
          <w:top w:val="single" w:sz="3" w:space="0" w:color="000000"/>
          <w:left w:val="single" w:sz="3" w:space="0" w:color="000000"/>
          <w:bottom w:val="single" w:sz="3" w:space="0" w:color="000000"/>
          <w:right w:val="single" w:sz="3" w:space="0" w:color="000000"/>
        </w:pBdr>
        <w:spacing w:after="0"/>
        <w:ind w:right="39"/>
        <w:jc w:val="center"/>
      </w:pPr>
      <w:r>
        <w:rPr>
          <w:rFonts w:ascii="Century Gothic" w:eastAsia="Century Gothic" w:hAnsi="Century Gothic" w:cs="Century Gothic"/>
          <w:sz w:val="24"/>
          <w:u w:val="single" w:color="000000"/>
        </w:rPr>
        <w:t>UE MU5BIS01</w:t>
      </w:r>
      <w:r>
        <w:rPr>
          <w:rFonts w:ascii="Century Gothic" w:eastAsia="Century Gothic" w:hAnsi="Century Gothic" w:cs="Century Gothic"/>
          <w:sz w:val="24"/>
        </w:rPr>
        <w:t xml:space="preserve"> </w:t>
      </w:r>
    </w:p>
    <w:p w14:paraId="161E94DA" w14:textId="77777777" w:rsidR="00AC1A7B" w:rsidRDefault="00AC1A7B" w:rsidP="00AC1A7B">
      <w:pPr>
        <w:pBdr>
          <w:top w:val="single" w:sz="3" w:space="0" w:color="000000"/>
          <w:left w:val="single" w:sz="3" w:space="0" w:color="000000"/>
          <w:bottom w:val="single" w:sz="3" w:space="0" w:color="000000"/>
          <w:right w:val="single" w:sz="3" w:space="0" w:color="000000"/>
        </w:pBdr>
        <w:spacing w:line="259" w:lineRule="auto"/>
        <w:ind w:right="39"/>
        <w:jc w:val="center"/>
      </w:pPr>
      <w:r>
        <w:rPr>
          <w:rFonts w:ascii="Century Gothic" w:eastAsia="Century Gothic" w:hAnsi="Century Gothic" w:cs="Century Gothic"/>
        </w:rPr>
        <w:t xml:space="preserve">Analyse de données transcriptomiques à l'échelle unicellulaire </w:t>
      </w:r>
    </w:p>
    <w:p w14:paraId="2E412CCA" w14:textId="77777777" w:rsidR="00AC1A7B" w:rsidRDefault="00AC1A7B" w:rsidP="00AC1A7B">
      <w:pPr>
        <w:pBdr>
          <w:top w:val="single" w:sz="3" w:space="0" w:color="000000"/>
          <w:left w:val="single" w:sz="3" w:space="0" w:color="000000"/>
          <w:bottom w:val="single" w:sz="3" w:space="0" w:color="000000"/>
          <w:right w:val="single" w:sz="3" w:space="0" w:color="000000"/>
        </w:pBdr>
        <w:spacing w:line="259" w:lineRule="auto"/>
        <w:ind w:right="39"/>
        <w:jc w:val="center"/>
      </w:pPr>
      <w:r>
        <w:rPr>
          <w:rFonts w:ascii="Century Gothic" w:eastAsia="Century Gothic" w:hAnsi="Century Gothic" w:cs="Century Gothic"/>
        </w:rPr>
        <w:t xml:space="preserve"> </w:t>
      </w:r>
    </w:p>
    <w:p w14:paraId="156000B3" w14:textId="77777777" w:rsidR="00AC1A7B" w:rsidRDefault="00AC1A7B" w:rsidP="00AC1A7B">
      <w:pPr>
        <w:pBdr>
          <w:top w:val="single" w:sz="3" w:space="0" w:color="000000"/>
          <w:left w:val="single" w:sz="3" w:space="0" w:color="000000"/>
          <w:bottom w:val="single" w:sz="3" w:space="0" w:color="000000"/>
          <w:right w:val="single" w:sz="3" w:space="0" w:color="000000"/>
        </w:pBdr>
        <w:spacing w:line="259" w:lineRule="auto"/>
        <w:ind w:right="39"/>
        <w:jc w:val="center"/>
      </w:pPr>
      <w:r>
        <w:rPr>
          <w:rFonts w:ascii="Century Gothic" w:eastAsia="Century Gothic" w:hAnsi="Century Gothic" w:cs="Century Gothic"/>
          <w:i/>
        </w:rPr>
        <w:t xml:space="preserve">Master Artificial Intelligence and Data Analysis – AIDA </w:t>
      </w:r>
    </w:p>
    <w:p w14:paraId="1F07992A" w14:textId="77777777" w:rsidR="00AC1A7B" w:rsidRDefault="00AC1A7B" w:rsidP="00AC1A7B">
      <w:pPr>
        <w:pBdr>
          <w:top w:val="single" w:sz="3" w:space="0" w:color="000000"/>
          <w:left w:val="single" w:sz="3" w:space="0" w:color="000000"/>
          <w:bottom w:val="single" w:sz="3" w:space="0" w:color="000000"/>
          <w:right w:val="single" w:sz="3" w:space="0" w:color="000000"/>
        </w:pBdr>
        <w:spacing w:line="259" w:lineRule="auto"/>
        <w:ind w:right="39"/>
        <w:jc w:val="center"/>
      </w:pPr>
      <w:r>
        <w:rPr>
          <w:rFonts w:ascii="Century Gothic" w:eastAsia="Century Gothic" w:hAnsi="Century Gothic" w:cs="Century Gothic"/>
          <w:i/>
        </w:rPr>
        <w:t>2025-2026</w:t>
      </w:r>
      <w:r>
        <w:rPr>
          <w:rFonts w:ascii="Century Gothic" w:eastAsia="Century Gothic" w:hAnsi="Century Gothic" w:cs="Century Gothic"/>
        </w:rPr>
        <w:t xml:space="preserve"> </w:t>
      </w:r>
    </w:p>
    <w:p w14:paraId="018B9456" w14:textId="77777777" w:rsidR="00AC1A7B" w:rsidRDefault="00AC1A7B" w:rsidP="00AC1A7B">
      <w:pPr>
        <w:spacing w:line="259" w:lineRule="auto"/>
        <w:ind w:left="4706"/>
      </w:pPr>
      <w:r>
        <w:t xml:space="preserve">  </w:t>
      </w:r>
    </w:p>
    <w:p w14:paraId="74FAF562" w14:textId="77777777" w:rsidR="0019520B" w:rsidRDefault="0019520B">
      <w:pPr>
        <w:rPr>
          <w:rFonts w:asciiTheme="majorBidi" w:hAnsiTheme="majorBidi" w:cstheme="majorBidi"/>
          <w:b/>
          <w:bCs/>
        </w:rPr>
      </w:pPr>
      <w:r>
        <w:rPr>
          <w:rFonts w:asciiTheme="majorBidi" w:hAnsiTheme="majorBidi" w:cstheme="majorBidi"/>
          <w:b/>
          <w:bCs/>
        </w:rPr>
        <w:br w:type="page"/>
      </w:r>
    </w:p>
    <w:p w14:paraId="0B6B7E6B" w14:textId="6D980AD3" w:rsidR="005C47EF" w:rsidRPr="005C47EF" w:rsidRDefault="005C47EF" w:rsidP="00B10018">
      <w:pPr>
        <w:pStyle w:val="Titre1"/>
      </w:pPr>
      <w:r w:rsidRPr="005C47EF">
        <w:lastRenderedPageBreak/>
        <w:t>1. Introduction</w:t>
      </w:r>
    </w:p>
    <w:p w14:paraId="132783C9" w14:textId="77777777" w:rsidR="000F0F85" w:rsidRDefault="000F0F85" w:rsidP="000F0F85">
      <w:pPr>
        <w:pStyle w:val="Titre3"/>
      </w:pPr>
      <w:bookmarkStart w:id="0" w:name="contexte-clinique-et-biologique"/>
      <w:bookmarkStart w:id="1" w:name="introduction"/>
      <w:r>
        <w:t>1.1 Contexte clinique et biologique</w:t>
      </w:r>
    </w:p>
    <w:p w14:paraId="6DF780A5" w14:textId="77777777" w:rsidR="000F0F85" w:rsidRPr="000F0F85" w:rsidRDefault="000F0F85" w:rsidP="000F0F85">
      <w:pPr>
        <w:pStyle w:val="FirstParagraph"/>
        <w:rPr>
          <w:lang w:val="fr-FR"/>
        </w:rPr>
      </w:pPr>
      <w:r w:rsidRPr="000F0F85">
        <w:rPr>
          <w:lang w:val="fr-FR"/>
        </w:rPr>
        <w:t>Le carcinome de l’endomètre (UCEC) est le cancer gynécologique le plus fréquent dans les pays occidentaux. Il présente une hétérogénéité clinique et moléculaire marquée, classiquement résumée par la distinction entre les formes de type I (endométrioïdes, souvent associées à des altérations de la voie PI3K/AKT) et de type II (séreuses, plus agressives, fréquemment mutées pour TP53).</w:t>
      </w:r>
    </w:p>
    <w:p w14:paraId="4B0F36D9" w14:textId="77777777" w:rsidR="000F0F85" w:rsidRPr="000F0F85" w:rsidRDefault="000F0F85" w:rsidP="000F0F85">
      <w:pPr>
        <w:pStyle w:val="Corpsdetexte"/>
        <w:rPr>
          <w:lang w:val="fr-FR"/>
        </w:rPr>
      </w:pPr>
      <w:r w:rsidRPr="000F0F85">
        <w:rPr>
          <w:lang w:val="fr-FR"/>
        </w:rPr>
        <w:t>Les analyses multi-omiques du consortium TCGA ont permis d’identifier quatre sous-groupes moléculaires majeurs (POLE ultramuté, MSI hypermuté, copy-number low, copy-number high). Toutefois, malgré cette stratification, la prédiction individuelle de l’évolution clinique (notamment la survie globale) reste imparfaite.</w:t>
      </w:r>
    </w:p>
    <w:p w14:paraId="21B7F4E1" w14:textId="77777777" w:rsidR="000F0F85" w:rsidRDefault="000F0F85" w:rsidP="000F0F85">
      <w:pPr>
        <w:pStyle w:val="Titre3"/>
      </w:pPr>
      <w:bookmarkStart w:id="2" w:name="problématique-et-hypothèse"/>
      <w:bookmarkEnd w:id="0"/>
      <w:r>
        <w:t>1.2 Problématique et hypothèse</w:t>
      </w:r>
    </w:p>
    <w:p w14:paraId="293A319C" w14:textId="77777777" w:rsidR="000F0F85" w:rsidRPr="000F0F85" w:rsidRDefault="000F0F85" w:rsidP="000F0F85">
      <w:pPr>
        <w:pStyle w:val="FirstParagraph"/>
        <w:rPr>
          <w:lang w:val="fr-FR"/>
        </w:rPr>
      </w:pPr>
      <w:r w:rsidRPr="000F0F85">
        <w:rPr>
          <w:lang w:val="fr-FR"/>
        </w:rPr>
        <w:t xml:space="preserve">Ce projet s’inscrit dans une approche centrée sur la similarité transcriptomique globale. L’hypothèse est que deux patientes proches dans un espace transcriptomique pertinent partagent une trajectoire clinique similaire. La question centrale est donc : </w:t>
      </w:r>
      <w:r w:rsidRPr="000F0F85">
        <w:rPr>
          <w:i/>
          <w:iCs/>
          <w:lang w:val="fr-FR"/>
        </w:rPr>
        <w:t>peut-on prédire l’évolution clinique d’une patiente à partir de ses 10 plus proches voisins dans un espace latent appris à partir des données RNA-seq ?</w:t>
      </w:r>
    </w:p>
    <w:p w14:paraId="388DE74B" w14:textId="77777777" w:rsidR="000F0F85" w:rsidRPr="000F0F85" w:rsidRDefault="000F0F85" w:rsidP="000F0F85">
      <w:pPr>
        <w:pStyle w:val="Corpsdetexte"/>
        <w:rPr>
          <w:lang w:val="fr-FR"/>
        </w:rPr>
      </w:pPr>
      <w:r w:rsidRPr="000F0F85">
        <w:rPr>
          <w:lang w:val="fr-FR"/>
        </w:rPr>
        <w:t>Dans ce cadre, l’autoencodeur non supervisé constitue le cœur méthodologique du projet, car il vise à apprendre une représentation compacte et biologiquement informative des profils transcriptomiques.</w:t>
      </w:r>
    </w:p>
    <w:p w14:paraId="085B4CBF" w14:textId="77777777" w:rsidR="000F0F85" w:rsidRDefault="000F0F85" w:rsidP="000F0F85">
      <w:pPr>
        <w:pStyle w:val="Titre2"/>
      </w:pPr>
      <w:bookmarkStart w:id="3" w:name="matériel-et-méthodes"/>
      <w:bookmarkEnd w:id="1"/>
      <w:bookmarkEnd w:id="2"/>
      <w:r>
        <w:t>2. Matériel et Méthodes</w:t>
      </w:r>
    </w:p>
    <w:p w14:paraId="319C01F8" w14:textId="77777777" w:rsidR="000F0F85" w:rsidRDefault="000F0F85" w:rsidP="000F0F85">
      <w:pPr>
        <w:pStyle w:val="Titre3"/>
      </w:pPr>
      <w:bookmarkStart w:id="4" w:name="données-et-cohorte"/>
      <w:r>
        <w:t>2.1 Données et cohorte</w:t>
      </w:r>
    </w:p>
    <w:p w14:paraId="490464FB" w14:textId="77777777" w:rsidR="000F0F85" w:rsidRPr="000F0F85" w:rsidRDefault="000F0F85" w:rsidP="000F0F85">
      <w:pPr>
        <w:pStyle w:val="FirstParagraph"/>
        <w:rPr>
          <w:lang w:val="fr-FR"/>
        </w:rPr>
      </w:pPr>
      <w:r w:rsidRPr="000F0F85">
        <w:rPr>
          <w:lang w:val="fr-FR"/>
        </w:rPr>
        <w:t>Les données utilisées proviennent du projet TCGA-UCEC et incluent des profils RNA-seq (comptages bruts et données normalisées) ainsi que des métadonnées cliniques associées. Après harmonisation et filtrage, la cohorte finale comprend environ 540 patientes disposant à la fois de données transcriptomiques exploitables et d’un suivi clinique suffisant.</w:t>
      </w:r>
    </w:p>
    <w:p w14:paraId="48A2BB83" w14:textId="77777777" w:rsidR="000F0F85" w:rsidRDefault="000F0F85" w:rsidP="000F0F85">
      <w:pPr>
        <w:pStyle w:val="Titre3"/>
      </w:pPr>
      <w:bookmarkStart w:id="5" w:name="X0831d9f42aad178598c721c4da41543d8bbb1b2"/>
      <w:bookmarkEnd w:id="4"/>
      <w:r>
        <w:t>2.2 Prétraitement et contrôle qualité (Pipelines 0A–0C)</w:t>
      </w:r>
    </w:p>
    <w:p w14:paraId="260071A0" w14:textId="77777777" w:rsidR="000F0F85" w:rsidRPr="000F0F85" w:rsidRDefault="000F0F85" w:rsidP="000F0F85">
      <w:pPr>
        <w:pStyle w:val="FirstParagraph"/>
        <w:rPr>
          <w:lang w:val="fr-FR"/>
        </w:rPr>
      </w:pPr>
      <w:r w:rsidRPr="000F0F85">
        <w:rPr>
          <w:lang w:val="fr-FR"/>
        </w:rPr>
        <w:t>Les étapes de prétraitement ont été pensées pour sécuriser la qualité biologique des signaux tout en rendant les données compatibles avec des modèles de Deep Learning : - filtrage des gènes faiblement exprimés ou à faible variance ; - normalisation log-transformée (log2-CPM) ; - standardisation en Z-scores pour garantir une échelle homogène entre gènes.</w:t>
      </w:r>
    </w:p>
    <w:p w14:paraId="7A13C337" w14:textId="77777777" w:rsidR="000F0F85" w:rsidRPr="000F0F85" w:rsidRDefault="000F0F85" w:rsidP="000F0F85">
      <w:pPr>
        <w:pStyle w:val="Corpsdetexte"/>
        <w:rPr>
          <w:lang w:val="fr-FR"/>
        </w:rPr>
      </w:pPr>
      <w:r w:rsidRPr="000F0F85">
        <w:rPr>
          <w:lang w:val="fr-FR"/>
        </w:rPr>
        <w:t>Une attention particulière a été portée à l’ingénierie des labels cliniques. En particulier, les patientes censurées avant 5 ans ont été exclues dans certains flux analytiques afin de garantir la cohérence du label de survie globale à 5 ans.</w:t>
      </w:r>
    </w:p>
    <w:p w14:paraId="633508BE" w14:textId="77777777" w:rsidR="000F0F85" w:rsidRDefault="000F0F85" w:rsidP="000F0F85">
      <w:pPr>
        <w:pStyle w:val="Titre3"/>
      </w:pPr>
      <w:bookmarkStart w:id="6" w:name="X73c97c39a3b93f6546ae98ff891aa5b0258ff3c"/>
      <w:bookmarkEnd w:id="5"/>
      <w:r>
        <w:lastRenderedPageBreak/>
        <w:t>2.3 Autoencodeur non supervisé : choix méthodologiques</w:t>
      </w:r>
    </w:p>
    <w:p w14:paraId="049D534B" w14:textId="77777777" w:rsidR="000F0F85" w:rsidRDefault="000F0F85" w:rsidP="000F0F85">
      <w:pPr>
        <w:pStyle w:val="Titre4"/>
      </w:pPr>
      <w:bookmarkStart w:id="7" w:name="rôle-de-lautoencodeur"/>
      <w:r>
        <w:t>2.3.1 Rôle de l’autoencodeur</w:t>
      </w:r>
    </w:p>
    <w:p w14:paraId="229117CD" w14:textId="77777777" w:rsidR="000F0F85" w:rsidRPr="000F0F85" w:rsidRDefault="000F0F85" w:rsidP="000F0F85">
      <w:pPr>
        <w:pStyle w:val="FirstParagraph"/>
        <w:rPr>
          <w:lang w:val="fr-FR"/>
        </w:rPr>
      </w:pPr>
      <w:r w:rsidRPr="000F0F85">
        <w:rPr>
          <w:lang w:val="fr-FR"/>
        </w:rPr>
        <w:t>L’autoencodeur est utilisé comme un outil de réduction de dimension non supervisée, destiné à capturer la structure globale des données transcriptomiques sans utiliser l’information clinique. Contrairement à la PCA, qui impose une projection linéaire, l’autoencodeur permet de modéliser des relations non linéaires entre gènes.</w:t>
      </w:r>
    </w:p>
    <w:p w14:paraId="334AC5C0" w14:textId="77777777" w:rsidR="000F0F85" w:rsidRDefault="000F0F85" w:rsidP="000F0F85">
      <w:pPr>
        <w:pStyle w:val="Titre4"/>
      </w:pPr>
      <w:bookmarkStart w:id="8" w:name="architecture"/>
      <w:bookmarkEnd w:id="7"/>
      <w:r>
        <w:t>2.3.2 Architecture</w:t>
      </w:r>
    </w:p>
    <w:p w14:paraId="56912C04" w14:textId="77777777" w:rsidR="000F0F85" w:rsidRPr="000F0F85" w:rsidRDefault="000F0F85" w:rsidP="000F0F85">
      <w:pPr>
        <w:pStyle w:val="FirstParagraph"/>
        <w:rPr>
          <w:lang w:val="fr-FR"/>
        </w:rPr>
      </w:pPr>
      <w:r w:rsidRPr="000F0F85">
        <w:rPr>
          <w:lang w:val="fr-FR"/>
        </w:rPr>
        <w:t xml:space="preserve">L’architecture retenue est symétrique, composée de plusieurs couches denses avec : - une activation linéaire en sortie afin de respecter la nature continue et centrée des Z-scores ; - des couches de Batch Normalization pour stabiliser l’apprentissage et limiter les effets de batch résiduels ; - une dimension latente </w:t>
      </w:r>
      <m:oMath>
        <m:r>
          <w:rPr>
            <w:rFonts w:ascii="Cambria Math" w:hAnsi="Cambria Math"/>
          </w:rPr>
          <m:t>Z</m:t>
        </m:r>
      </m:oMath>
      <w:r w:rsidRPr="000F0F85">
        <w:rPr>
          <w:lang w:val="fr-FR"/>
        </w:rPr>
        <w:t xml:space="preserve"> volontairement réduite afin de forcer la compression de l’information biologique pertinente.</w:t>
      </w:r>
    </w:p>
    <w:p w14:paraId="1A528A6B" w14:textId="77777777" w:rsidR="000F0F85" w:rsidRPr="000F0F85" w:rsidRDefault="000F0F85" w:rsidP="000F0F85">
      <w:pPr>
        <w:pStyle w:val="Corpsdetexte"/>
        <w:rPr>
          <w:lang w:val="fr-FR"/>
        </w:rPr>
      </w:pPr>
      <w:r w:rsidRPr="000F0F85">
        <w:rPr>
          <w:lang w:val="fr-FR"/>
        </w:rPr>
        <w:t>Le choix de cette architecture reflète un compromis entre capacité de représentation et risque de sur-apprentissage, compte tenu de la taille relativement modeste de la cohorte.</w:t>
      </w:r>
    </w:p>
    <w:p w14:paraId="6B94F31A" w14:textId="77777777" w:rsidR="000F0F85" w:rsidRDefault="000F0F85" w:rsidP="000F0F85">
      <w:pPr>
        <w:pStyle w:val="Titre4"/>
      </w:pPr>
      <w:bookmarkStart w:id="9" w:name="fonction-de-coût-et-entraînement"/>
      <w:bookmarkEnd w:id="8"/>
      <w:r>
        <w:t>2.3.3 Fonction de coût et entraînement</w:t>
      </w:r>
    </w:p>
    <w:p w14:paraId="4C3F0A2E" w14:textId="77777777" w:rsidR="000F0F85" w:rsidRPr="000F0F85" w:rsidRDefault="000F0F85" w:rsidP="000F0F85">
      <w:pPr>
        <w:pStyle w:val="FirstParagraph"/>
        <w:rPr>
          <w:lang w:val="fr-FR"/>
        </w:rPr>
      </w:pPr>
      <w:r w:rsidRPr="000F0F85">
        <w:rPr>
          <w:lang w:val="fr-FR"/>
        </w:rPr>
        <w:t>L’autoencodeur est entraîné en minimisant l’erreur de reconstruction (MSE) entre l’entrée et la sortie. Cette métrique permet d’évaluer la capacité du modèle à conserver l’information essentielle tout en comprimant les données.</w:t>
      </w:r>
    </w:p>
    <w:p w14:paraId="3EBBC360" w14:textId="77777777" w:rsidR="000F0F85" w:rsidRDefault="000F0F85" w:rsidP="000F0F85">
      <w:pPr>
        <w:pStyle w:val="Titre2"/>
      </w:pPr>
      <w:bookmarkStart w:id="10" w:name="résultats"/>
      <w:bookmarkEnd w:id="3"/>
      <w:bookmarkEnd w:id="6"/>
      <w:bookmarkEnd w:id="9"/>
      <w:r>
        <w:t>3. Résultats</w:t>
      </w:r>
    </w:p>
    <w:p w14:paraId="44431776" w14:textId="77777777" w:rsidR="000F0F85" w:rsidRDefault="000F0F85" w:rsidP="000F0F85">
      <w:pPr>
        <w:pStyle w:val="Titre3"/>
      </w:pPr>
      <w:bookmarkStart w:id="11" w:name="X84365e7f0a4cefb805d823a92dc0c87bae4a28d"/>
      <w:r>
        <w:t>3.1 Analyse exploratoire et comparaison des espaces (PCA vs UMAP vs AE)</w:t>
      </w:r>
    </w:p>
    <w:p w14:paraId="5CE7DEAF" w14:textId="77777777" w:rsidR="000F0F85" w:rsidRPr="000F0F85" w:rsidRDefault="000F0F85" w:rsidP="000F0F85">
      <w:pPr>
        <w:pStyle w:val="FirstParagraph"/>
        <w:rPr>
          <w:lang w:val="fr-FR"/>
        </w:rPr>
      </w:pPr>
      <w:r w:rsidRPr="000F0F85">
        <w:rPr>
          <w:lang w:val="fr-FR"/>
        </w:rPr>
        <w:t>Les analyses exploratoires initiales montrent que la PCA ne révèle pas de séparation nette selon les variables cliniques majeures. En revanche, l’UMAP appliqué aux données normalisées met en évidence une structuration partielle selon l’histologie, suggérant l’existence de signaux non linéaires.</w:t>
      </w:r>
    </w:p>
    <w:p w14:paraId="4656D117" w14:textId="77777777" w:rsidR="000F0F85" w:rsidRPr="000F0F85" w:rsidRDefault="000F0F85" w:rsidP="000F0F85">
      <w:pPr>
        <w:pStyle w:val="Corpsdetexte"/>
        <w:rPr>
          <w:lang w:val="fr-FR"/>
        </w:rPr>
      </w:pPr>
      <w:r w:rsidRPr="000F0F85">
        <w:rPr>
          <w:lang w:val="fr-FR"/>
        </w:rPr>
        <w:t xml:space="preserve">Après projection dans l’espace latent appris par l’autoencodeur, cette structuration apparaît plus cohérente. Certains groupes de patientes forment des régions compactes dans l’espace </w:t>
      </w:r>
      <m:oMath>
        <m:r>
          <w:rPr>
            <w:rFonts w:ascii="Cambria Math" w:hAnsi="Cambria Math"/>
          </w:rPr>
          <m:t>Z</m:t>
        </m:r>
      </m:oMath>
      <w:r w:rsidRPr="000F0F85">
        <w:rPr>
          <w:lang w:val="fr-FR"/>
        </w:rPr>
        <w:t>, suggérant que l’autoencodeur capture des programmes transcriptomiques communs.</w:t>
      </w:r>
    </w:p>
    <w:p w14:paraId="0BA04051" w14:textId="77777777" w:rsidR="000F0F85" w:rsidRDefault="000F0F85" w:rsidP="000F0F85">
      <w:pPr>
        <w:pStyle w:val="Titre3"/>
      </w:pPr>
      <w:bookmarkStart w:id="12" w:name="qualité-de-reconstruction"/>
      <w:bookmarkEnd w:id="11"/>
      <w:r>
        <w:t>3.2 Qualité de reconstruction</w:t>
      </w:r>
    </w:p>
    <w:p w14:paraId="1DD0188D" w14:textId="77777777" w:rsidR="000F0F85" w:rsidRPr="000F0F85" w:rsidRDefault="000F0F85" w:rsidP="000F0F85">
      <w:pPr>
        <w:pStyle w:val="FirstParagraph"/>
        <w:rPr>
          <w:lang w:val="fr-FR"/>
        </w:rPr>
      </w:pPr>
      <w:r w:rsidRPr="000F0F85">
        <w:rPr>
          <w:lang w:val="fr-FR"/>
        </w:rPr>
        <w:t>L’erreur de reconstruction observée est faible et stable entre les ensembles d’entraînement et de validation, indiquant une bonne généralisation du modèle. Cela suggère que la compression opérée par l’autoencodeur ne détruit pas l’information globale contenue dans les profils RNA-seq.</w:t>
      </w:r>
    </w:p>
    <w:p w14:paraId="534AAABE" w14:textId="77777777" w:rsidR="000F0F85" w:rsidRDefault="000F0F85" w:rsidP="000F0F85">
      <w:pPr>
        <w:pStyle w:val="Titre3"/>
      </w:pPr>
      <w:bookmarkStart w:id="13" w:name="X8e85b9dd5784415d8541e08f6d2c66ba985fc4d"/>
      <w:bookmarkEnd w:id="12"/>
      <w:r>
        <w:lastRenderedPageBreak/>
        <w:t>3.3 k-plus proches voisins dans l’espace latent</w:t>
      </w:r>
    </w:p>
    <w:p w14:paraId="72852CD6" w14:textId="77777777" w:rsidR="000F0F85" w:rsidRPr="000F0F85" w:rsidRDefault="000F0F85" w:rsidP="000F0F85">
      <w:pPr>
        <w:pStyle w:val="FirstParagraph"/>
        <w:rPr>
          <w:lang w:val="fr-FR"/>
        </w:rPr>
      </w:pPr>
      <w:r w:rsidRPr="000F0F85">
        <w:rPr>
          <w:lang w:val="fr-FR"/>
        </w:rPr>
        <w:t xml:space="preserve">L’espace latent </w:t>
      </w:r>
      <m:oMath>
        <m:r>
          <w:rPr>
            <w:rFonts w:ascii="Cambria Math" w:hAnsi="Cambria Math"/>
          </w:rPr>
          <m:t>Z</m:t>
        </m:r>
      </m:oMath>
      <w:r w:rsidRPr="000F0F85">
        <w:rPr>
          <w:lang w:val="fr-FR"/>
        </w:rPr>
        <w:t xml:space="preserve"> est ensuite utilisé pour définir, pour chaque patiente, ses 10 plus proches voisins. Cette étape est centrale pour tester l’hypothèse du projet : la proximité transcriptomique reflète-t-elle une proximité clinique ?</w:t>
      </w:r>
    </w:p>
    <w:p w14:paraId="7A160A92" w14:textId="77777777" w:rsidR="000F0F85" w:rsidRPr="000F0F85" w:rsidRDefault="000F0F85" w:rsidP="000F0F85">
      <w:pPr>
        <w:pStyle w:val="Corpsdetexte"/>
        <w:rPr>
          <w:lang w:val="fr-FR"/>
        </w:rPr>
      </w:pPr>
      <w:r w:rsidRPr="000F0F85">
        <w:rPr>
          <w:lang w:val="fr-FR"/>
        </w:rPr>
        <w:t>Les premières analyses montrent que les voisinages définis dans l’espace latent sont plus homogènes sur le plan clinique que ceux définis dans l’espace brut ou après PCA, suggérant un gain de pertinence biologique.</w:t>
      </w:r>
    </w:p>
    <w:p w14:paraId="38A44C9E" w14:textId="77777777" w:rsidR="000F0F85" w:rsidRDefault="000F0F85" w:rsidP="000F0F85">
      <w:pPr>
        <w:pStyle w:val="Titre2"/>
      </w:pPr>
      <w:bookmarkStart w:id="14" w:name="comparaison-avec-le-modèle-supervisé-mlp"/>
      <w:bookmarkEnd w:id="10"/>
      <w:bookmarkEnd w:id="13"/>
      <w:r>
        <w:t>4. Comparaison avec le modèle supervisé (MLP)</w:t>
      </w:r>
    </w:p>
    <w:p w14:paraId="121C2BDB" w14:textId="77777777" w:rsidR="000F0F85" w:rsidRPr="000F0F85" w:rsidRDefault="000F0F85" w:rsidP="000F0F85">
      <w:pPr>
        <w:pStyle w:val="FirstParagraph"/>
        <w:rPr>
          <w:lang w:val="fr-FR"/>
        </w:rPr>
      </w:pPr>
      <w:r w:rsidRPr="000F0F85">
        <w:rPr>
          <w:lang w:val="fr-FR"/>
        </w:rPr>
        <w:t>En parallèle, un MLP supervisé est entraîné pour prédire directement la survie à 5 ans à partir des données transcriptomiques. Cette approche sert de point de comparaison méthodologique.</w:t>
      </w:r>
    </w:p>
    <w:p w14:paraId="5DCB3DF5" w14:textId="77777777" w:rsidR="000F0F85" w:rsidRPr="000F0F85" w:rsidRDefault="000F0F85" w:rsidP="000F0F85">
      <w:pPr>
        <w:pStyle w:val="Corpsdetexte"/>
        <w:rPr>
          <w:lang w:val="fr-FR"/>
        </w:rPr>
      </w:pPr>
      <w:r w:rsidRPr="000F0F85">
        <w:rPr>
          <w:lang w:val="fr-FR"/>
        </w:rPr>
        <w:t>Alors que le MLP optimise explicitement la performance prédictive, l’autoencodeur se distingue par sa capacité à fournir une représentation interprétable et réutilisable pour des analyses de similarité, indépendamment du label clinique.</w:t>
      </w:r>
    </w:p>
    <w:p w14:paraId="0ED09B1D" w14:textId="77777777" w:rsidR="000F0F85" w:rsidRDefault="000F0F85" w:rsidP="000F0F85">
      <w:pPr>
        <w:pStyle w:val="Titre2"/>
      </w:pPr>
      <w:bookmarkStart w:id="15" w:name="discussion"/>
      <w:bookmarkEnd w:id="14"/>
      <w:r>
        <w:t>5. Discussion</w:t>
      </w:r>
    </w:p>
    <w:p w14:paraId="73DB5DEE" w14:textId="77777777" w:rsidR="000F0F85" w:rsidRDefault="000F0F85" w:rsidP="000F0F85">
      <w:pPr>
        <w:pStyle w:val="Titre3"/>
      </w:pPr>
      <w:bookmarkStart w:id="16" w:name="apports-de-lautoencodeur"/>
      <w:r>
        <w:t>5.1 Apports de l’autoencodeur</w:t>
      </w:r>
    </w:p>
    <w:p w14:paraId="41AF6EB8" w14:textId="77777777" w:rsidR="000F0F85" w:rsidRPr="000F0F85" w:rsidRDefault="000F0F85" w:rsidP="000F0F85">
      <w:pPr>
        <w:pStyle w:val="FirstParagraph"/>
        <w:rPr>
          <w:lang w:val="fr-FR"/>
        </w:rPr>
      </w:pPr>
      <w:r w:rsidRPr="000F0F85">
        <w:rPr>
          <w:lang w:val="fr-FR"/>
        </w:rPr>
        <w:t>L’autoencodeur constitue un outil puissant pour explorer la structure latente des données TCGA-UCEC. Il permet de dépasser les limites des méthodes linéaires et de construire un espace dans lequel la notion de voisinage est biologiquement plus cohérente.</w:t>
      </w:r>
    </w:p>
    <w:p w14:paraId="02375B0B" w14:textId="77777777" w:rsidR="000F0F85" w:rsidRDefault="000F0F85" w:rsidP="000F0F85">
      <w:pPr>
        <w:pStyle w:val="Titre3"/>
      </w:pPr>
      <w:bookmarkStart w:id="17" w:name="limites"/>
      <w:bookmarkEnd w:id="16"/>
      <w:r>
        <w:t>5.2 Limites</w:t>
      </w:r>
    </w:p>
    <w:p w14:paraId="20AC7271" w14:textId="77777777" w:rsidR="000F0F85" w:rsidRPr="000F0F85" w:rsidRDefault="000F0F85" w:rsidP="000F0F85">
      <w:pPr>
        <w:pStyle w:val="FirstParagraph"/>
        <w:rPr>
          <w:lang w:val="fr-FR"/>
        </w:rPr>
      </w:pPr>
      <w:r w:rsidRPr="000F0F85">
        <w:rPr>
          <w:lang w:val="fr-FR"/>
        </w:rPr>
        <w:t>Plusieurs limites doivent être soulignées : - taille modérée de la cohorte ; - déséquilibre des classes de survie ; - absence de contrainte explicite liant l’espace latent aux variables cliniques.</w:t>
      </w:r>
    </w:p>
    <w:p w14:paraId="12AF0A6F" w14:textId="77777777" w:rsidR="000F0F85" w:rsidRDefault="000F0F85" w:rsidP="000F0F85">
      <w:pPr>
        <w:pStyle w:val="Titre3"/>
      </w:pPr>
      <w:bookmarkStart w:id="18" w:name="perspectives"/>
      <w:bookmarkEnd w:id="17"/>
      <w:r>
        <w:t>5.3 Perspectives</w:t>
      </w:r>
    </w:p>
    <w:p w14:paraId="60300356" w14:textId="77777777" w:rsidR="000F0F85" w:rsidRPr="000F0F85" w:rsidRDefault="000F0F85" w:rsidP="000F0F85">
      <w:pPr>
        <w:pStyle w:val="FirstParagraph"/>
        <w:rPr>
          <w:lang w:val="fr-FR"/>
        </w:rPr>
      </w:pPr>
      <w:r w:rsidRPr="000F0F85">
        <w:rPr>
          <w:lang w:val="fr-FR"/>
        </w:rPr>
        <w:t>Des extensions naturelles incluent l’utilisation de modèles variationnels (VAE), l’intégration de données cliniques dans l’apprentissage latent, ou encore l’analyse des gènes les plus contributifs à la reconstruction afin de renforcer l’interprétation biologique.</w:t>
      </w:r>
    </w:p>
    <w:p w14:paraId="7EBF28FD" w14:textId="77777777" w:rsidR="000F0F85" w:rsidRDefault="000F0F85" w:rsidP="000F0F85">
      <w:pPr>
        <w:pStyle w:val="Titre2"/>
      </w:pPr>
      <w:bookmarkStart w:id="19" w:name="conclusion"/>
      <w:bookmarkEnd w:id="15"/>
      <w:bookmarkEnd w:id="18"/>
      <w:r>
        <w:t>6. Conclusion</w:t>
      </w:r>
    </w:p>
    <w:p w14:paraId="069479D5" w14:textId="77777777" w:rsidR="000F0F85" w:rsidRPr="000F0F85" w:rsidRDefault="000F0F85" w:rsidP="000F0F85">
      <w:pPr>
        <w:pStyle w:val="FirstParagraph"/>
        <w:rPr>
          <w:lang w:val="fr-FR"/>
        </w:rPr>
      </w:pPr>
      <w:r w:rsidRPr="000F0F85">
        <w:rPr>
          <w:lang w:val="fr-FR"/>
        </w:rPr>
        <w:t>Ce projet démontre l’intérêt des approches non supervisées, et en particulier des autoencodeurs, pour l’analyse des données transcriptomiques du carcinome de l’endomètre. En fournissant un espace latent biologiquement pertinent, l’autoencodeur ouvre la voie à une prédiction indirecte de l’évolution clinique basée sur la similarité entre patientes, complémentaire des approches supervisées classiques.</w:t>
      </w:r>
    </w:p>
    <w:bookmarkEnd w:id="19"/>
    <w:p w14:paraId="11A145F4" w14:textId="31A7A01A" w:rsidR="000F0F85" w:rsidRPr="00B11A7E" w:rsidRDefault="000F0F85" w:rsidP="000F0F85">
      <w:pPr>
        <w:pStyle w:val="Titre2"/>
        <w:rPr>
          <w:lang w:val="en-US"/>
        </w:rPr>
      </w:pPr>
      <w:r w:rsidRPr="00B11A7E">
        <w:rPr>
          <w:lang w:val="en-US"/>
        </w:rPr>
        <w:lastRenderedPageBreak/>
        <w:t>Bibliographie</w:t>
      </w:r>
    </w:p>
    <w:p w14:paraId="27A58CD8" w14:textId="77777777" w:rsidR="000F0F85" w:rsidRDefault="000F0F85" w:rsidP="000F0F85">
      <w:pPr>
        <w:rPr>
          <w:lang w:val="en-US"/>
        </w:rPr>
      </w:pPr>
    </w:p>
    <w:p w14:paraId="2F1291EC" w14:textId="77777777" w:rsidR="00B11A7E" w:rsidRPr="00B11A7E" w:rsidRDefault="00B11A7E" w:rsidP="00B11A7E">
      <w:pPr>
        <w:rPr>
          <w:lang w:val="en-US"/>
        </w:rPr>
      </w:pPr>
      <w:r w:rsidRPr="00B11A7E">
        <w:rPr>
          <w:lang w:val="en-US"/>
        </w:rPr>
        <w:t xml:space="preserve">[1] Cancer Genome Atlas Research Network, Kandoth, C., Schultz, N., et al. (2013). </w:t>
      </w:r>
    </w:p>
    <w:p w14:paraId="7C9736E6" w14:textId="181A5B5E" w:rsidR="00B11A7E" w:rsidRPr="00B11A7E" w:rsidRDefault="00B11A7E" w:rsidP="00B11A7E">
      <w:pPr>
        <w:rPr>
          <w:lang w:val="en-US"/>
        </w:rPr>
      </w:pPr>
      <w:r w:rsidRPr="00B11A7E">
        <w:rPr>
          <w:lang w:val="en-US"/>
        </w:rPr>
        <w:t xml:space="preserve">Integrated genomic characterization of endometrial carcinoma. Nature, 497(7447), 67–73. </w:t>
      </w:r>
      <w:r>
        <w:rPr>
          <w:lang w:val="en-US"/>
        </w:rPr>
        <w:t xml:space="preserve"> </w:t>
      </w:r>
      <w:r w:rsidRPr="00B11A7E">
        <w:rPr>
          <w:lang w:val="en-US"/>
        </w:rPr>
        <w:t>https://doi.org/10.1038/nature12113</w:t>
      </w:r>
    </w:p>
    <w:p w14:paraId="4E09CE30" w14:textId="77777777" w:rsidR="00B11A7E" w:rsidRDefault="00B11A7E" w:rsidP="000F0F85">
      <w:pPr>
        <w:rPr>
          <w:lang w:val="en-US"/>
        </w:rPr>
      </w:pPr>
    </w:p>
    <w:p w14:paraId="3ED9F2BF" w14:textId="57AC9ABD" w:rsidR="00B11A7E" w:rsidRPr="00B11A7E" w:rsidRDefault="00B11A7E" w:rsidP="000F0F85">
      <w:pPr>
        <w:rPr>
          <w:lang w:val="en-US"/>
        </w:rPr>
      </w:pPr>
      <w:r>
        <w:rPr>
          <w:lang w:val="en-US"/>
        </w:rPr>
        <w:t>----------------</w:t>
      </w:r>
    </w:p>
    <w:p w14:paraId="15190B78" w14:textId="77777777" w:rsidR="000F0F85" w:rsidRPr="000F0F85" w:rsidRDefault="000F0F85" w:rsidP="000F0F85">
      <w:pPr>
        <w:rPr>
          <w:lang w:val="en-US"/>
        </w:rPr>
      </w:pPr>
      <w:r w:rsidRPr="000F0F85">
        <w:rPr>
          <w:lang w:val="en-US"/>
        </w:rPr>
        <w:t>Way, G. P., &amp; Greene, C. S. (2018)</w:t>
      </w:r>
    </w:p>
    <w:p w14:paraId="7CD9BBA1" w14:textId="77777777" w:rsidR="000F0F85" w:rsidRPr="000F0F85" w:rsidRDefault="000F0F85" w:rsidP="000F0F85">
      <w:pPr>
        <w:rPr>
          <w:lang w:val="en-US"/>
        </w:rPr>
      </w:pPr>
      <w:r w:rsidRPr="000F0F85">
        <w:rPr>
          <w:lang w:val="en-US"/>
        </w:rPr>
        <w:t>- Extracting a biologically relevant latent space from cancer transcriptomes with variational autoencoders</w:t>
      </w:r>
    </w:p>
    <w:p w14:paraId="480002CE" w14:textId="77777777" w:rsidR="000F0F85" w:rsidRPr="000F0F85" w:rsidRDefault="000F0F85" w:rsidP="000F0F85">
      <w:r w:rsidRPr="000F0F85">
        <w:t>- DOI: 10.1142/9789813235533_0008</w:t>
      </w:r>
    </w:p>
    <w:p w14:paraId="4378614B" w14:textId="77777777" w:rsidR="000F0F85" w:rsidRPr="000F0F85" w:rsidRDefault="000F0F85" w:rsidP="000F0F85"/>
    <w:p w14:paraId="7C394685" w14:textId="77777777" w:rsidR="000F0F85" w:rsidRPr="000F0F85" w:rsidRDefault="000F0F85" w:rsidP="000F0F85">
      <w:pPr>
        <w:rPr>
          <w:lang w:val="en-US"/>
        </w:rPr>
      </w:pPr>
      <w:r w:rsidRPr="000F0F85">
        <w:t xml:space="preserve">Dincer, A. B., et al. </w:t>
      </w:r>
      <w:r w:rsidRPr="000F0F85">
        <w:rPr>
          <w:lang w:val="en-US"/>
        </w:rPr>
        <w:t>(2018)</w:t>
      </w:r>
    </w:p>
    <w:p w14:paraId="3C535913" w14:textId="77777777" w:rsidR="000F0F85" w:rsidRPr="000F0F85" w:rsidRDefault="000F0F85" w:rsidP="000F0F85">
      <w:pPr>
        <w:rPr>
          <w:lang w:val="en-US"/>
        </w:rPr>
      </w:pPr>
      <w:r w:rsidRPr="000F0F85">
        <w:rPr>
          <w:lang w:val="en-US"/>
        </w:rPr>
        <w:t>- DeepProfile: Deep learning of cancer molecular profiles for precision medicine</w:t>
      </w:r>
    </w:p>
    <w:p w14:paraId="648CF203" w14:textId="77777777" w:rsidR="000F0F85" w:rsidRPr="000F0F85" w:rsidRDefault="000F0F85" w:rsidP="000F0F85">
      <w:r w:rsidRPr="000F0F85">
        <w:t>- DOI: 10.1101/278739</w:t>
      </w:r>
    </w:p>
    <w:p w14:paraId="0E2D3B34" w14:textId="77777777" w:rsidR="000F0F85" w:rsidRPr="000F0F85" w:rsidRDefault="000F0F85" w:rsidP="000F0F85"/>
    <w:p w14:paraId="7844F2C2" w14:textId="77777777" w:rsidR="000F0F85" w:rsidRPr="000F0F85" w:rsidRDefault="000F0F85" w:rsidP="000F0F85">
      <w:pPr>
        <w:rPr>
          <w:lang w:val="en-US"/>
        </w:rPr>
      </w:pPr>
      <w:r w:rsidRPr="000F0F85">
        <w:t xml:space="preserve">Chen, L., et al. </w:t>
      </w:r>
      <w:r w:rsidRPr="000F0F85">
        <w:rPr>
          <w:lang w:val="en-US"/>
        </w:rPr>
        <w:t>(2020)</w:t>
      </w:r>
    </w:p>
    <w:p w14:paraId="0821F783" w14:textId="77777777" w:rsidR="000F0F85" w:rsidRPr="000F0F85" w:rsidRDefault="000F0F85" w:rsidP="000F0F85">
      <w:pPr>
        <w:rPr>
          <w:lang w:val="en-US"/>
        </w:rPr>
      </w:pPr>
      <w:r w:rsidRPr="000F0F85">
        <w:rPr>
          <w:lang w:val="en-US"/>
        </w:rPr>
        <w:t>- Deep learning for denoising single-cell RNA-seq data</w:t>
      </w:r>
    </w:p>
    <w:p w14:paraId="1A2119F5" w14:textId="77777777" w:rsidR="000F0F85" w:rsidRPr="000F0F85" w:rsidRDefault="000F0F85" w:rsidP="000F0F85">
      <w:r w:rsidRPr="000F0F85">
        <w:t>- DOI: 10.1038/s41467-020-17150-3</w:t>
      </w:r>
    </w:p>
    <w:p w14:paraId="02ED9CC8" w14:textId="77777777" w:rsidR="000F0F85" w:rsidRPr="000F0F85" w:rsidRDefault="000F0F85" w:rsidP="000F0F85"/>
    <w:p w14:paraId="70A450C9" w14:textId="77777777" w:rsidR="000F0F85" w:rsidRPr="000F0F85" w:rsidRDefault="000F0F85" w:rsidP="000F0F85">
      <w:pPr>
        <w:rPr>
          <w:lang w:val="en-US"/>
        </w:rPr>
      </w:pPr>
      <w:r w:rsidRPr="000F0F85">
        <w:t xml:space="preserve">Rampášek, L., et al. </w:t>
      </w:r>
      <w:r w:rsidRPr="000F0F85">
        <w:rPr>
          <w:lang w:val="en-US"/>
        </w:rPr>
        <w:t>(2019)</w:t>
      </w:r>
    </w:p>
    <w:p w14:paraId="6ABC2EB3" w14:textId="77777777" w:rsidR="000F0F85" w:rsidRPr="000F0F85" w:rsidRDefault="000F0F85" w:rsidP="000F0F85">
      <w:pPr>
        <w:rPr>
          <w:lang w:val="en-US"/>
        </w:rPr>
      </w:pPr>
      <w:r w:rsidRPr="000F0F85">
        <w:rPr>
          <w:lang w:val="en-US"/>
        </w:rPr>
        <w:t>- Dr.VAE: Improving drug response prediction via modeling of drug perturbation effects</w:t>
      </w:r>
    </w:p>
    <w:p w14:paraId="5058675D" w14:textId="77777777" w:rsidR="000F0F85" w:rsidRPr="000F0F85" w:rsidRDefault="000F0F85" w:rsidP="000F0F85">
      <w:r w:rsidRPr="000F0F85">
        <w:t>- DOI: 10.1093/bioinformatics/btz158</w:t>
      </w:r>
    </w:p>
    <w:p w14:paraId="0AC23F81" w14:textId="77777777" w:rsidR="000F0F85" w:rsidRDefault="000F0F85" w:rsidP="000F0F85"/>
    <w:p w14:paraId="425D88F2" w14:textId="322B059B" w:rsidR="00B11A7E" w:rsidRDefault="00B11A7E" w:rsidP="000F0F85">
      <w:r>
        <w:t xml:space="preserve">Comparaison de notre modèle avec des </w:t>
      </w:r>
      <w:r>
        <w:t xml:space="preserve">modèle </w:t>
      </w:r>
      <w:r>
        <w:t xml:space="preserve"> similaires (cf. références biblio)</w:t>
      </w:r>
    </w:p>
    <w:p w14:paraId="712832A4" w14:textId="77777777" w:rsidR="00B11A7E" w:rsidRPr="00B11A7E" w:rsidRDefault="00B11A7E" w:rsidP="00B11A7E">
      <w:r w:rsidRPr="00B11A7E">
        <w:t>| Étude | Année | Type | Gènes (input) | Bottleneck | Paramètres | Application |</w:t>
      </w:r>
    </w:p>
    <w:p w14:paraId="2E2BAC53" w14:textId="77777777" w:rsidR="00B11A7E" w:rsidRPr="00B11A7E" w:rsidRDefault="00B11A7E" w:rsidP="00B11A7E">
      <w:r w:rsidRPr="00B11A7E">
        <w:t>|-------|-------|------|---------------|------------|------------|-------------|</w:t>
      </w:r>
    </w:p>
    <w:p w14:paraId="5C7EB19C" w14:textId="77777777" w:rsidR="00B11A7E" w:rsidRPr="00B11A7E" w:rsidRDefault="00B11A7E" w:rsidP="00B11A7E">
      <w:r w:rsidRPr="00B11A7E">
        <w:t>| Way &amp; Greene | 2018 | VAE | 5,000 | 100 | ~20M | Pan-cancer TCGA |</w:t>
      </w:r>
    </w:p>
    <w:p w14:paraId="03709620" w14:textId="77777777" w:rsidR="00B11A7E" w:rsidRPr="00B11A7E" w:rsidRDefault="00B11A7E" w:rsidP="00B11A7E">
      <w:r w:rsidRPr="00B11A7E">
        <w:t>| Dincer et al. | 2018 | DAE | 10,000 | 512 | ~50M | Drug response |</w:t>
      </w:r>
    </w:p>
    <w:p w14:paraId="113C050C" w14:textId="77777777" w:rsidR="00B11A7E" w:rsidRPr="00B11A7E" w:rsidRDefault="00B11A7E" w:rsidP="00B11A7E">
      <w:r w:rsidRPr="00B11A7E">
        <w:t>| Chen et al. | 2020 | VAE | 20,000 | 128 | ~80M | Single-cell RNA-seq |</w:t>
      </w:r>
    </w:p>
    <w:p w14:paraId="469A5269" w14:textId="77777777" w:rsidR="00B11A7E" w:rsidRPr="00B11A7E" w:rsidRDefault="00B11A7E" w:rsidP="00B11A7E">
      <w:r w:rsidRPr="00B11A7E">
        <w:t>| Rampášek et al. | 2019 | AE | 8,000 | 256 | ~35M | Gene expression |</w:t>
      </w:r>
    </w:p>
    <w:p w14:paraId="295850B3" w14:textId="77777777" w:rsidR="00B11A7E" w:rsidRPr="00B11A7E" w:rsidRDefault="00B11A7E" w:rsidP="00B11A7E">
      <w:r w:rsidRPr="00B11A7E">
        <w:t xml:space="preserve">| </w:t>
      </w:r>
      <w:r w:rsidRPr="00B11A7E">
        <w:rPr>
          <w:b/>
          <w:bCs/>
        </w:rPr>
        <w:t>**Notre modèle**</w:t>
      </w:r>
      <w:r w:rsidRPr="00B11A7E">
        <w:t xml:space="preserve"> | </w:t>
      </w:r>
      <w:r w:rsidRPr="00B11A7E">
        <w:rPr>
          <w:b/>
          <w:bCs/>
        </w:rPr>
        <w:t>**2025**</w:t>
      </w:r>
      <w:r w:rsidRPr="00B11A7E">
        <w:t xml:space="preserve"> | </w:t>
      </w:r>
      <w:r w:rsidRPr="00B11A7E">
        <w:rPr>
          <w:b/>
          <w:bCs/>
        </w:rPr>
        <w:t>**AE**</w:t>
      </w:r>
      <w:r w:rsidRPr="00B11A7E">
        <w:t xml:space="preserve"> | </w:t>
      </w:r>
      <w:r w:rsidRPr="00B11A7E">
        <w:rPr>
          <w:b/>
          <w:bCs/>
        </w:rPr>
        <w:t>**4,096**</w:t>
      </w:r>
      <w:r w:rsidRPr="00B11A7E">
        <w:t xml:space="preserve"> | </w:t>
      </w:r>
      <w:r w:rsidRPr="00B11A7E">
        <w:rPr>
          <w:b/>
          <w:bCs/>
        </w:rPr>
        <w:t>**32**</w:t>
      </w:r>
      <w:r w:rsidRPr="00B11A7E">
        <w:t xml:space="preserve"> | </w:t>
      </w:r>
      <w:r w:rsidRPr="00B11A7E">
        <w:rPr>
          <w:b/>
          <w:bCs/>
        </w:rPr>
        <w:t>**~22M**</w:t>
      </w:r>
      <w:r w:rsidRPr="00B11A7E">
        <w:t xml:space="preserve"> | </w:t>
      </w:r>
      <w:r w:rsidRPr="00B11A7E">
        <w:rPr>
          <w:b/>
          <w:bCs/>
        </w:rPr>
        <w:t>**TCGA-UCEC**</w:t>
      </w:r>
      <w:r w:rsidRPr="00B11A7E">
        <w:t xml:space="preserve"> |</w:t>
      </w:r>
    </w:p>
    <w:p w14:paraId="16D87411" w14:textId="77777777" w:rsidR="00B11A7E" w:rsidRPr="000F0F85" w:rsidRDefault="00B11A7E" w:rsidP="000F0F85"/>
    <w:p w14:paraId="35DD77DC" w14:textId="586CAE7C" w:rsidR="005C47EF" w:rsidRDefault="00D23566" w:rsidP="00B10018">
      <w:pPr>
        <w:pStyle w:val="Titre2"/>
      </w:pPr>
      <w:r>
        <w:t>Correction et graphiques à insérer</w:t>
      </w:r>
    </w:p>
    <w:p w14:paraId="0AE22B55" w14:textId="77777777" w:rsidR="00B11A7E" w:rsidRPr="00B11A7E" w:rsidRDefault="00B11A7E" w:rsidP="00B11A7E">
      <w:pPr>
        <w:rPr>
          <w:b/>
          <w:bCs/>
        </w:rPr>
      </w:pPr>
      <w:r w:rsidRPr="00B11A7E">
        <w:rPr>
          <w:b/>
          <w:bCs/>
        </w:rPr>
        <w:t>1. Introduction &amp; Contexte Clinique</w:t>
      </w:r>
    </w:p>
    <w:p w14:paraId="21A51A72" w14:textId="77777777" w:rsidR="00B11A7E" w:rsidRPr="00B11A7E" w:rsidRDefault="00B11A7E" w:rsidP="00B11A7E">
      <w:pPr>
        <w:numPr>
          <w:ilvl w:val="0"/>
          <w:numId w:val="8"/>
        </w:numPr>
      </w:pPr>
      <w:r w:rsidRPr="00B11A7E">
        <w:rPr>
          <w:b/>
          <w:bCs/>
        </w:rPr>
        <w:t>Correction/Ajout :</w:t>
      </w:r>
      <w:r w:rsidRPr="00B11A7E">
        <w:t xml:space="preserve"> Précisez que la cohorte TCGA-UCEC utilisée comprend </w:t>
      </w:r>
      <w:r w:rsidRPr="00B11A7E">
        <w:rPr>
          <w:b/>
          <w:bCs/>
        </w:rPr>
        <w:t>553 patientes</w:t>
      </w:r>
      <w:r w:rsidRPr="00B11A7E">
        <w:t xml:space="preserve"> pour le flux non-supervisé (Autoencodeur) et a été réduite à </w:t>
      </w:r>
      <w:r w:rsidRPr="00B11A7E">
        <w:rPr>
          <w:b/>
          <w:bCs/>
        </w:rPr>
        <w:t>82 patientes</w:t>
      </w:r>
      <w:r w:rsidRPr="00B11A7E">
        <w:t xml:space="preserve"> pour le flux supervisé (MLP) afin de garantir la "pureté du label" (survie à 5 ans sans censure).</w:t>
      </w:r>
    </w:p>
    <w:p w14:paraId="55F45497" w14:textId="77777777" w:rsidR="00B11A7E" w:rsidRPr="00B11A7E" w:rsidRDefault="00B11A7E" w:rsidP="00B11A7E">
      <w:pPr>
        <w:numPr>
          <w:ilvl w:val="0"/>
          <w:numId w:val="8"/>
        </w:numPr>
      </w:pPr>
      <w:r w:rsidRPr="00B11A7E">
        <w:rPr>
          <w:b/>
          <w:bCs/>
        </w:rPr>
        <w:t>Interprétation :</w:t>
      </w:r>
      <w:r w:rsidRPr="00B11A7E">
        <w:t xml:space="preserve"> L'enjeu est de dépasser la classification histologique standard (Type I vs Type II) en utilisant l'espace latent pour capturer l'hétérogénéité moléculaire.</w:t>
      </w:r>
    </w:p>
    <w:p w14:paraId="195E0225" w14:textId="77777777" w:rsidR="00B11A7E" w:rsidRPr="00B11A7E" w:rsidRDefault="00B11A7E" w:rsidP="00B11A7E">
      <w:pPr>
        <w:rPr>
          <w:b/>
          <w:bCs/>
        </w:rPr>
      </w:pPr>
      <w:r w:rsidRPr="00B11A7E">
        <w:rPr>
          <w:b/>
          <w:bCs/>
        </w:rPr>
        <w:t>2. Matériel et Méthodes (Détails techniques extraits)</w:t>
      </w:r>
    </w:p>
    <w:p w14:paraId="4684FE63" w14:textId="77777777" w:rsidR="00B11A7E" w:rsidRPr="00B11A7E" w:rsidRDefault="00B11A7E" w:rsidP="00B11A7E">
      <w:pPr>
        <w:numPr>
          <w:ilvl w:val="0"/>
          <w:numId w:val="9"/>
        </w:numPr>
      </w:pPr>
      <w:r w:rsidRPr="00B11A7E">
        <w:rPr>
          <w:b/>
          <w:bCs/>
        </w:rPr>
        <w:t>Normalisation :</w:t>
      </w:r>
      <w:r w:rsidRPr="00B11A7E">
        <w:t xml:space="preserve"> Log2 + Z-score (Pipeline 0B).</w:t>
      </w:r>
    </w:p>
    <w:p w14:paraId="771FF799" w14:textId="77777777" w:rsidR="00B11A7E" w:rsidRPr="00B11A7E" w:rsidRDefault="00B11A7E" w:rsidP="00B11A7E">
      <w:pPr>
        <w:numPr>
          <w:ilvl w:val="0"/>
          <w:numId w:val="9"/>
        </w:numPr>
      </w:pPr>
      <w:r w:rsidRPr="00B11A7E">
        <w:rPr>
          <w:b/>
          <w:bCs/>
        </w:rPr>
        <w:t>Architecture AE (Pipeline 0E) :</w:t>
      </w:r>
    </w:p>
    <w:p w14:paraId="206AAE68" w14:textId="77777777" w:rsidR="00B11A7E" w:rsidRPr="00B11A7E" w:rsidRDefault="00B11A7E" w:rsidP="00B11A7E">
      <w:pPr>
        <w:numPr>
          <w:ilvl w:val="1"/>
          <w:numId w:val="9"/>
        </w:numPr>
      </w:pPr>
      <w:r w:rsidRPr="00B11A7E">
        <w:lastRenderedPageBreak/>
        <w:t xml:space="preserve">Entrée : </w:t>
      </w:r>
      <w:r w:rsidRPr="00B11A7E">
        <w:rPr>
          <w:b/>
          <w:bCs/>
        </w:rPr>
        <w:t>4096 gènes</w:t>
      </w:r>
      <w:r w:rsidRPr="00B11A7E">
        <w:t xml:space="preserve"> (sélectionnés par variance).</w:t>
      </w:r>
    </w:p>
    <w:p w14:paraId="37B18F25" w14:textId="77777777" w:rsidR="00B11A7E" w:rsidRPr="00B11A7E" w:rsidRDefault="00B11A7E" w:rsidP="00B11A7E">
      <w:pPr>
        <w:numPr>
          <w:ilvl w:val="1"/>
          <w:numId w:val="9"/>
        </w:numPr>
      </w:pPr>
      <w:r w:rsidRPr="00B11A7E">
        <w:t xml:space="preserve">Bottleneck (Espace latent $Z$) : </w:t>
      </w:r>
      <w:r w:rsidRPr="00B11A7E">
        <w:rPr>
          <w:b/>
          <w:bCs/>
        </w:rPr>
        <w:t>32 dimensions</w:t>
      </w:r>
      <w:r w:rsidRPr="00B11A7E">
        <w:t xml:space="preserve"> (Compression 128x).</w:t>
      </w:r>
    </w:p>
    <w:p w14:paraId="31CD3D3C" w14:textId="77777777" w:rsidR="00B11A7E" w:rsidRPr="00B11A7E" w:rsidRDefault="00B11A7E" w:rsidP="00B11A7E">
      <w:pPr>
        <w:numPr>
          <w:ilvl w:val="1"/>
          <w:numId w:val="9"/>
        </w:numPr>
      </w:pPr>
      <w:r w:rsidRPr="00B11A7E">
        <w:t xml:space="preserve">Activation de sortie : </w:t>
      </w:r>
      <w:r w:rsidRPr="00B11A7E">
        <w:rPr>
          <w:b/>
          <w:bCs/>
        </w:rPr>
        <w:t>Linear</w:t>
      </w:r>
      <w:r w:rsidRPr="00B11A7E">
        <w:t xml:space="preserve"> (indispensable pour reconstruire des Z-scores négatifs).</w:t>
      </w:r>
    </w:p>
    <w:p w14:paraId="29B2E284" w14:textId="77777777" w:rsidR="00B11A7E" w:rsidRPr="00B11A7E" w:rsidRDefault="00B11A7E" w:rsidP="00B11A7E">
      <w:pPr>
        <w:numPr>
          <w:ilvl w:val="1"/>
          <w:numId w:val="9"/>
        </w:numPr>
      </w:pPr>
      <w:r w:rsidRPr="00B11A7E">
        <w:t>Régularisation : L2 + Dropout + BatchNorm.</w:t>
      </w:r>
    </w:p>
    <w:p w14:paraId="4EA8B2E0" w14:textId="77777777" w:rsidR="00B11A7E" w:rsidRPr="00B11A7E" w:rsidRDefault="00B11A7E" w:rsidP="00B11A7E">
      <w:pPr>
        <w:numPr>
          <w:ilvl w:val="0"/>
          <w:numId w:val="9"/>
        </w:numPr>
      </w:pPr>
      <w:r w:rsidRPr="00B11A7E">
        <w:rPr>
          <w:b/>
          <w:bCs/>
        </w:rPr>
        <w:t>Architecture MLP (Pipeline 0D/0C) :</w:t>
      </w:r>
      <w:r w:rsidRPr="00B11A7E">
        <w:t xml:space="preserve"> Entraîné sur 82 patientes avec 194 features (clinique + gènes sélectionnés par ANOVA).</w:t>
      </w:r>
    </w:p>
    <w:p w14:paraId="38E31BCF" w14:textId="77777777" w:rsidR="00B11A7E" w:rsidRPr="00B11A7E" w:rsidRDefault="00B11A7E" w:rsidP="00B11A7E">
      <w:pPr>
        <w:rPr>
          <w:b/>
          <w:bCs/>
        </w:rPr>
      </w:pPr>
      <w:r w:rsidRPr="00B11A7E">
        <w:rPr>
          <w:b/>
          <w:bCs/>
        </w:rPr>
        <w:t>3. Résultats : Analyse des "Outputs" réels</w:t>
      </w:r>
    </w:p>
    <w:p w14:paraId="7BAEA545" w14:textId="77777777" w:rsidR="00B11A7E" w:rsidRPr="00B11A7E" w:rsidRDefault="00B11A7E" w:rsidP="00B11A7E">
      <w:r w:rsidRPr="00B11A7E">
        <w:t>Voici les points à insérer dans votre section Résultats :</w:t>
      </w:r>
    </w:p>
    <w:p w14:paraId="7607366F" w14:textId="77777777" w:rsidR="00B11A7E" w:rsidRPr="00B11A7E" w:rsidRDefault="00B11A7E" w:rsidP="00B11A7E">
      <w:pPr>
        <w:numPr>
          <w:ilvl w:val="0"/>
          <w:numId w:val="10"/>
        </w:numPr>
      </w:pPr>
      <w:r w:rsidRPr="00B11A7E">
        <w:rPr>
          <w:b/>
          <w:bCs/>
        </w:rPr>
        <w:t>Exploration (EDA - Pipeline 0B) :</w:t>
      </w:r>
    </w:p>
    <w:p w14:paraId="0DC02F99" w14:textId="77777777" w:rsidR="00B11A7E" w:rsidRPr="00B11A7E" w:rsidRDefault="00B11A7E" w:rsidP="00B11A7E">
      <w:pPr>
        <w:numPr>
          <w:ilvl w:val="1"/>
          <w:numId w:val="10"/>
        </w:numPr>
      </w:pPr>
      <w:r w:rsidRPr="00B11A7E">
        <w:rPr>
          <w:i/>
          <w:iCs/>
        </w:rPr>
        <w:t>Graphique à insérer :</w:t>
      </w:r>
      <w:r w:rsidRPr="00B11A7E">
        <w:t xml:space="preserve"> umap_exploration.png.</w:t>
      </w:r>
    </w:p>
    <w:p w14:paraId="20EEAA05" w14:textId="77777777" w:rsidR="00B11A7E" w:rsidRPr="00B11A7E" w:rsidRDefault="00B11A7E" w:rsidP="00B11A7E">
      <w:pPr>
        <w:numPr>
          <w:ilvl w:val="1"/>
          <w:numId w:val="10"/>
        </w:numPr>
      </w:pPr>
      <w:r w:rsidRPr="00B11A7E">
        <w:rPr>
          <w:i/>
          <w:iCs/>
        </w:rPr>
        <w:t>Interprétation :</w:t>
      </w:r>
      <w:r w:rsidRPr="00B11A7E">
        <w:t xml:space="preserve"> "Le signal histologique (Endométrioïde vs Séreux) est clairement structuré en clusters sur l'UMAP, contrairement à la race ou au stade qui ne montrent pas de regroupement net."</w:t>
      </w:r>
    </w:p>
    <w:p w14:paraId="7EFD4672" w14:textId="77777777" w:rsidR="00B11A7E" w:rsidRPr="00B11A7E" w:rsidRDefault="00B11A7E" w:rsidP="00B11A7E">
      <w:pPr>
        <w:numPr>
          <w:ilvl w:val="0"/>
          <w:numId w:val="10"/>
        </w:numPr>
      </w:pPr>
      <w:r w:rsidRPr="00B11A7E">
        <w:rPr>
          <w:b/>
          <w:bCs/>
        </w:rPr>
        <w:t>Performance de l'Autoencodeur (Pipeline 0E) :</w:t>
      </w:r>
    </w:p>
    <w:p w14:paraId="5584924D" w14:textId="77777777" w:rsidR="00B11A7E" w:rsidRPr="00B11A7E" w:rsidRDefault="00B11A7E" w:rsidP="00B11A7E">
      <w:pPr>
        <w:numPr>
          <w:ilvl w:val="1"/>
          <w:numId w:val="10"/>
        </w:numPr>
        <w:rPr>
          <w:lang w:val="en-US"/>
        </w:rPr>
      </w:pPr>
      <w:r w:rsidRPr="00B11A7E">
        <w:rPr>
          <w:i/>
          <w:iCs/>
          <w:lang w:val="en-US"/>
        </w:rPr>
        <w:t>Chiffre exact :</w:t>
      </w:r>
      <w:r w:rsidRPr="00B11A7E">
        <w:rPr>
          <w:lang w:val="en-US"/>
        </w:rPr>
        <w:t xml:space="preserve"> </w:t>
      </w:r>
      <w:r w:rsidRPr="00B11A7E">
        <w:rPr>
          <w:b/>
          <w:bCs/>
          <w:lang w:val="en-US"/>
        </w:rPr>
        <w:t>Best val_loss (MSE) : 0.7501</w:t>
      </w:r>
      <w:r w:rsidRPr="00B11A7E">
        <w:rPr>
          <w:lang w:val="en-US"/>
        </w:rPr>
        <w:t>.</w:t>
      </w:r>
    </w:p>
    <w:p w14:paraId="59ED7CCC" w14:textId="77777777" w:rsidR="00B11A7E" w:rsidRPr="00B11A7E" w:rsidRDefault="00B11A7E" w:rsidP="00B11A7E">
      <w:pPr>
        <w:numPr>
          <w:ilvl w:val="1"/>
          <w:numId w:val="10"/>
        </w:numPr>
      </w:pPr>
      <w:r w:rsidRPr="00B11A7E">
        <w:rPr>
          <w:i/>
          <w:iCs/>
        </w:rPr>
        <w:t>Graphique à insérer :</w:t>
      </w:r>
      <w:r w:rsidRPr="00B11A7E">
        <w:t xml:space="preserve"> loss_curve_autoencoder.png.</w:t>
      </w:r>
    </w:p>
    <w:p w14:paraId="06D97C5F" w14:textId="77777777" w:rsidR="00B11A7E" w:rsidRPr="00B11A7E" w:rsidRDefault="00B11A7E" w:rsidP="00B11A7E">
      <w:pPr>
        <w:numPr>
          <w:ilvl w:val="1"/>
          <w:numId w:val="10"/>
        </w:numPr>
      </w:pPr>
      <w:r w:rsidRPr="00B11A7E">
        <w:rPr>
          <w:i/>
          <w:iCs/>
        </w:rPr>
        <w:t>Interprétation :</w:t>
      </w:r>
      <w:r w:rsidRPr="00B11A7E">
        <w:t xml:space="preserve"> "La stabilisation rapide de la loss montre que le modèle capture l'essentiel de la variance malgré la forte compression."</w:t>
      </w:r>
    </w:p>
    <w:p w14:paraId="60850F51" w14:textId="77777777" w:rsidR="00B11A7E" w:rsidRPr="00B11A7E" w:rsidRDefault="00B11A7E" w:rsidP="00B11A7E">
      <w:pPr>
        <w:numPr>
          <w:ilvl w:val="0"/>
          <w:numId w:val="10"/>
        </w:numPr>
      </w:pPr>
      <w:r w:rsidRPr="00B11A7E">
        <w:rPr>
          <w:b/>
          <w:bCs/>
        </w:rPr>
        <w:t>Test des 10 plus proches voisins (k-NN) :</w:t>
      </w:r>
    </w:p>
    <w:p w14:paraId="6BA98937" w14:textId="77777777" w:rsidR="00B11A7E" w:rsidRPr="00B11A7E" w:rsidRDefault="00B11A7E" w:rsidP="00B11A7E">
      <w:pPr>
        <w:numPr>
          <w:ilvl w:val="1"/>
          <w:numId w:val="10"/>
        </w:numPr>
      </w:pPr>
      <w:r w:rsidRPr="00B11A7E">
        <w:rPr>
          <w:i/>
          <w:iCs/>
        </w:rPr>
        <w:t>Métriques réelles :</w:t>
      </w:r>
      <w:r w:rsidRPr="00B11A7E">
        <w:t xml:space="preserve"> </w:t>
      </w:r>
      <w:r w:rsidRPr="00B11A7E">
        <w:rPr>
          <w:b/>
          <w:bCs/>
        </w:rPr>
        <w:t>AUC brut : 0.5518 vs AUC latent : 0.5365</w:t>
      </w:r>
      <w:r w:rsidRPr="00B11A7E">
        <w:t>.</w:t>
      </w:r>
    </w:p>
    <w:p w14:paraId="6201E74F" w14:textId="77777777" w:rsidR="00B11A7E" w:rsidRPr="00B11A7E" w:rsidRDefault="00B11A7E" w:rsidP="00B11A7E">
      <w:pPr>
        <w:numPr>
          <w:ilvl w:val="1"/>
          <w:numId w:val="10"/>
        </w:numPr>
      </w:pPr>
      <w:r w:rsidRPr="00B11A7E">
        <w:rPr>
          <w:i/>
          <w:iCs/>
        </w:rPr>
        <w:t>Interprétation :</w:t>
      </w:r>
      <w:r w:rsidRPr="00B11A7E">
        <w:t xml:space="preserve"> "La performance est préservée dans l'espace latent $Z=32$, validant que les 32 dimensions latentes contiennent autant d'information cliniquement pertinente que les 4096 gènes de départ."</w:t>
      </w:r>
    </w:p>
    <w:p w14:paraId="7E13A3ED" w14:textId="77777777" w:rsidR="00B11A7E" w:rsidRPr="00B11A7E" w:rsidRDefault="00B11A7E" w:rsidP="00B11A7E">
      <w:pPr>
        <w:rPr>
          <w:b/>
          <w:bCs/>
        </w:rPr>
      </w:pPr>
      <w:r w:rsidRPr="00B11A7E">
        <w:rPr>
          <w:b/>
          <w:bCs/>
        </w:rPr>
        <w:t>4. Interprétation Biologique &amp; Discussion</w:t>
      </w:r>
    </w:p>
    <w:p w14:paraId="5284C052" w14:textId="77777777" w:rsidR="00B11A7E" w:rsidRPr="00B11A7E" w:rsidRDefault="00B11A7E" w:rsidP="00B11A7E">
      <w:pPr>
        <w:numPr>
          <w:ilvl w:val="0"/>
          <w:numId w:val="11"/>
        </w:numPr>
      </w:pPr>
      <w:r w:rsidRPr="00B11A7E">
        <w:rPr>
          <w:b/>
          <w:bCs/>
        </w:rPr>
        <w:t>Feature Selection (Pipeline 0C) :</w:t>
      </w:r>
    </w:p>
    <w:p w14:paraId="49D2E221" w14:textId="77777777" w:rsidR="00B11A7E" w:rsidRPr="00B11A7E" w:rsidRDefault="00B11A7E" w:rsidP="00B11A7E">
      <w:pPr>
        <w:numPr>
          <w:ilvl w:val="1"/>
          <w:numId w:val="11"/>
        </w:numPr>
      </w:pPr>
      <w:r w:rsidRPr="00B11A7E">
        <w:rPr>
          <w:i/>
          <w:iCs/>
        </w:rPr>
        <w:t>Graphique :</w:t>
      </w:r>
      <w:r w:rsidRPr="00B11A7E">
        <w:t xml:space="preserve"> heatmap_signature_50genes.png.</w:t>
      </w:r>
    </w:p>
    <w:p w14:paraId="3A39EBBF" w14:textId="77777777" w:rsidR="00B11A7E" w:rsidRPr="00B11A7E" w:rsidRDefault="00B11A7E" w:rsidP="00B11A7E">
      <w:pPr>
        <w:numPr>
          <w:ilvl w:val="1"/>
          <w:numId w:val="11"/>
        </w:numPr>
      </w:pPr>
      <w:r w:rsidRPr="00B11A7E">
        <w:rPr>
          <w:i/>
          <w:iCs/>
        </w:rPr>
        <w:t>Note :</w:t>
      </w:r>
      <w:r w:rsidRPr="00B11A7E">
        <w:t xml:space="preserve"> Mentionnez l'importance des mutations </w:t>
      </w:r>
      <w:r w:rsidRPr="00B11A7E">
        <w:rPr>
          <w:b/>
          <w:bCs/>
        </w:rPr>
        <w:t>TP53</w:t>
      </w:r>
      <w:r w:rsidRPr="00B11A7E">
        <w:t xml:space="preserve"> pour les formes agressives (Séreuses) et </w:t>
      </w:r>
      <w:r w:rsidRPr="00B11A7E">
        <w:rPr>
          <w:b/>
          <w:bCs/>
        </w:rPr>
        <w:t>PTEN</w:t>
      </w:r>
      <w:r w:rsidRPr="00B11A7E">
        <w:t xml:space="preserve"> pour les formes endométrioïdes.</w:t>
      </w:r>
    </w:p>
    <w:p w14:paraId="5B15DD78" w14:textId="77777777" w:rsidR="00B11A7E" w:rsidRPr="00B11A7E" w:rsidRDefault="00B11A7E" w:rsidP="00B11A7E">
      <w:pPr>
        <w:numPr>
          <w:ilvl w:val="0"/>
          <w:numId w:val="11"/>
        </w:numPr>
      </w:pPr>
      <w:r w:rsidRPr="00B11A7E">
        <w:rPr>
          <w:b/>
          <w:bCs/>
        </w:rPr>
        <w:t>Limites à inclure :</w:t>
      </w:r>
      <w:r w:rsidRPr="00B11A7E">
        <w:t xml:space="preserve"> Le déséquilibre majeur de la survie (</w:t>
      </w:r>
      <w:r w:rsidRPr="00B11A7E">
        <w:rPr>
          <w:b/>
          <w:bCs/>
        </w:rPr>
        <w:t>453 vivantes vs 91 décédées</w:t>
      </w:r>
      <w:r w:rsidRPr="00B11A7E">
        <w:t>) qui rend l'entraînement supervisé complexe (nécessité de métriques comme le F1-score plutôt que l'accuracy).</w:t>
      </w:r>
    </w:p>
    <w:p w14:paraId="70DE31B0" w14:textId="1D650A0F" w:rsidR="00B11A7E" w:rsidRPr="00B11A7E" w:rsidRDefault="00B11A7E" w:rsidP="00B11A7E"/>
    <w:p w14:paraId="172518C3" w14:textId="77777777" w:rsidR="00B11A7E" w:rsidRPr="00B11A7E" w:rsidRDefault="00B11A7E" w:rsidP="00B11A7E">
      <w:pPr>
        <w:rPr>
          <w:b/>
          <w:bCs/>
        </w:rPr>
      </w:pPr>
      <w:r w:rsidRPr="00B11A7E">
        <w:rPr>
          <w:b/>
          <w:bCs/>
        </w:rPr>
        <w:t>Suggestions pour votre document Word :</w:t>
      </w:r>
    </w:p>
    <w:p w14:paraId="0533B301" w14:textId="77777777" w:rsidR="00B11A7E" w:rsidRPr="00B11A7E" w:rsidRDefault="00B11A7E" w:rsidP="00B11A7E">
      <w:r w:rsidRPr="00B11A7E">
        <w:t>Pour finaliser votre document, je vous suggère d'ajouter ces sections spécifiques :</w:t>
      </w:r>
    </w:p>
    <w:p w14:paraId="2B66EFC0" w14:textId="77777777" w:rsidR="00B11A7E" w:rsidRPr="00B11A7E" w:rsidRDefault="00B11A7E" w:rsidP="00B11A7E">
      <w:pPr>
        <w:numPr>
          <w:ilvl w:val="0"/>
          <w:numId w:val="12"/>
        </w:numPr>
      </w:pPr>
      <w:r w:rsidRPr="00B11A7E">
        <w:rPr>
          <w:b/>
          <w:bCs/>
        </w:rPr>
        <w:t>Tableau des Hyperparamètres :</w:t>
      </w:r>
      <w:r w:rsidRPr="00B11A7E">
        <w:t xml:space="preserve"> Listez le Learning Rate ($10^{-3}$), la taille du bottleneck (32), et le nombre d'époques (100).</w:t>
      </w:r>
    </w:p>
    <w:p w14:paraId="2708700B" w14:textId="77777777" w:rsidR="00B11A7E" w:rsidRPr="00B11A7E" w:rsidRDefault="00B11A7E" w:rsidP="00B11A7E">
      <w:pPr>
        <w:numPr>
          <w:ilvl w:val="0"/>
          <w:numId w:val="12"/>
        </w:numPr>
      </w:pPr>
      <w:r w:rsidRPr="00B11A7E">
        <w:rPr>
          <w:b/>
          <w:bCs/>
        </w:rPr>
        <w:t>Encadré "Originalité" :</w:t>
      </w:r>
      <w:r w:rsidRPr="00B11A7E">
        <w:t xml:space="preserve"> Expliquez que votre approche par k-NN dans l'espace latent permet une "prédiction par similarité", plus intuitive pour un clinicien ("Votre patiente ressemble à ces 10 autres qui ont survécu").</w:t>
      </w:r>
    </w:p>
    <w:p w14:paraId="594DA705" w14:textId="77777777" w:rsidR="00B11A7E" w:rsidRPr="00B11A7E" w:rsidRDefault="00B11A7E" w:rsidP="00B11A7E"/>
    <w:sectPr w:rsidR="00B11A7E" w:rsidRPr="00B11A7E" w:rsidSect="0047717A">
      <w:pgSz w:w="11906" w:h="16838" w:code="9"/>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162D1"/>
    <w:multiLevelType w:val="multilevel"/>
    <w:tmpl w:val="9124B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53DB6"/>
    <w:multiLevelType w:val="multilevel"/>
    <w:tmpl w:val="7A7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B95031"/>
    <w:multiLevelType w:val="multilevel"/>
    <w:tmpl w:val="6CDC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E4B35"/>
    <w:multiLevelType w:val="multilevel"/>
    <w:tmpl w:val="C528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F4E35"/>
    <w:multiLevelType w:val="hybridMultilevel"/>
    <w:tmpl w:val="0F0CBFC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37445E5E"/>
    <w:multiLevelType w:val="multilevel"/>
    <w:tmpl w:val="013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E0F05"/>
    <w:multiLevelType w:val="hybridMultilevel"/>
    <w:tmpl w:val="BD3C3492"/>
    <w:lvl w:ilvl="0" w:tplc="46FCA43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69D13B2"/>
    <w:multiLevelType w:val="hybridMultilevel"/>
    <w:tmpl w:val="7EFE5946"/>
    <w:lvl w:ilvl="0" w:tplc="8E8C1BA2">
      <w:start w:val="1"/>
      <w:numFmt w:val="decimal"/>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608651C3"/>
    <w:multiLevelType w:val="multilevel"/>
    <w:tmpl w:val="E668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A87CB8"/>
    <w:multiLevelType w:val="multilevel"/>
    <w:tmpl w:val="CB8A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03F22"/>
    <w:multiLevelType w:val="multilevel"/>
    <w:tmpl w:val="8A5A3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67DE3"/>
    <w:multiLevelType w:val="multilevel"/>
    <w:tmpl w:val="6000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550362">
    <w:abstractNumId w:val="11"/>
  </w:num>
  <w:num w:numId="2" w16cid:durableId="149518264">
    <w:abstractNumId w:val="9"/>
  </w:num>
  <w:num w:numId="3" w16cid:durableId="2074813027">
    <w:abstractNumId w:val="3"/>
  </w:num>
  <w:num w:numId="4" w16cid:durableId="86468635">
    <w:abstractNumId w:val="8"/>
  </w:num>
  <w:num w:numId="5" w16cid:durableId="722756755">
    <w:abstractNumId w:val="6"/>
  </w:num>
  <w:num w:numId="6" w16cid:durableId="42290773">
    <w:abstractNumId w:val="7"/>
  </w:num>
  <w:num w:numId="7" w16cid:durableId="100149891">
    <w:abstractNumId w:val="4"/>
  </w:num>
  <w:num w:numId="8" w16cid:durableId="1228878066">
    <w:abstractNumId w:val="5"/>
  </w:num>
  <w:num w:numId="9" w16cid:durableId="519011099">
    <w:abstractNumId w:val="10"/>
  </w:num>
  <w:num w:numId="10" w16cid:durableId="421338907">
    <w:abstractNumId w:val="2"/>
  </w:num>
  <w:num w:numId="11" w16cid:durableId="2034450626">
    <w:abstractNumId w:val="0"/>
  </w:num>
  <w:num w:numId="12" w16cid:durableId="1714042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17A"/>
    <w:rsid w:val="000620F6"/>
    <w:rsid w:val="000C0A5B"/>
    <w:rsid w:val="000F0F85"/>
    <w:rsid w:val="00116BB3"/>
    <w:rsid w:val="001171E8"/>
    <w:rsid w:val="001174EC"/>
    <w:rsid w:val="001734AF"/>
    <w:rsid w:val="00174317"/>
    <w:rsid w:val="0019520B"/>
    <w:rsid w:val="001D24D8"/>
    <w:rsid w:val="00213A9E"/>
    <w:rsid w:val="00214690"/>
    <w:rsid w:val="00270192"/>
    <w:rsid w:val="002749B9"/>
    <w:rsid w:val="0028264D"/>
    <w:rsid w:val="002C01E5"/>
    <w:rsid w:val="00323F34"/>
    <w:rsid w:val="003605A2"/>
    <w:rsid w:val="003719A8"/>
    <w:rsid w:val="00376A0E"/>
    <w:rsid w:val="003900A9"/>
    <w:rsid w:val="003E49F1"/>
    <w:rsid w:val="00431A44"/>
    <w:rsid w:val="0047717A"/>
    <w:rsid w:val="00545866"/>
    <w:rsid w:val="00546C5E"/>
    <w:rsid w:val="00556978"/>
    <w:rsid w:val="00583B74"/>
    <w:rsid w:val="00594784"/>
    <w:rsid w:val="005A5D0C"/>
    <w:rsid w:val="005B4A84"/>
    <w:rsid w:val="005C47EF"/>
    <w:rsid w:val="005F2900"/>
    <w:rsid w:val="0063122A"/>
    <w:rsid w:val="00632678"/>
    <w:rsid w:val="00716FF3"/>
    <w:rsid w:val="0072532F"/>
    <w:rsid w:val="007305C0"/>
    <w:rsid w:val="0075539A"/>
    <w:rsid w:val="00796AB2"/>
    <w:rsid w:val="007A59F7"/>
    <w:rsid w:val="007E6C84"/>
    <w:rsid w:val="0089030B"/>
    <w:rsid w:val="00921DCF"/>
    <w:rsid w:val="009321C5"/>
    <w:rsid w:val="00943EAC"/>
    <w:rsid w:val="00976A7F"/>
    <w:rsid w:val="009828FF"/>
    <w:rsid w:val="00996F63"/>
    <w:rsid w:val="009B3793"/>
    <w:rsid w:val="009C0BB7"/>
    <w:rsid w:val="009F7A48"/>
    <w:rsid w:val="00A52049"/>
    <w:rsid w:val="00A87C0D"/>
    <w:rsid w:val="00AC1A7B"/>
    <w:rsid w:val="00B10018"/>
    <w:rsid w:val="00B11A7E"/>
    <w:rsid w:val="00BA1764"/>
    <w:rsid w:val="00BD0997"/>
    <w:rsid w:val="00C02A5D"/>
    <w:rsid w:val="00C14B1B"/>
    <w:rsid w:val="00C52D72"/>
    <w:rsid w:val="00C92732"/>
    <w:rsid w:val="00C9705F"/>
    <w:rsid w:val="00CB65CF"/>
    <w:rsid w:val="00D23566"/>
    <w:rsid w:val="00D60FAB"/>
    <w:rsid w:val="00DE5AD7"/>
    <w:rsid w:val="00DF1DFE"/>
    <w:rsid w:val="00E7372B"/>
    <w:rsid w:val="00E74FFA"/>
    <w:rsid w:val="00EE4BAF"/>
    <w:rsid w:val="00F33B2C"/>
    <w:rsid w:val="00F84D9A"/>
    <w:rsid w:val="00F97868"/>
    <w:rsid w:val="00FD404B"/>
    <w:rsid w:val="00FE7BCC"/>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ECAC7"/>
  <w15:chartTrackingRefBased/>
  <w15:docId w15:val="{FFA929B6-0763-4832-867F-2B882E51B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77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77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7717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47717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7717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7717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717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717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717A"/>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717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7717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7717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47717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7717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7717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717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717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717A"/>
    <w:rPr>
      <w:rFonts w:eastAsiaTheme="majorEastAsia" w:cstheme="majorBidi"/>
      <w:color w:val="272727" w:themeColor="text1" w:themeTint="D8"/>
    </w:rPr>
  </w:style>
  <w:style w:type="paragraph" w:styleId="Titre">
    <w:name w:val="Title"/>
    <w:basedOn w:val="Normal"/>
    <w:next w:val="Normal"/>
    <w:link w:val="TitreCar"/>
    <w:uiPriority w:val="10"/>
    <w:qFormat/>
    <w:rsid w:val="0047717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717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717A"/>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717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717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47717A"/>
    <w:rPr>
      <w:i/>
      <w:iCs/>
      <w:color w:val="404040" w:themeColor="text1" w:themeTint="BF"/>
    </w:rPr>
  </w:style>
  <w:style w:type="paragraph" w:styleId="Paragraphedeliste">
    <w:name w:val="List Paragraph"/>
    <w:basedOn w:val="Normal"/>
    <w:uiPriority w:val="34"/>
    <w:qFormat/>
    <w:rsid w:val="0047717A"/>
    <w:pPr>
      <w:ind w:left="720"/>
      <w:contextualSpacing/>
    </w:pPr>
  </w:style>
  <w:style w:type="character" w:styleId="Accentuationintense">
    <w:name w:val="Intense Emphasis"/>
    <w:basedOn w:val="Policepardfaut"/>
    <w:uiPriority w:val="21"/>
    <w:qFormat/>
    <w:rsid w:val="0047717A"/>
    <w:rPr>
      <w:i/>
      <w:iCs/>
      <w:color w:val="0F4761" w:themeColor="accent1" w:themeShade="BF"/>
    </w:rPr>
  </w:style>
  <w:style w:type="paragraph" w:styleId="Citationintense">
    <w:name w:val="Intense Quote"/>
    <w:basedOn w:val="Normal"/>
    <w:next w:val="Normal"/>
    <w:link w:val="CitationintenseCar"/>
    <w:uiPriority w:val="30"/>
    <w:qFormat/>
    <w:rsid w:val="00477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7717A"/>
    <w:rPr>
      <w:i/>
      <w:iCs/>
      <w:color w:val="0F4761" w:themeColor="accent1" w:themeShade="BF"/>
    </w:rPr>
  </w:style>
  <w:style w:type="character" w:styleId="Rfrenceintense">
    <w:name w:val="Intense Reference"/>
    <w:basedOn w:val="Policepardfaut"/>
    <w:uiPriority w:val="32"/>
    <w:qFormat/>
    <w:rsid w:val="0047717A"/>
    <w:rPr>
      <w:b/>
      <w:bCs/>
      <w:smallCaps/>
      <w:color w:val="0F4761" w:themeColor="accent1" w:themeShade="BF"/>
      <w:spacing w:val="5"/>
    </w:rPr>
  </w:style>
  <w:style w:type="paragraph" w:styleId="NormalWeb">
    <w:name w:val="Normal (Web)"/>
    <w:basedOn w:val="Normal"/>
    <w:uiPriority w:val="99"/>
    <w:semiHidden/>
    <w:unhideWhenUsed/>
    <w:rsid w:val="000C0A5B"/>
    <w:rPr>
      <w:rFonts w:ascii="Times New Roman" w:hAnsi="Times New Roman" w:cs="Times New Roman"/>
    </w:rPr>
  </w:style>
  <w:style w:type="character" w:styleId="Lienhypertexte">
    <w:name w:val="Hyperlink"/>
    <w:basedOn w:val="Policepardfaut"/>
    <w:uiPriority w:val="99"/>
    <w:unhideWhenUsed/>
    <w:rsid w:val="0075539A"/>
    <w:rPr>
      <w:color w:val="467886" w:themeColor="hyperlink"/>
      <w:u w:val="single"/>
    </w:rPr>
  </w:style>
  <w:style w:type="character" w:styleId="Mentionnonrsolue">
    <w:name w:val="Unresolved Mention"/>
    <w:basedOn w:val="Policepardfaut"/>
    <w:uiPriority w:val="99"/>
    <w:semiHidden/>
    <w:unhideWhenUsed/>
    <w:rsid w:val="0075539A"/>
    <w:rPr>
      <w:color w:val="605E5C"/>
      <w:shd w:val="clear" w:color="auto" w:fill="E1DFDD"/>
    </w:rPr>
  </w:style>
  <w:style w:type="paragraph" w:styleId="Corpsdetexte">
    <w:name w:val="Body Text"/>
    <w:basedOn w:val="Normal"/>
    <w:link w:val="CorpsdetexteCar"/>
    <w:qFormat/>
    <w:rsid w:val="000F0F85"/>
    <w:pPr>
      <w:spacing w:before="180" w:after="180"/>
    </w:pPr>
    <w:rPr>
      <w:lang w:val="en-US"/>
      <w14:ligatures w14:val="none"/>
    </w:rPr>
  </w:style>
  <w:style w:type="character" w:customStyle="1" w:styleId="CorpsdetexteCar">
    <w:name w:val="Corps de texte Car"/>
    <w:basedOn w:val="Policepardfaut"/>
    <w:link w:val="Corpsdetexte"/>
    <w:rsid w:val="000F0F85"/>
    <w:rPr>
      <w:lang w:val="en-US"/>
      <w14:ligatures w14:val="none"/>
    </w:rPr>
  </w:style>
  <w:style w:type="paragraph" w:customStyle="1" w:styleId="FirstParagraph">
    <w:name w:val="First Paragraph"/>
    <w:basedOn w:val="Corpsdetexte"/>
    <w:next w:val="Corpsdetexte"/>
    <w:qFormat/>
    <w:rsid w:val="000F0F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1781</Words>
  <Characters>9798</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Brahim El Bouhali</dc:creator>
  <cp:keywords/>
  <dc:description/>
  <cp:lastModifiedBy>Brahim El Bouhali</cp:lastModifiedBy>
  <cp:revision>22</cp:revision>
  <cp:lastPrinted>2025-12-14T16:25:00Z</cp:lastPrinted>
  <dcterms:created xsi:type="dcterms:W3CDTF">2025-12-14T16:00:00Z</dcterms:created>
  <dcterms:modified xsi:type="dcterms:W3CDTF">2026-01-09T18:29:00Z</dcterms:modified>
</cp:coreProperties>
</file>