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Analyse transcriptomique single-cell du cortex préfrontal dans la schizophrénie</w:t>
      </w:r>
    </w:p>
    <w:p>
      <w:pPr>
        <w:jc w:val="center"/>
      </w:pPr>
      <w:r>
        <w:rPr>
          <w:b/>
        </w:rPr>
        <w:br/>
        <w:br/>
        <w:t>Projet de Master 2 AIDA</w:t>
        <w:br/>
      </w:r>
      <w:r>
        <w:t>Analyse et Ingénierie des Données et de l'Apprentissage</w:t>
        <w:br/>
        <w:br/>
      </w:r>
      <w:r>
        <w:t>Sorbonne Université</w:t>
        <w:br/>
        <w:br/>
        <w:br/>
      </w:r>
    </w:p>
    <w:p>
      <w:pPr>
        <w:jc w:val="center"/>
      </w:pPr>
      <w:r>
        <w:rPr>
          <w:b/>
        </w:rPr>
        <w:t>Laïla EL BOUHALI</w:t>
        <w:br/>
        <w:br/>
      </w:r>
      <w:r>
        <w:t>Externe en médecine (DFGSM3)</w:t>
        <w:br/>
      </w:r>
      <w:r>
        <w:t>Double-cursus Médecine-Sciences</w:t>
        <w:br/>
        <w:br/>
        <w:br/>
      </w:r>
    </w:p>
    <w:p>
      <w:pPr>
        <w:jc w:val="center"/>
      </w:pPr>
      <w:r>
        <w:t>Décembre 2024</w:t>
        <w:br/>
        <w:br/>
      </w:r>
    </w:p>
    <w:p>
      <w:r>
        <w:br w:type="page"/>
      </w:r>
    </w:p>
    <w:p>
      <w:pPr>
        <w:pStyle w:val="Heading1"/>
      </w:pPr>
      <w:r>
        <w:t>Résumé</w:t>
      </w:r>
    </w:p>
    <w:p>
      <w:r>
        <w:t>La schizophrénie affecte environ 1% de la population mondiale et demeure une pathologie psychiatrique sévère aux mécanismes moléculaires encore mal compris. Les technologies single-cell RNA-sequencing (scRNA-seq) permettent d'explorer l'hétérogénéité cellulaire du cortex préfrontal, région clé dans la symptomatologie de la maladie.</w:t>
        <w:br/>
        <w:br/>
        <w:t>Ce projet vise à identifier les altérations transcriptomiques associées à la schizophrénie en utilisant le dataset HBCC (Human Brain Collection Core) du consortium PsychAD. Le pipeline analytique développé comprend : (1) contrôle qualité et sélection de cohorte, (2) normalisation et clustering single-cell, (3) agrégation pseudobulk pour contourner la pseudo-réplication, et (4) analyse différentielle avec DESeq2.</w:t>
        <w:br/>
        <w:br/>
        <w:t>Nos résultats révèlent 815 gènes différentiellement exprimés (DEGs) répartis sur 18 types cellulaires. Les interneurones VIP GABAergiques présentent le nombre le plus élevé de DEGs (n=374), avec une down-regulation massive (98%), cohérente avec l'hypothèse d'un déficit inhibiteur dans la schizophrénie. Une composante vasculaire est également identifiée (pericytes : 79 DEGs).</w:t>
        <w:br/>
        <w:br/>
        <w:t>Ces observations préliminaires nécessitent une validation expérimentale mais constituent une base pour de futures investigations sur les mécanismes moléculaires de la schizophrénie.</w:t>
      </w:r>
    </w:p>
    <w:p>
      <w:r>
        <w:br w:type="page"/>
      </w:r>
    </w:p>
    <w:p>
      <w:pPr>
        <w:pStyle w:val="Heading1"/>
      </w:pPr>
      <w:r>
        <w:t>Table des matières</w:t>
      </w:r>
    </w:p>
    <w:p>
      <w:pPr>
        <w:pStyle w:val="ListBullet"/>
      </w:pPr>
      <w:r>
        <w:t>1. Introduction</w:t>
      </w:r>
    </w:p>
    <w:p>
      <w:pPr>
        <w:pStyle w:val="ListBullet"/>
      </w:pPr>
      <w:r>
        <w:t>2. Matériel et Méthodes</w:t>
      </w:r>
    </w:p>
    <w:p>
      <w:pPr>
        <w:pStyle w:val="ListBullet"/>
      </w:pPr>
      <w:r>
        <w:t xml:space="preserve">   2.1. Dataset et cohorte</w:t>
      </w:r>
    </w:p>
    <w:p>
      <w:pPr>
        <w:pStyle w:val="ListBullet"/>
      </w:pPr>
      <w:r>
        <w:t xml:space="preserve">   2.2. Contrôle qualité</w:t>
      </w:r>
    </w:p>
    <w:p>
      <w:pPr>
        <w:pStyle w:val="ListBullet"/>
      </w:pPr>
      <w:r>
        <w:t xml:space="preserve">   2.3. Pipeline single-cell</w:t>
      </w:r>
    </w:p>
    <w:p>
      <w:pPr>
        <w:pStyle w:val="ListBullet"/>
      </w:pPr>
      <w:r>
        <w:t xml:space="preserve">   2.4. Agrégation pseudobulk</w:t>
      </w:r>
    </w:p>
    <w:p>
      <w:pPr>
        <w:pStyle w:val="ListBullet"/>
      </w:pPr>
      <w:r>
        <w:t xml:space="preserve">   2.5. Analyse différentielle (DESeq2)</w:t>
      </w:r>
    </w:p>
    <w:p>
      <w:pPr>
        <w:pStyle w:val="ListBullet"/>
      </w:pPr>
      <w:r>
        <w:t>3. Résultats</w:t>
      </w:r>
    </w:p>
    <w:p>
      <w:pPr>
        <w:pStyle w:val="ListBullet"/>
      </w:pPr>
      <w:r>
        <w:t xml:space="preserve">   3.1. Composition cellulaire</w:t>
      </w:r>
    </w:p>
    <w:p>
      <w:pPr>
        <w:pStyle w:val="ListBullet"/>
      </w:pPr>
      <w:r>
        <w:t xml:space="preserve">   3.2. Gènes différentiellement exprimés</w:t>
      </w:r>
    </w:p>
    <w:p>
      <w:pPr>
        <w:pStyle w:val="ListBullet"/>
      </w:pPr>
      <w:r>
        <w:t xml:space="preserve">   3.3. Types cellulaires affectés</w:t>
      </w:r>
    </w:p>
    <w:p>
      <w:pPr>
        <w:pStyle w:val="ListBullet"/>
      </w:pPr>
      <w:r>
        <w:t>4. Discussion</w:t>
      </w:r>
    </w:p>
    <w:p>
      <w:pPr>
        <w:pStyle w:val="ListBullet"/>
      </w:pPr>
      <w:r>
        <w:t xml:space="preserve">   4.1. Interprétation biologique</w:t>
      </w:r>
    </w:p>
    <w:p>
      <w:pPr>
        <w:pStyle w:val="ListBullet"/>
      </w:pPr>
      <w:r>
        <w:t xml:space="preserve">   4.2. Limitations</w:t>
      </w:r>
    </w:p>
    <w:p>
      <w:pPr>
        <w:pStyle w:val="ListBullet"/>
      </w:pPr>
      <w:r>
        <w:t xml:space="preserve">   4.3. Perspectives</w:t>
      </w:r>
    </w:p>
    <w:p>
      <w:pPr>
        <w:pStyle w:val="ListBullet"/>
      </w:pPr>
      <w:r>
        <w:t>5. Conclusion</w:t>
      </w:r>
    </w:p>
    <w:p>
      <w:pPr>
        <w:pStyle w:val="ListBullet"/>
      </w:pPr>
      <w:r>
        <w:t>6. Références</w:t>
      </w:r>
    </w:p>
    <w:p>
      <w:r>
        <w:br w:type="page"/>
      </w:r>
    </w:p>
    <w:p>
      <w:pPr>
        <w:pStyle w:val="Heading1"/>
      </w:pPr>
      <w:r>
        <w:t>1. Introduction</w:t>
      </w:r>
    </w:p>
    <w:p>
      <w:r>
        <w:t>La schizophrénie (SCZ) est une pathologie psychiatrique sévère caractérisée par des symptômes positifs (hallucinations, délires), négatifs (anhédonie, retrait social) et cognitifs (altérations de la mémoire de travail, des fonctions exécutives). Malgré l'existence de traitements antipsychotiques, les mécanismes physiopathologiques sous-jacents demeurent incompletement élucidés.</w:t>
      </w:r>
    </w:p>
    <w:p>
      <w:r>
        <w:t>Le cortex préfrontal dorsolatéral (DLPFC) joue un rôle central dans les fonctions cognitives supérieures et présente des altérations structurelles et fonctionnelles chez les patients schizophrènes. Les études post-mortem ont historiquement reposé sur des analyses en bulk tissue, masquant l'hétérogénéité cellulaire intrinsèque au tissu cérébral.</w:t>
      </w:r>
    </w:p>
    <w:p>
      <w:r>
        <w:t>Les technologies de séquençage ARN single-nucleus (snRNA-seq) permettent désormais d'explorer cette hétérogénéité à résolution cellulaire. Le consortium PsychAD a récemment publié le plus large atlas transcriptomique single-cell du cortex préfrontal humain, incluant plus de 6 millions de noyaux issus de 1,494 donneurs (Lee et al., 2024).</w:t>
      </w:r>
    </w:p>
    <w:p>
      <w:r>
        <w:t>L'objectif de ce projet était d'exploiter ce dataset pour identifier les altérations transcriptomiques spécifiques à la schizophrénie, en mettant l'accent sur les types cellulaires les plus affectés et les voies biologiques impliquées.</w:t>
      </w:r>
    </w:p>
    <w:p>
      <w:r>
        <w:br w:type="page"/>
      </w:r>
    </w:p>
    <w:p>
      <w:pPr>
        <w:pStyle w:val="Heading1"/>
      </w:pPr>
      <w:r>
        <w:t>2. Matériel et Méthodes</w:t>
      </w:r>
    </w:p>
    <w:p>
      <w:pPr>
        <w:pStyle w:val="Heading2"/>
      </w:pPr>
      <w:r>
        <w:t>2.1. Dataset et cohorte</w:t>
      </w:r>
    </w:p>
    <w:p>
      <w:r>
        <w:t>Les données proviennent du Human Brain Collection Core (HBCC), sous-cohorte du consortium PsychAD (Lee et al., 2024). Le dataset initial contenait 414,792 noyaux issus du cortex préfrontal dorsolatéral de 300 donneurs, incluant des cas de schizophrénie, troubles bipolaires et contrôles neurotypiques.</w:t>
      </w:r>
    </w:p>
    <w:p>
      <w:r>
        <w:t>Afin de rendre l'analyse computationnellement réalisable tout en préservant la représentativité biologique, un sous-échantillonnage stratifié a été appliqué :</w:t>
        <w:br/>
      </w:r>
    </w:p>
    <w:p>
      <w:pPr>
        <w:pStyle w:val="ListBullet"/>
      </w:pPr>
      <w:r>
        <w:t>Maximum 1,500 cellules par donneur (évite la sur-représentation)</w:t>
      </w:r>
    </w:p>
    <w:p>
      <w:pPr>
        <w:pStyle w:val="ListBullet"/>
      </w:pPr>
      <w:r>
        <w:t>Minimum 5 cellules par type cellulaire (préserve les types rares)</w:t>
      </w:r>
    </w:p>
    <w:p>
      <w:pPr>
        <w:pStyle w:val="ListBullet"/>
      </w:pPr>
      <w:r>
        <w:t>Conservation de TOUS les gènes (34,176 gènes)</w:t>
      </w:r>
    </w:p>
    <w:p>
      <w:r>
        <w:br/>
        <w:t>Cette stratégie a permis de réduire le dataset à 414,792 cellules (~60% du total) tout en maintenant 25 types cellulaires distincts et l'ensemble de l'information génomique.</w:t>
      </w:r>
    </w:p>
    <w:p>
      <w:pPr>
        <w:pStyle w:val="Heading2"/>
      </w:pPr>
      <w:r>
        <w:t>2.2. Contrôle qualité et sélection de cohorte</w:t>
      </w:r>
    </w:p>
    <w:p>
      <w:r>
        <w:t>Le contrôle qualité a été réalisé en trois étapes :</w:t>
      </w:r>
    </w:p>
    <w:p>
      <w:pPr>
        <w:pStyle w:val="ListBullet"/>
      </w:pPr>
      <w:r>
        <w:t>Filtrage cellulaire : Exclusion des cellules avec n_genes &lt; 200, n_counts &lt; 500, ou pct_mito &gt; 20%</w:t>
      </w:r>
    </w:p>
    <w:p>
      <w:pPr>
        <w:pStyle w:val="ListBullet"/>
      </w:pPr>
      <w:r>
        <w:t>Simplification diagnostique : Regroupement des diagnostics composites en deux catégories (schizophrenia vs normal)</w:t>
      </w:r>
    </w:p>
    <w:p>
      <w:pPr>
        <w:pStyle w:val="ListBullet"/>
      </w:pPr>
      <w:r>
        <w:t>Sélection de cohorte : Rétention uniquement des donneurs SCZ (n=50) et CTRL (n=135)</w:t>
      </w:r>
    </w:p>
    <w:p>
      <w:r>
        <w:br/>
        <w:t>Le dataset post-QC contenait 280,455 cellules issues de 185 donneurs (50 SCZ, 135 CTRL), réparties sur 25 types cellulaires annotés.</w:t>
      </w:r>
    </w:p>
    <w:p>
      <w:pPr>
        <w:pStyle w:val="Heading2"/>
      </w:pPr>
      <w:r>
        <w:t>2.3. Pipeline d'analyse single-cell</w:t>
      </w:r>
    </w:p>
    <w:p>
      <w:r>
        <w:t>Le preprocessing a suivi le workflow standard Scanpy :</w:t>
      </w:r>
    </w:p>
    <w:p>
      <w:pPr>
        <w:pStyle w:val="ListBullet"/>
      </w:pPr>
      <w:r>
        <w:t>Normalisation : 10,000 counts par cellule</w:t>
      </w:r>
    </w:p>
    <w:p>
      <w:pPr>
        <w:pStyle w:val="ListBullet"/>
      </w:pPr>
      <w:r>
        <w:t>Transformation logarithmique : log1p(x)</w:t>
      </w:r>
    </w:p>
    <w:p>
      <w:pPr>
        <w:pStyle w:val="ListBullet"/>
      </w:pPr>
      <w:r>
        <w:t>Sélection de gènes hautement variables (HVG) : 2,000 gènes</w:t>
      </w:r>
    </w:p>
    <w:p>
      <w:pPr>
        <w:pStyle w:val="ListBullet"/>
      </w:pPr>
      <w:r>
        <w:t>Réduction de dimensionnalité : PCA (30 composantes) puis UMAP</w:t>
      </w:r>
    </w:p>
    <w:p>
      <w:pPr>
        <w:pStyle w:val="ListBullet"/>
      </w:pPr>
      <w:r>
        <w:t>Clustering : Algorithme Leiden (résolution 0.5) identifiant 23 clusters</w:t>
      </w:r>
    </w:p>
    <w:p>
      <w:pPr>
        <w:pStyle w:val="ListBullet"/>
      </w:pPr>
      <w:r>
        <w:t>Annotation cellulaire : Assignation manuelle basée sur les gènes marqueurs canoniques</w:t>
      </w:r>
    </w:p>
    <w:p>
      <w:r>
        <w:br/>
        <w:t>Note importante : Aucune correction de batch ni intégration n'a été réalisée en raison des effectifs limités par donneur et de l'absence de réplicats techniques.</w:t>
      </w:r>
    </w:p>
    <w:p>
      <w:pPr>
        <w:pStyle w:val="Heading2"/>
      </w:pPr>
      <w:r>
        <w:t>2.4. Agrégation pseudobulk</w:t>
      </w:r>
    </w:p>
    <w:p>
      <w:r>
        <w:t>L'analyse différentielle au niveau cellulaire viole l'hypothèse d'indépendance statistique (pseudo-réplication). L'approche pseudobulk consiste à agréger les comptages de toutes les cellules d'un même type cellulaire au sein d'un même donneur, traitant ainsi chaque donneur comme un réplicat biologique indépendant.</w:t>
      </w:r>
    </w:p>
    <w:p>
      <w:pPr>
        <w:pStyle w:val="Heading3"/>
      </w:pPr>
      <w:r>
        <w:t>Défi technique majeur : Limitation mémoire</w:t>
      </w:r>
    </w:p>
    <w:p>
      <w:r>
        <w:t>Le dataset HBCC (280,455 cellules × 34,176 gènes) dépasse les capacités mémoire standards pour l'agrégation pseudobulk directe (&gt;16 GB RAM requis).</w:t>
      </w:r>
    </w:p>
    <w:p>
      <w:r>
        <w:t>Solutions testées sans succès :</w:t>
      </w:r>
    </w:p>
    <w:p>
      <w:pPr>
        <w:pStyle w:val="ListBullet"/>
      </w:pPr>
      <w:r>
        <w:t>Chargement complet en RAM → MemoryError</w:t>
      </w:r>
    </w:p>
    <w:p>
      <w:pPr>
        <w:pStyle w:val="ListBullet"/>
      </w:pPr>
      <w:r>
        <w:t>Mode backed avec agrégation par chunks → Échec d'indexation</w:t>
      </w:r>
    </w:p>
    <w:p>
      <w:pPr>
        <w:pStyle w:val="ListBullet"/>
      </w:pPr>
      <w:r>
        <w:t>Utilisation de HDF5Array (R) → Dépendances système manquantes (Windows)</w:t>
      </w:r>
    </w:p>
    <w:p>
      <w:r>
        <w:br/>
        <w:t>Solution retenue : Agrégation cellule-par-cellule</w:t>
      </w:r>
    </w:p>
    <w:p>
      <w:pPr>
        <w:pStyle w:val="ListBullet"/>
      </w:pPr>
      <w:r>
        <w:t>Lecture séquentielle de adata.X[i, :] en mode backed</w:t>
      </w:r>
    </w:p>
    <w:p>
      <w:pPr>
        <w:pStyle w:val="ListBullet"/>
      </w:pPr>
      <w:r>
        <w:t>Accumulation dans des dictionnaires NumPy (dtype float64)</w:t>
      </w:r>
    </w:p>
    <w:p>
      <w:pPr>
        <w:pStyle w:val="ListBullet"/>
      </w:pPr>
      <w:r>
        <w:t>Temps d'exécution : ~45 minutes pour 280k cellules</w:t>
      </w:r>
    </w:p>
    <w:p>
      <w:pPr>
        <w:pStyle w:val="ListBullet"/>
      </w:pPr>
      <w:r>
        <w:t>Empreinte mémoire : &lt;4 GB (compatible laptop standard)</w:t>
      </w:r>
    </w:p>
    <w:p>
      <w:r>
        <w:br/>
        <w:t>Après agrégation, deux filtres statistiques ont été appliqués :</w:t>
      </w:r>
    </w:p>
    <w:p>
      <w:pPr>
        <w:pStyle w:val="ListBullet"/>
      </w:pPr>
      <w:r>
        <w:t>Filtre 1 : Minimum 20 cellules par échantillon pseudobulk</w:t>
      </w:r>
    </w:p>
    <w:p>
      <w:pPr>
        <w:pStyle w:val="ListBullet"/>
      </w:pPr>
      <w:r>
        <w:t>Filtre 2 : Minimum 3 donneurs par condition (SCZ/CTRL) pour chaque type cellulaire</w:t>
      </w:r>
    </w:p>
    <w:p>
      <w:r>
        <w:br/>
        <w:t>Résultat final : 2,234 échantillons pseudobulk répartis sur 18 types cellulaires validés pour l'analyse différentielle.</w:t>
      </w:r>
    </w:p>
    <w:p>
      <w:pPr>
        <w:pStyle w:val="Heading2"/>
      </w:pPr>
      <w:r>
        <w:t>2.5. Analyse différentielle avec DESeq2</w:t>
      </w:r>
    </w:p>
    <w:p>
      <w:r>
        <w:t>L'analyse différentielle a été réalisée dans R (v4.3.1) avec le package DESeq2 (v1.40.2), méthode de référence pour les données de comptage RNA-seq. DESeq2 utilise un modèle linéaire généralisé binomial négatif pour modéliser les comptages, avec estimation robuste de la dispersion et correction pour tests multiples (méthode Benjamini-Hochberg).</w:t>
      </w:r>
    </w:p>
    <w:p>
      <w:r>
        <w:t>Modèle statistique utilisé :</w:t>
      </w:r>
    </w:p>
    <w:p>
      <w:pPr>
        <w:pStyle w:val="IntenseQuote"/>
      </w:pPr>
      <w:r>
        <w:t>design = ~ disease</w:t>
        <w:br/>
        <w:t>contrast = schizophrenia vs normal</w:t>
      </w:r>
    </w:p>
    <w:p>
      <w:r>
        <w:t>Pour chaque type cellulaire, les étapes suivantes ont été exécutées :</w:t>
      </w:r>
    </w:p>
    <w:p>
      <w:pPr>
        <w:pStyle w:val="ListBullet"/>
      </w:pPr>
      <w:r>
        <w:t>Subset des comptages et métadonnées par type cellulaire</w:t>
      </w:r>
    </w:p>
    <w:p>
      <w:pPr>
        <w:pStyle w:val="ListBullet"/>
      </w:pPr>
      <w:r>
        <w:t>Vérification des réplicats (skip si &lt;3 donneurs/condition)</w:t>
      </w:r>
    </w:p>
    <w:p>
      <w:pPr>
        <w:pStyle w:val="ListBullet"/>
      </w:pPr>
      <w:r>
        <w:t>Création de l'objet DESeqDataSet</w:t>
      </w:r>
    </w:p>
    <w:p>
      <w:pPr>
        <w:pStyle w:val="ListBullet"/>
      </w:pPr>
      <w:r>
        <w:t>Filtrage des gènes faiblement exprimés (≥10 counts dans ≥3 échantillons)</w:t>
      </w:r>
    </w:p>
    <w:p>
      <w:pPr>
        <w:pStyle w:val="ListBullet"/>
      </w:pPr>
      <w:r>
        <w:t>Exécution de DESeq() avec estimation automatique de la dispersion</w:t>
      </w:r>
    </w:p>
    <w:p>
      <w:pPr>
        <w:pStyle w:val="ListBullet"/>
      </w:pPr>
      <w:r>
        <w:t>Extraction des résultats avec seuil FDR &lt; 0.05</w:t>
      </w:r>
    </w:p>
    <w:p>
      <w:r>
        <w:br w:type="page"/>
      </w:r>
    </w:p>
    <w:p>
      <w:pPr>
        <w:pStyle w:val="Heading1"/>
      </w:pPr>
      <w:r>
        <w:t>3. Résultats</w:t>
      </w:r>
    </w:p>
    <w:p>
      <w:pPr>
        <w:pStyle w:val="Heading2"/>
      </w:pPr>
      <w:r>
        <w:t>3.1. Composition cellulaire du cortex préfrontal</w:t>
      </w:r>
    </w:p>
    <w:p>
      <w:r>
        <w:t>L'analyse single-cell a identifié 25 types cellulaires distincts dans le cortex préfrontal, regroupés en 8 classes majeures :</w:t>
      </w:r>
    </w:p>
    <w:p>
      <w:pPr>
        <w:pStyle w:val="ListBullet"/>
      </w:pPr>
      <w:r>
        <w:t>Neurones glutamatergiques excitateurs (6 sous-types)</w:t>
      </w:r>
    </w:p>
    <w:p>
      <w:pPr>
        <w:pStyle w:val="ListBullet"/>
      </w:pPr>
      <w:r>
        <w:t>Interneurones GABAergiques inhibiteurs (5 sous-types)</w:t>
      </w:r>
    </w:p>
    <w:p>
      <w:pPr>
        <w:pStyle w:val="ListBullet"/>
      </w:pPr>
      <w:r>
        <w:t>Cellules gliales : Astrocytes, Oligodendrocytes, OPC, Microglie</w:t>
      </w:r>
    </w:p>
    <w:p>
      <w:pPr>
        <w:pStyle w:val="ListBullet"/>
      </w:pPr>
      <w:r>
        <w:t>Cellules vasculaires : Endothelial, Pericytes, Vascular leptomeningeal</w:t>
      </w:r>
    </w:p>
    <w:p>
      <w:pPr>
        <w:pStyle w:val="ListBullet"/>
      </w:pPr>
      <w:r>
        <w:t>Cellules immunitaires adaptatives (T, B, NK, Plasma cells)</w:t>
      </w:r>
    </w:p>
    <w:p>
      <w:r>
        <w:br/>
        <w:t>La distribution était conforme aux attentes biologiques, avec une prédominance des neurones glutamatergiques (~40%) et des oligodendrocytes (~25%).</w:t>
      </w:r>
    </w:p>
    <w:p>
      <w:pPr>
        <w:pStyle w:val="Heading2"/>
      </w:pPr>
      <w:r>
        <w:t>3.2. Gènes différentiellement exprimés (DEGs)</w:t>
      </w:r>
    </w:p>
    <w:p>
      <w:r>
        <w:t>L'analyse DESeq2 a identifié un total de 815 gènes différentiellement exprimés (FDR &lt; 0.05) répartis sur 18 types cellulaires. La majorité des DEGs présentent une down-regulation dans la schizophrénie (692 down vs 123 up, ratio 5.6:1).</w:t>
      </w:r>
    </w:p>
    <w:p>
      <w:r>
        <w:br/>
        <w:t>Tableau 1 : Résumé des DEGs par type cellulaire (top 10)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Type cellulaire</w:t>
            </w:r>
          </w:p>
        </w:tc>
        <w:tc>
          <w:tcPr>
            <w:tcW w:type="dxa" w:w="1728"/>
          </w:tcPr>
          <w:p>
            <w:r>
              <w:rPr>
                <w:b/>
              </w:rPr>
              <w:t>n CTRL</w:t>
            </w:r>
          </w:p>
        </w:tc>
        <w:tc>
          <w:tcPr>
            <w:tcW w:type="dxa" w:w="1728"/>
          </w:tcPr>
          <w:p>
            <w:r>
              <w:rPr>
                <w:b/>
              </w:rPr>
              <w:t>n SCZ</w:t>
            </w:r>
          </w:p>
        </w:tc>
        <w:tc>
          <w:tcPr>
            <w:tcW w:type="dxa" w:w="1728"/>
          </w:tcPr>
          <w:p>
            <w:r>
              <w:rPr>
                <w:b/>
              </w:rPr>
              <w:t>Total DEGs</w:t>
            </w:r>
          </w:p>
        </w:tc>
        <w:tc>
          <w:tcPr>
            <w:tcW w:type="dxa" w:w="1728"/>
          </w:tcPr>
          <w:p>
            <w:r>
              <w:rPr>
                <w:b/>
              </w:rPr>
              <w:t>Up / Down</w:t>
            </w:r>
          </w:p>
        </w:tc>
      </w:tr>
      <w:tr>
        <w:tc>
          <w:tcPr>
            <w:tcW w:type="dxa" w:w="1728"/>
          </w:tcPr>
          <w:p>
            <w:r>
              <w:t>VIP GABAergic interneuron</w:t>
            </w:r>
          </w:p>
        </w:tc>
        <w:tc>
          <w:tcPr>
            <w:tcW w:type="dxa" w:w="1728"/>
          </w:tcPr>
          <w:p>
            <w:r>
              <w:t>128</w:t>
            </w:r>
          </w:p>
        </w:tc>
        <w:tc>
          <w:tcPr>
            <w:tcW w:type="dxa" w:w="1728"/>
          </w:tcPr>
          <w:p>
            <w:r>
              <w:t>47</w:t>
            </w:r>
          </w:p>
        </w:tc>
        <w:tc>
          <w:tcPr>
            <w:tcW w:type="dxa" w:w="1728"/>
          </w:tcPr>
          <w:p>
            <w:r>
              <w:t>374</w:t>
            </w:r>
          </w:p>
        </w:tc>
        <w:tc>
          <w:tcPr>
            <w:tcW w:type="dxa" w:w="1728"/>
          </w:tcPr>
          <w:p>
            <w:r>
              <w:t>8 / 366</w:t>
            </w:r>
          </w:p>
        </w:tc>
      </w:tr>
      <w:tr>
        <w:tc>
          <w:tcPr>
            <w:tcW w:type="dxa" w:w="1728"/>
          </w:tcPr>
          <w:p>
            <w:r>
              <w:t>GABAergic neuron</w:t>
            </w:r>
          </w:p>
        </w:tc>
        <w:tc>
          <w:tcPr>
            <w:tcW w:type="dxa" w:w="1728"/>
          </w:tcPr>
          <w:p>
            <w:r>
              <w:t>89</w:t>
            </w:r>
          </w:p>
        </w:tc>
        <w:tc>
          <w:tcPr>
            <w:tcW w:type="dxa" w:w="1728"/>
          </w:tcPr>
          <w:p>
            <w:r>
              <w:t>29</w:t>
            </w:r>
          </w:p>
        </w:tc>
        <w:tc>
          <w:tcPr>
            <w:tcW w:type="dxa" w:w="1728"/>
          </w:tcPr>
          <w:p>
            <w:r>
              <w:t>110</w:t>
            </w:r>
          </w:p>
        </w:tc>
        <w:tc>
          <w:tcPr>
            <w:tcW w:type="dxa" w:w="1728"/>
          </w:tcPr>
          <w:p>
            <w:r>
              <w:t>7 / 103</w:t>
            </w:r>
          </w:p>
        </w:tc>
      </w:tr>
      <w:tr>
        <w:tc>
          <w:tcPr>
            <w:tcW w:type="dxa" w:w="1728"/>
          </w:tcPr>
          <w:p>
            <w:r>
              <w:t>L6b glutamatergic motor cortex</w:t>
            </w:r>
          </w:p>
        </w:tc>
        <w:tc>
          <w:tcPr>
            <w:tcW w:type="dxa" w:w="1728"/>
          </w:tcPr>
          <w:p>
            <w:r>
              <w:t>33</w:t>
            </w:r>
          </w:p>
        </w:tc>
        <w:tc>
          <w:tcPr>
            <w:tcW w:type="dxa" w:w="1728"/>
          </w:tcPr>
          <w:p>
            <w:r>
              <w:t>9</w:t>
            </w:r>
          </w:p>
        </w:tc>
        <w:tc>
          <w:tcPr>
            <w:tcW w:type="dxa" w:w="1728"/>
          </w:tcPr>
          <w:p>
            <w:r>
              <w:t>94</w:t>
            </w:r>
          </w:p>
        </w:tc>
        <w:tc>
          <w:tcPr>
            <w:tcW w:type="dxa" w:w="1728"/>
          </w:tcPr>
          <w:p>
            <w:r>
              <w:t>0 / 94</w:t>
            </w:r>
          </w:p>
        </w:tc>
      </w:tr>
      <w:tr>
        <w:tc>
          <w:tcPr>
            <w:tcW w:type="dxa" w:w="1728"/>
          </w:tcPr>
          <w:p>
            <w:r>
              <w:t>L2/3-6 intratelencephalic glutamatergic</w:t>
            </w:r>
          </w:p>
        </w:tc>
        <w:tc>
          <w:tcPr>
            <w:tcW w:type="dxa" w:w="1728"/>
          </w:tcPr>
          <w:p>
            <w:r>
              <w:t>114</w:t>
            </w:r>
          </w:p>
        </w:tc>
        <w:tc>
          <w:tcPr>
            <w:tcW w:type="dxa" w:w="1728"/>
          </w:tcPr>
          <w:p>
            <w:r>
              <w:t>50</w:t>
            </w:r>
          </w:p>
        </w:tc>
        <w:tc>
          <w:tcPr>
            <w:tcW w:type="dxa" w:w="1728"/>
          </w:tcPr>
          <w:p>
            <w:r>
              <w:t>83</w:t>
            </w:r>
          </w:p>
        </w:tc>
        <w:tc>
          <w:tcPr>
            <w:tcW w:type="dxa" w:w="1728"/>
          </w:tcPr>
          <w:p>
            <w:r>
              <w:t>33 / 50</w:t>
            </w:r>
          </w:p>
        </w:tc>
      </w:tr>
      <w:tr>
        <w:tc>
          <w:tcPr>
            <w:tcW w:type="dxa" w:w="1728"/>
          </w:tcPr>
          <w:p>
            <w:r>
              <w:t>Pericyte</w:t>
            </w:r>
          </w:p>
        </w:tc>
        <w:tc>
          <w:tcPr>
            <w:tcW w:type="dxa" w:w="1728"/>
          </w:tcPr>
          <w:p>
            <w:r>
              <w:t>42</w:t>
            </w:r>
          </w:p>
        </w:tc>
        <w:tc>
          <w:tcPr>
            <w:tcW w:type="dxa" w:w="1728"/>
          </w:tcPr>
          <w:p>
            <w:r>
              <w:t>17</w:t>
            </w:r>
          </w:p>
        </w:tc>
        <w:tc>
          <w:tcPr>
            <w:tcW w:type="dxa" w:w="1728"/>
          </w:tcPr>
          <w:p>
            <w:r>
              <w:t>79</w:t>
            </w:r>
          </w:p>
        </w:tc>
        <w:tc>
          <w:tcPr>
            <w:tcW w:type="dxa" w:w="1728"/>
          </w:tcPr>
          <w:p>
            <w:r>
              <w:t>24 / 55</w:t>
            </w:r>
          </w:p>
        </w:tc>
      </w:tr>
      <w:tr>
        <w:tc>
          <w:tcPr>
            <w:tcW w:type="dxa" w:w="1728"/>
          </w:tcPr>
          <w:p>
            <w:r>
              <w:t>L6 corticothalamic glutamatergic</w:t>
            </w:r>
          </w:p>
        </w:tc>
        <w:tc>
          <w:tcPr>
            <w:tcW w:type="dxa" w:w="1728"/>
          </w:tcPr>
          <w:p>
            <w:r>
              <w:t>35</w:t>
            </w:r>
          </w:p>
        </w:tc>
        <w:tc>
          <w:tcPr>
            <w:tcW w:type="dxa" w:w="1728"/>
          </w:tcPr>
          <w:p>
            <w:r>
              <w:t>13</w:t>
            </w:r>
          </w:p>
        </w:tc>
        <w:tc>
          <w:tcPr>
            <w:tcW w:type="dxa" w:w="1728"/>
          </w:tcPr>
          <w:p>
            <w:r>
              <w:t>20</w:t>
            </w:r>
          </w:p>
        </w:tc>
        <w:tc>
          <w:tcPr>
            <w:tcW w:type="dxa" w:w="1728"/>
          </w:tcPr>
          <w:p>
            <w:r>
              <w:t>2 / 18</w:t>
            </w:r>
          </w:p>
        </w:tc>
      </w:tr>
      <w:tr>
        <w:tc>
          <w:tcPr>
            <w:tcW w:type="dxa" w:w="1728"/>
          </w:tcPr>
          <w:p>
            <w:r>
              <w:t>Microglial cell</w:t>
            </w:r>
          </w:p>
        </w:tc>
        <w:tc>
          <w:tcPr>
            <w:tcW w:type="dxa" w:w="1728"/>
          </w:tcPr>
          <w:p>
            <w:r>
              <w:t>135</w:t>
            </w:r>
          </w:p>
        </w:tc>
        <w:tc>
          <w:tcPr>
            <w:tcW w:type="dxa" w:w="1728"/>
          </w:tcPr>
          <w:p>
            <w:r>
              <w:t>33</w:t>
            </w:r>
          </w:p>
        </w:tc>
        <w:tc>
          <w:tcPr>
            <w:tcW w:type="dxa" w:w="1728"/>
          </w:tcPr>
          <w:p>
            <w:r>
              <w:t>18</w:t>
            </w:r>
          </w:p>
        </w:tc>
        <w:tc>
          <w:tcPr>
            <w:tcW w:type="dxa" w:w="1728"/>
          </w:tcPr>
          <w:p>
            <w:r>
              <w:t>8 / 10</w:t>
            </w:r>
          </w:p>
        </w:tc>
      </w:tr>
      <w:tr>
        <w:tc>
          <w:tcPr>
            <w:tcW w:type="dxa" w:w="1728"/>
          </w:tcPr>
          <w:p>
            <w:r>
              <w:t>sst GABAergic interneuron</w:t>
            </w:r>
          </w:p>
        </w:tc>
        <w:tc>
          <w:tcPr>
            <w:tcW w:type="dxa" w:w="1728"/>
          </w:tcPr>
          <w:p>
            <w:r>
              <w:t>129</w:t>
            </w:r>
          </w:p>
        </w:tc>
        <w:tc>
          <w:tcPr>
            <w:tcW w:type="dxa" w:w="1728"/>
          </w:tcPr>
          <w:p>
            <w:r>
              <w:t>42</w:t>
            </w:r>
          </w:p>
        </w:tc>
        <w:tc>
          <w:tcPr>
            <w:tcW w:type="dxa" w:w="1728"/>
          </w:tcPr>
          <w:p>
            <w:r>
              <w:t>17</w:t>
            </w:r>
          </w:p>
        </w:tc>
        <w:tc>
          <w:tcPr>
            <w:tcW w:type="dxa" w:w="1728"/>
          </w:tcPr>
          <w:p>
            <w:r>
              <w:t>14 / 3</w:t>
            </w:r>
          </w:p>
        </w:tc>
      </w:tr>
      <w:tr>
        <w:tc>
          <w:tcPr>
            <w:tcW w:type="dxa" w:w="1728"/>
          </w:tcPr>
          <w:p>
            <w:r>
              <w:t>pvalb GABAergic interneuron</w:t>
            </w:r>
          </w:p>
        </w:tc>
        <w:tc>
          <w:tcPr>
            <w:tcW w:type="dxa" w:w="1728"/>
          </w:tcPr>
          <w:p>
            <w:r>
              <w:t>128</w:t>
            </w:r>
          </w:p>
        </w:tc>
        <w:tc>
          <w:tcPr>
            <w:tcW w:type="dxa" w:w="1728"/>
          </w:tcPr>
          <w:p>
            <w:r>
              <w:t>45</w:t>
            </w:r>
          </w:p>
        </w:tc>
        <w:tc>
          <w:tcPr>
            <w:tcW w:type="dxa" w:w="1728"/>
          </w:tcPr>
          <w:p>
            <w:r>
              <w:t>15</w:t>
            </w:r>
          </w:p>
        </w:tc>
        <w:tc>
          <w:tcPr>
            <w:tcW w:type="dxa" w:w="1728"/>
          </w:tcPr>
          <w:p>
            <w:r>
              <w:t>3 / 12</w:t>
            </w:r>
          </w:p>
        </w:tc>
      </w:tr>
      <w:tr>
        <w:tc>
          <w:tcPr>
            <w:tcW w:type="dxa" w:w="1728"/>
          </w:tcPr>
          <w:p>
            <w:r>
              <w:t>Astrocyte</w:t>
            </w:r>
          </w:p>
        </w:tc>
        <w:tc>
          <w:tcPr>
            <w:tcW w:type="dxa" w:w="1728"/>
          </w:tcPr>
          <w:p>
            <w:r>
              <w:t>128</w:t>
            </w:r>
          </w:p>
        </w:tc>
        <w:tc>
          <w:tcPr>
            <w:tcW w:type="dxa" w:w="1728"/>
          </w:tcPr>
          <w:p>
            <w:r>
              <w:t>50</w:t>
            </w:r>
          </w:p>
        </w:tc>
        <w:tc>
          <w:tcPr>
            <w:tcW w:type="dxa" w:w="1728"/>
          </w:tcPr>
          <w:p>
            <w:r>
              <w:t>13</w:t>
            </w:r>
          </w:p>
        </w:tc>
        <w:tc>
          <w:tcPr>
            <w:tcW w:type="dxa" w:w="1728"/>
          </w:tcPr>
          <w:p>
            <w:r>
              <w:t>2 / 11</w:t>
            </w:r>
          </w:p>
        </w:tc>
      </w:tr>
    </w:tbl>
    <w:p>
      <w:r>
        <w:br/>
        <w:t>Note : Les types cellulaires sont triés par nombre décroissant de DEGs. CTRL = Contrôles neurotypiques, SCZ = Schizophrénie.</w:t>
      </w:r>
    </w:p>
    <w:p>
      <w:pPr>
        <w:pStyle w:val="Heading2"/>
      </w:pPr>
      <w:r>
        <w:t>3.3. Analyse par type cellulaire</w:t>
      </w:r>
    </w:p>
    <w:p>
      <w:pPr>
        <w:pStyle w:val="Heading3"/>
      </w:pPr>
      <w:r>
        <w:t>Interneurones VIP GABAergiques</w:t>
      </w:r>
    </w:p>
    <w:p>
      <w:r>
        <w:t>Les interneurones VIP présentent le nombre le plus élevé de DEGs (n=374), dont 98% (366/374) sont down-régulés dans la schizophrénie. Cette down-regulation massive suggère une perte de fonction des circuits inhibiteurs VIP-dépendants.</w:t>
      </w:r>
    </w:p>
    <w:p>
      <w:pPr>
        <w:pStyle w:val="Heading3"/>
      </w:pPr>
      <w:r>
        <w:t>Neurones GABAergiques</w:t>
      </w:r>
    </w:p>
    <w:p>
      <w:r>
        <w:t>Les neurones GABAergiques génériques (n=110 DEGs) présentent un pattern similaire de down-regulation (103/110 = 94%). Ces observations sont cohérentes avec l'hypothèse d'un déficit GABAergique dans la schizophrénie (Skene et al., 2018).</w:t>
      </w:r>
    </w:p>
    <w:p>
      <w:pPr>
        <w:pStyle w:val="Heading3"/>
      </w:pPr>
      <w:r>
        <w:t>Neurones glutamatergiques</w:t>
      </w:r>
    </w:p>
    <w:p>
      <w:r>
        <w:t>Les neurones L6b du cortex moteur primaire montrent 94 DEGs exclusivement down-régulés. Les neurones L2/3-6 intratelencephalic présentent un pattern mixte (33 up, 50 down), suggérant une réorganisation des circuits cortico-corticaux.</w:t>
      </w:r>
    </w:p>
    <w:p>
      <w:pPr>
        <w:pStyle w:val="Heading3"/>
      </w:pPr>
      <w:r>
        <w:t>Cellules vasculaires</w:t>
      </w:r>
    </w:p>
    <w:p>
      <w:r>
        <w:t>Les pericytes (79 DEGs : 24 up, 55 down) et cellules endothéliales (7 DEGs) présentent des altérations cohérentes avec l'hypothèse d'une dysfonction de la barrière hémato-encéphalique dans la schizophrénie.</w:t>
      </w:r>
    </w:p>
    <w:p>
      <w:r>
        <w:br w:type="page"/>
      </w:r>
    </w:p>
    <w:p>
      <w:pPr>
        <w:pStyle w:val="Heading1"/>
      </w:pPr>
      <w:r>
        <w:t>4. Discussion</w:t>
      </w:r>
    </w:p>
    <w:p>
      <w:pPr>
        <w:pStyle w:val="Heading2"/>
      </w:pPr>
      <w:r>
        <w:t>4.1. Interprétation biologique</w:t>
      </w:r>
    </w:p>
    <w:p>
      <w:r>
        <w:t>Nos résultats suggèrent une altération majeure de l'expression génique dans les interneurones GABAergiques du cortex préfrontal de patients schizophrènes, avec une down-regulation massive cohérente avec l'hypothèse d'un déficit inhibiteur dans la pathophysiologie de la maladie.</w:t>
      </w:r>
    </w:p>
    <w:p>
      <w:r>
        <w:t>L'implication des cellules vasculaires (pericytes, endothéliales) renforce l'hypothèse émergente d'une composante neurovasculaire dans la schizophrénie, possiblement liée à des altérations de la perméabilité de la barrière hémato-encéphalique et de la biodisponibilité cérébrale des traitements.</w:t>
      </w:r>
    </w:p>
    <w:p>
      <w:pPr>
        <w:pStyle w:val="Heading2"/>
      </w:pPr>
      <w:r>
        <w:t>4.2. Limitations</w:t>
      </w:r>
    </w:p>
    <w:p>
      <w:r>
        <w:t>Plusieurs limitations doivent être prises en compte dans l'interprétation de ces résultats :</w:t>
      </w:r>
    </w:p>
    <w:p>
      <w:pPr>
        <w:pStyle w:val="ListBullet"/>
      </w:pPr>
      <w:r>
        <w:t>Effectifs déséquilibrés : Certains types cellulaires présentent des ratios CTRL/SCZ très inégaux (ex: microglia 135/33)</w:t>
      </w:r>
    </w:p>
    <w:p>
      <w:pPr>
        <w:pStyle w:val="ListBullet"/>
      </w:pPr>
      <w:r>
        <w:t>Absence de validation expérimentale : Les DEGs identifiés nécessitent une confirmation par qPCR ou immunohistochimie</w:t>
      </w:r>
    </w:p>
    <w:p>
      <w:pPr>
        <w:pStyle w:val="ListBullet"/>
      </w:pPr>
      <w:r>
        <w:t>Dataset public : Réanalyse de données existantes (Lee et al., 2024), pas de découverte primaire</w:t>
      </w:r>
    </w:p>
    <w:p>
      <w:pPr>
        <w:pStyle w:val="ListBullet"/>
      </w:pPr>
      <w:r>
        <w:t>Pas de correction de batch : Absence d'intégration inter-donneurs en raison des effectifs limités</w:t>
      </w:r>
    </w:p>
    <w:p>
      <w:pPr>
        <w:pStyle w:val="ListBullet"/>
      </w:pPr>
      <w:r>
        <w:t>Analyse limitée au transcriptome : Pas de données épigénétiques, protéomiques ou métabolomiques</w:t>
      </w:r>
    </w:p>
    <w:p>
      <w:pPr>
        <w:pStyle w:val="ListBullet"/>
      </w:pPr>
      <w:r>
        <w:t>Cohorte post-mortem : Impossible de distinguer les effets de la maladie des traitements chroniques</w:t>
      </w:r>
    </w:p>
    <w:p>
      <w:pPr>
        <w:pStyle w:val="Heading2"/>
      </w:pPr>
      <w:r>
        <w:t>4.3. Perspectives</w:t>
      </w:r>
    </w:p>
    <w:p>
      <w:r>
        <w:t>Ces résultats ouvrent plusieurs pistes de recherche :</w:t>
      </w:r>
    </w:p>
    <w:p>
      <w:pPr>
        <w:pStyle w:val="ListBullet"/>
      </w:pPr>
      <w:r>
        <w:t>Validation fonctionnelle des top DEGs dans des modèles cellulaires ou animaux</w:t>
      </w:r>
    </w:p>
    <w:p>
      <w:pPr>
        <w:pStyle w:val="ListBullet"/>
      </w:pPr>
      <w:r>
        <w:t>Enrichissement fonctionnel (Gene Ontology, KEGG) pour identifier les voies biologiques dérégulées</w:t>
      </w:r>
    </w:p>
    <w:p>
      <w:pPr>
        <w:pStyle w:val="ListBullet"/>
      </w:pPr>
      <w:r>
        <w:t>Intégration avec des données génétiques (eQTL) pour identifier les variants causaux</w:t>
      </w:r>
    </w:p>
    <w:p>
      <w:pPr>
        <w:pStyle w:val="ListBullet"/>
      </w:pPr>
      <w:r>
        <w:t>Analyse de l'hétérogénéité intra-type cellulaire (sous-populations)</w:t>
      </w:r>
    </w:p>
    <w:p>
      <w:pPr>
        <w:pStyle w:val="ListBullet"/>
      </w:pPr>
      <w:r>
        <w:t>Extension à d'autres régions cérébrales pour cartographier les altérations régionales</w:t>
      </w:r>
    </w:p>
    <w:p>
      <w:r>
        <w:br w:type="page"/>
      </w:r>
    </w:p>
    <w:p>
      <w:pPr>
        <w:pStyle w:val="Heading1"/>
      </w:pPr>
      <w:r>
        <w:t>5. Conclusion</w:t>
      </w:r>
    </w:p>
    <w:p>
      <w:r>
        <w:t>Cette analyse exploratoire du dataset HBCC a permis d'identifier 815 gènes différentiellement exprimés dans le cortex préfrontal de patients schizophrènes, avec une concentration des altérations dans les interneurones VIP GABAergiques (374 DEGs, 98% down-régulés).</w:t>
      </w:r>
    </w:p>
    <w:p>
      <w:r>
        <w:t>Ces observations, cohérentes avec l'hypothèse d'un déficit inhibiteur dans la schizophrénie, nécessitent une validation expérimentale mais constituent une base solide pour de futures investigations sur les mécanismes moléculaires de la maladie.</w:t>
      </w:r>
    </w:p>
    <w:p>
      <w:r>
        <w:t>L'identification d'une composante vasculaire (pericytes) ouvre des perspectives thérapeutiques nouvelles centrées sur la restauration de l'intégrité de la barrière hémato-encéphalique.</w:t>
      </w:r>
    </w:p>
    <w:p>
      <w:r>
        <w:t>Au-delà des résultats biologiques, ce projet a permis de développer une maîtrise complète du pipeline d'analyse single-cell (Python/Scanpy → R/DESeq2), incluant la résolution de défis computationnels majeurs liés à la gestion de datasets massifs sur matériel limité.</w:t>
      </w:r>
    </w:p>
    <w:p>
      <w:r>
        <w:br w:type="page"/>
      </w:r>
    </w:p>
    <w:p>
      <w:pPr>
        <w:pStyle w:val="Heading1"/>
      </w:pPr>
      <w:r>
        <w:t>6. Références</w:t>
      </w:r>
    </w:p>
    <w:p>
      <w:pPr>
        <w:pStyle w:val="ListBullet"/>
      </w:pPr>
      <w:r>
        <w:t>Lee, D. et al. (2024). Population-scale cross-disorder atlas of the human prefrontal cortex at single-cell resolution. Scientific Data, 12:954.</w:t>
      </w:r>
    </w:p>
    <w:p>
      <w:pPr>
        <w:pStyle w:val="ListBullet"/>
      </w:pPr>
      <w:r>
        <w:t>Skene, N. G. et al. (2018). Genetic identification of brain cell types underlying schizophrenia. Nature Genetics, 50, 825-833.</w:t>
      </w:r>
    </w:p>
    <w:p>
      <w:pPr>
        <w:pStyle w:val="ListBullet"/>
      </w:pPr>
      <w:r>
        <w:t>Ruzicka, W. B. et al. (2024). Single-cell multi-cohort dissection of the schizophrenia transcriptome. Science, 384, eadg5136.</w:t>
      </w:r>
    </w:p>
    <w:p>
      <w:pPr>
        <w:pStyle w:val="ListBullet"/>
      </w:pPr>
      <w:r>
        <w:t>Love, M. I., Huber, W., &amp; Anders, S. (2014). Moderated estimation of fold change and dispersion for RNA-seq data with DESeq2. Genome Biology, 15, 550.</w:t>
      </w:r>
    </w:p>
    <w:p>
      <w:pPr>
        <w:pStyle w:val="ListBullet"/>
      </w:pPr>
      <w:r>
        <w:t>Wolf, F. A., Angerer, P., &amp; Theis, F. J. (2018). SCANPY: large-scale single-cell gene expression data analysis. Genome Biology, 19, 15.</w:t>
      </w:r>
    </w:p>
    <w:p>
      <w:pPr>
        <w:pStyle w:val="ListBullet"/>
      </w:pPr>
      <w:r>
        <w:t>Traag, V. A., Waltman, L., &amp; van Eck, N. J. (2019). From Louvain to Leiden: guaranteeing well-connected communities. Scientific Reports, 9, 5233.</w:t>
      </w:r>
    </w:p>
    <w:p>
      <w:r>
        <w:br w:type="page"/>
      </w:r>
    </w:p>
    <w:p>
      <w:pPr>
        <w:pStyle w:val="Heading1"/>
      </w:pPr>
      <w:r>
        <w:t>Note sur le travail individuel</w:t>
      </w:r>
    </w:p>
    <w:p>
      <w:r>
        <w:t>Ce projet a été réalisé de manière individuelle, contrairement au format collaboratif habituel du Master 2 AIDA. Cette contrainte a nécessité une autonomie complète sur l'ensemble du pipeline analytique, de la récupération des données brutes jusqu'à l'interprétation biologique des résultats.</w:t>
      </w:r>
    </w:p>
    <w:p>
      <w:r>
        <w:t>Le principal défi technique rencontré a été la gestion des limitations mémoire lors de l'agrégation pseudobulk (280,455 cellules × 34,176 gènes). La solution développée (agrégation cellule-par-cellule en mode backed) permet l'analyse de datasets single-cell massifs sur matériel standard, ouvrant la voie à des analyses reproductibles sur laptop.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