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42F38" w14:textId="77777777" w:rsidR="00121274" w:rsidRDefault="00000000">
      <w:pPr>
        <w:spacing w:after="164" w:line="259" w:lineRule="auto"/>
        <w:ind w:left="0" w:right="660" w:firstLine="0"/>
        <w:jc w:val="right"/>
      </w:pPr>
      <w:r>
        <w:rPr>
          <w:rFonts w:ascii="Calibri" w:eastAsia="Calibri" w:hAnsi="Calibri" w:cs="Calibri"/>
          <w:noProof/>
          <w:sz w:val="22"/>
        </w:rPr>
        <mc:AlternateContent>
          <mc:Choice Requires="wpg">
            <w:drawing>
              <wp:inline distT="0" distB="0" distL="0" distR="0" wp14:anchorId="0CEFE40C" wp14:editId="6A0C5A0D">
                <wp:extent cx="5100553" cy="1079529"/>
                <wp:effectExtent l="0" t="0" r="0" b="0"/>
                <wp:docPr id="22882" name="Group 22882"/>
                <wp:cNvGraphicFramePr/>
                <a:graphic xmlns:a="http://schemas.openxmlformats.org/drawingml/2006/main">
                  <a:graphicData uri="http://schemas.microsoft.com/office/word/2010/wordprocessingGroup">
                    <wpg:wgp>
                      <wpg:cNvGrpSpPr/>
                      <wpg:grpSpPr>
                        <a:xfrm>
                          <a:off x="0" y="0"/>
                          <a:ext cx="5100553" cy="1079529"/>
                          <a:chOff x="0" y="0"/>
                          <a:chExt cx="5100553" cy="1079529"/>
                        </a:xfrm>
                      </wpg:grpSpPr>
                      <pic:pic xmlns:pic="http://schemas.openxmlformats.org/drawingml/2006/picture">
                        <pic:nvPicPr>
                          <pic:cNvPr id="73" name="Picture 73"/>
                          <pic:cNvPicPr/>
                        </pic:nvPicPr>
                        <pic:blipFill>
                          <a:blip r:embed="rId6"/>
                          <a:stretch>
                            <a:fillRect/>
                          </a:stretch>
                        </pic:blipFill>
                        <pic:spPr>
                          <a:xfrm>
                            <a:off x="0" y="0"/>
                            <a:ext cx="1439645" cy="1079529"/>
                          </a:xfrm>
                          <a:prstGeom prst="rect">
                            <a:avLst/>
                          </a:prstGeom>
                        </pic:spPr>
                      </pic:pic>
                      <pic:pic xmlns:pic="http://schemas.openxmlformats.org/drawingml/2006/picture">
                        <pic:nvPicPr>
                          <pic:cNvPr id="75" name="Picture 75"/>
                          <pic:cNvPicPr/>
                        </pic:nvPicPr>
                        <pic:blipFill>
                          <a:blip r:embed="rId7"/>
                          <a:stretch>
                            <a:fillRect/>
                          </a:stretch>
                        </pic:blipFill>
                        <pic:spPr>
                          <a:xfrm>
                            <a:off x="1447800" y="15"/>
                            <a:ext cx="2079803" cy="1079421"/>
                          </a:xfrm>
                          <a:prstGeom prst="rect">
                            <a:avLst/>
                          </a:prstGeom>
                        </pic:spPr>
                      </pic:pic>
                      <pic:pic xmlns:pic="http://schemas.openxmlformats.org/drawingml/2006/picture">
                        <pic:nvPicPr>
                          <pic:cNvPr id="77" name="Picture 77"/>
                          <pic:cNvPicPr/>
                        </pic:nvPicPr>
                        <pic:blipFill>
                          <a:blip r:embed="rId8"/>
                          <a:stretch>
                            <a:fillRect/>
                          </a:stretch>
                        </pic:blipFill>
                        <pic:spPr>
                          <a:xfrm>
                            <a:off x="3528060" y="22"/>
                            <a:ext cx="1572494" cy="1079500"/>
                          </a:xfrm>
                          <a:prstGeom prst="rect">
                            <a:avLst/>
                          </a:prstGeom>
                        </pic:spPr>
                      </pic:pic>
                    </wpg:wgp>
                  </a:graphicData>
                </a:graphic>
              </wp:inline>
            </w:drawing>
          </mc:Choice>
          <mc:Fallback xmlns:a="http://schemas.openxmlformats.org/drawingml/2006/main">
            <w:pict>
              <v:group id="Group 22882" style="width:401.618pt;height:85.0023pt;mso-position-horizontal-relative:char;mso-position-vertical-relative:line" coordsize="51005,10795">
                <v:shape id="Picture 73" style="position:absolute;width:14396;height:10795;left:0;top:0;" filled="f">
                  <v:imagedata r:id="rId9"/>
                </v:shape>
                <v:shape id="Picture 75" style="position:absolute;width:20798;height:10794;left:14478;top:0;" filled="f">
                  <v:imagedata r:id="rId10"/>
                </v:shape>
                <v:shape id="Picture 77" style="position:absolute;width:15724;height:10795;left:35280;top:0;" filled="f">
                  <v:imagedata r:id="rId11"/>
                </v:shape>
              </v:group>
            </w:pict>
          </mc:Fallback>
        </mc:AlternateContent>
      </w:r>
      <w:r>
        <w:t xml:space="preserve"> </w:t>
      </w:r>
    </w:p>
    <w:p w14:paraId="20A42B59" w14:textId="77777777" w:rsidR="00121274" w:rsidRDefault="00000000">
      <w:pPr>
        <w:spacing w:after="220" w:line="259" w:lineRule="auto"/>
        <w:ind w:left="24" w:right="0" w:firstLine="0"/>
        <w:jc w:val="center"/>
      </w:pPr>
      <w:r>
        <w:t xml:space="preserve"> </w:t>
      </w:r>
    </w:p>
    <w:p w14:paraId="551FAB0E" w14:textId="77777777" w:rsidR="00121274" w:rsidRDefault="00000000">
      <w:pPr>
        <w:spacing w:after="216" w:line="259" w:lineRule="auto"/>
        <w:ind w:left="24" w:right="0" w:firstLine="0"/>
        <w:jc w:val="center"/>
      </w:pPr>
      <w:r>
        <w:t xml:space="preserve"> </w:t>
      </w:r>
    </w:p>
    <w:p w14:paraId="3AF21AFE" w14:textId="77777777" w:rsidR="00121274" w:rsidRDefault="00000000">
      <w:pPr>
        <w:spacing w:after="216" w:line="259" w:lineRule="auto"/>
        <w:ind w:left="24" w:right="0" w:firstLine="0"/>
        <w:jc w:val="center"/>
      </w:pPr>
      <w:r>
        <w:t xml:space="preserve"> </w:t>
      </w:r>
    </w:p>
    <w:p w14:paraId="7502531E" w14:textId="77777777" w:rsidR="00121274" w:rsidRDefault="00000000">
      <w:pPr>
        <w:spacing w:after="218" w:line="259" w:lineRule="auto"/>
        <w:jc w:val="center"/>
      </w:pPr>
      <w:r>
        <w:t xml:space="preserve">FACULTÉ DES SCIENCES ET INGÉNIERIE </w:t>
      </w:r>
    </w:p>
    <w:p w14:paraId="753BA5B9" w14:textId="77777777" w:rsidR="00121274" w:rsidRDefault="00000000">
      <w:pPr>
        <w:spacing w:after="215" w:line="259" w:lineRule="auto"/>
        <w:ind w:left="24" w:right="0" w:firstLine="0"/>
        <w:jc w:val="center"/>
      </w:pPr>
      <w:r>
        <w:t xml:space="preserve"> </w:t>
      </w:r>
    </w:p>
    <w:p w14:paraId="0C51A5EB" w14:textId="77777777" w:rsidR="00121274" w:rsidRDefault="00000000">
      <w:pPr>
        <w:spacing w:after="488" w:line="259" w:lineRule="auto"/>
        <w:ind w:left="24" w:right="0" w:firstLine="0"/>
        <w:jc w:val="center"/>
      </w:pPr>
      <w:r>
        <w:t xml:space="preserve"> </w:t>
      </w:r>
    </w:p>
    <w:p w14:paraId="3356D7A7" w14:textId="77777777" w:rsidR="00121274" w:rsidRDefault="00000000">
      <w:pPr>
        <w:spacing w:after="0" w:line="259" w:lineRule="auto"/>
        <w:ind w:left="0" w:right="59" w:firstLine="0"/>
        <w:jc w:val="center"/>
      </w:pPr>
      <w:r>
        <w:rPr>
          <w:rFonts w:ascii="Calibri" w:eastAsia="Calibri" w:hAnsi="Calibri" w:cs="Calibri"/>
          <w:color w:val="17365D"/>
          <w:sz w:val="52"/>
        </w:rPr>
        <w:t xml:space="preserve">scRNAseq analysis project : </w:t>
      </w:r>
    </w:p>
    <w:p w14:paraId="259BECC0" w14:textId="77777777" w:rsidR="00121274" w:rsidRPr="002434EB" w:rsidRDefault="00000000">
      <w:pPr>
        <w:spacing w:after="0" w:line="240" w:lineRule="auto"/>
        <w:ind w:left="1596" w:right="0" w:hanging="1212"/>
        <w:jc w:val="left"/>
        <w:rPr>
          <w:lang w:val="en-US"/>
        </w:rPr>
      </w:pPr>
      <w:r w:rsidRPr="002434EB">
        <w:rPr>
          <w:rFonts w:ascii="Calibri" w:eastAsia="Calibri" w:hAnsi="Calibri" w:cs="Calibri"/>
          <w:color w:val="17365D"/>
          <w:sz w:val="52"/>
          <w:lang w:val="en-US"/>
        </w:rPr>
        <w:t xml:space="preserve">Population-Scale Cross-Disorder Atlas of the Human Prefrontal Cortex </w:t>
      </w:r>
    </w:p>
    <w:p w14:paraId="69D63560" w14:textId="77777777" w:rsidR="00121274" w:rsidRDefault="00000000">
      <w:pPr>
        <w:spacing w:after="358" w:line="259" w:lineRule="auto"/>
        <w:ind w:left="-28" w:right="0" w:firstLine="0"/>
        <w:jc w:val="left"/>
      </w:pPr>
      <w:r>
        <w:rPr>
          <w:rFonts w:ascii="Calibri" w:eastAsia="Calibri" w:hAnsi="Calibri" w:cs="Calibri"/>
          <w:noProof/>
          <w:sz w:val="22"/>
        </w:rPr>
        <mc:AlternateContent>
          <mc:Choice Requires="wpg">
            <w:drawing>
              <wp:inline distT="0" distB="0" distL="0" distR="0" wp14:anchorId="76E79FAD" wp14:editId="2EE5B2D3">
                <wp:extent cx="6011546" cy="12700"/>
                <wp:effectExtent l="0" t="0" r="0" b="0"/>
                <wp:docPr id="22881" name="Group 22881"/>
                <wp:cNvGraphicFramePr/>
                <a:graphic xmlns:a="http://schemas.openxmlformats.org/drawingml/2006/main">
                  <a:graphicData uri="http://schemas.microsoft.com/office/word/2010/wordprocessingGroup">
                    <wpg:wgp>
                      <wpg:cNvGrpSpPr/>
                      <wpg:grpSpPr>
                        <a:xfrm>
                          <a:off x="0" y="0"/>
                          <a:ext cx="6011546" cy="12700"/>
                          <a:chOff x="0" y="0"/>
                          <a:chExt cx="6011546" cy="12700"/>
                        </a:xfrm>
                      </wpg:grpSpPr>
                      <wps:wsp>
                        <wps:cNvPr id="28866" name="Shape 28866"/>
                        <wps:cNvSpPr/>
                        <wps:spPr>
                          <a:xfrm>
                            <a:off x="0" y="0"/>
                            <a:ext cx="6011546" cy="12700"/>
                          </a:xfrm>
                          <a:custGeom>
                            <a:avLst/>
                            <a:gdLst/>
                            <a:ahLst/>
                            <a:cxnLst/>
                            <a:rect l="0" t="0" r="0" b="0"/>
                            <a:pathLst>
                              <a:path w="6011546" h="12700">
                                <a:moveTo>
                                  <a:pt x="0" y="0"/>
                                </a:moveTo>
                                <a:lnTo>
                                  <a:pt x="6011546" y="0"/>
                                </a:lnTo>
                                <a:lnTo>
                                  <a:pt x="6011546" y="12700"/>
                                </a:lnTo>
                                <a:lnTo>
                                  <a:pt x="0" y="127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2881" style="width:473.35pt;height:1pt;mso-position-horizontal-relative:char;mso-position-vertical-relative:line" coordsize="60115,127">
                <v:shape id="Shape 28867" style="position:absolute;width:60115;height:127;left:0;top:0;" coordsize="6011546,12700" path="m0,0l6011546,0l6011546,12700l0,12700l0,0">
                  <v:stroke weight="0pt" endcap="flat" joinstyle="miter" miterlimit="10" on="false" color="#000000" opacity="0"/>
                  <v:fill on="true" color="#4f81bd"/>
                </v:shape>
              </v:group>
            </w:pict>
          </mc:Fallback>
        </mc:AlternateContent>
      </w:r>
    </w:p>
    <w:p w14:paraId="59CA837B" w14:textId="77777777" w:rsidR="00121274" w:rsidRDefault="00000000">
      <w:pPr>
        <w:spacing w:after="220" w:line="259" w:lineRule="auto"/>
        <w:ind w:left="24" w:right="0" w:firstLine="0"/>
        <w:jc w:val="center"/>
      </w:pPr>
      <w:r>
        <w:t xml:space="preserve"> </w:t>
      </w:r>
    </w:p>
    <w:p w14:paraId="4922FD32" w14:textId="77777777" w:rsidR="00121274" w:rsidRDefault="00000000">
      <w:pPr>
        <w:spacing w:after="216" w:line="259" w:lineRule="auto"/>
        <w:ind w:left="24" w:right="0" w:firstLine="0"/>
        <w:jc w:val="center"/>
      </w:pPr>
      <w:r>
        <w:t xml:space="preserve"> </w:t>
      </w:r>
    </w:p>
    <w:p w14:paraId="5E583623" w14:textId="77777777" w:rsidR="00121274" w:rsidRDefault="00000000">
      <w:pPr>
        <w:spacing w:after="218" w:line="259" w:lineRule="auto"/>
        <w:ind w:right="41"/>
        <w:jc w:val="center"/>
      </w:pPr>
      <w:r>
        <w:t xml:space="preserve">Yara DAGHER </w:t>
      </w:r>
    </w:p>
    <w:p w14:paraId="7921C7C9" w14:textId="77777777" w:rsidR="00121274" w:rsidRDefault="00000000">
      <w:pPr>
        <w:spacing w:after="218" w:line="259" w:lineRule="auto"/>
        <w:ind w:right="40"/>
        <w:jc w:val="center"/>
      </w:pPr>
      <w:r>
        <w:t xml:space="preserve">Elodie HUSSON </w:t>
      </w:r>
    </w:p>
    <w:p w14:paraId="1FFA5984" w14:textId="77777777" w:rsidR="00121274" w:rsidRDefault="00000000">
      <w:pPr>
        <w:spacing w:after="218" w:line="259" w:lineRule="auto"/>
        <w:ind w:right="42"/>
        <w:jc w:val="center"/>
      </w:pPr>
      <w:r>
        <w:t xml:space="preserve">Laïla EL BOUHALI </w:t>
      </w:r>
    </w:p>
    <w:p w14:paraId="6248DB37" w14:textId="77777777" w:rsidR="00121274" w:rsidRDefault="00000000">
      <w:pPr>
        <w:spacing w:after="220" w:line="259" w:lineRule="auto"/>
        <w:ind w:left="24" w:right="0" w:firstLine="0"/>
        <w:jc w:val="center"/>
      </w:pPr>
      <w:r>
        <w:t xml:space="preserve"> </w:t>
      </w:r>
    </w:p>
    <w:p w14:paraId="200ECB03" w14:textId="77777777" w:rsidR="00121274" w:rsidRDefault="00000000">
      <w:pPr>
        <w:spacing w:after="264" w:line="259" w:lineRule="auto"/>
        <w:ind w:left="24" w:right="0" w:firstLine="0"/>
        <w:jc w:val="center"/>
      </w:pPr>
      <w:r>
        <w:t xml:space="preserve"> </w:t>
      </w:r>
    </w:p>
    <w:p w14:paraId="728EF97E" w14:textId="77777777" w:rsidR="00121274" w:rsidRDefault="00000000">
      <w:pPr>
        <w:pStyle w:val="Titre1"/>
        <w:numPr>
          <w:ilvl w:val="0"/>
          <w:numId w:val="0"/>
        </w:numPr>
        <w:pBdr>
          <w:top w:val="single" w:sz="3" w:space="0" w:color="000000"/>
          <w:left w:val="single" w:sz="3" w:space="0" w:color="000000"/>
          <w:bottom w:val="single" w:sz="3" w:space="0" w:color="000000"/>
          <w:right w:val="single" w:sz="3" w:space="0" w:color="000000"/>
        </w:pBdr>
        <w:spacing w:after="0"/>
        <w:ind w:right="39"/>
        <w:jc w:val="center"/>
      </w:pPr>
      <w:r>
        <w:rPr>
          <w:rFonts w:ascii="Century Gothic" w:eastAsia="Century Gothic" w:hAnsi="Century Gothic" w:cs="Century Gothic"/>
          <w:b w:val="0"/>
          <w:sz w:val="24"/>
          <w:u w:val="single" w:color="000000"/>
        </w:rPr>
        <w:t>UE MU5BIS01</w:t>
      </w:r>
      <w:r>
        <w:rPr>
          <w:rFonts w:ascii="Century Gothic" w:eastAsia="Century Gothic" w:hAnsi="Century Gothic" w:cs="Century Gothic"/>
          <w:b w:val="0"/>
          <w:sz w:val="24"/>
        </w:rPr>
        <w:t xml:space="preserve"> </w:t>
      </w:r>
    </w:p>
    <w:p w14:paraId="72065AF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Analyse de données transcriptomiques à l'échelle unicellulaire </w:t>
      </w:r>
    </w:p>
    <w:p w14:paraId="78DBDFA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 </w:t>
      </w:r>
    </w:p>
    <w:p w14:paraId="261F557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 xml:space="preserve">Master Artificial Intelligence and Data Analysis – AIDA </w:t>
      </w:r>
    </w:p>
    <w:p w14:paraId="1B1DB92E"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2025-2026</w:t>
      </w:r>
      <w:r>
        <w:rPr>
          <w:rFonts w:ascii="Century Gothic" w:eastAsia="Century Gothic" w:hAnsi="Century Gothic" w:cs="Century Gothic"/>
        </w:rPr>
        <w:t xml:space="preserve"> </w:t>
      </w:r>
    </w:p>
    <w:p w14:paraId="5E55C71E" w14:textId="5657A9F2" w:rsidR="00121274" w:rsidRDefault="00000000">
      <w:pPr>
        <w:spacing w:after="0" w:line="259" w:lineRule="auto"/>
        <w:ind w:left="4706" w:right="0" w:firstLine="0"/>
        <w:jc w:val="left"/>
      </w:pPr>
      <w:r>
        <w:t xml:space="preserve">  </w:t>
      </w:r>
    </w:p>
    <w:p w14:paraId="1BC4A696" w14:textId="77777777" w:rsidR="00121274" w:rsidRDefault="00000000" w:rsidP="00EF78CD">
      <w:pPr>
        <w:pStyle w:val="Titre1"/>
        <w:spacing w:after="0" w:line="240" w:lineRule="auto"/>
        <w:ind w:left="305" w:hanging="320"/>
      </w:pPr>
      <w:r>
        <w:lastRenderedPageBreak/>
        <w:t xml:space="preserve">Introduction </w:t>
      </w:r>
    </w:p>
    <w:p w14:paraId="6237966A" w14:textId="77777777" w:rsidR="00121274" w:rsidRDefault="00000000" w:rsidP="00EF78CD">
      <w:pPr>
        <w:pStyle w:val="Titre2"/>
        <w:spacing w:after="0" w:line="240" w:lineRule="auto"/>
        <w:ind w:left="483" w:hanging="498"/>
      </w:pPr>
      <w:r>
        <w:t xml:space="preserve">Contexte biologique et clinique </w:t>
      </w:r>
    </w:p>
    <w:p w14:paraId="09925D1E" w14:textId="1E8E91FA" w:rsidR="00121274" w:rsidRDefault="00000000" w:rsidP="00EF78CD">
      <w:pPr>
        <w:spacing w:after="0" w:line="240" w:lineRule="auto"/>
        <w:ind w:left="-5" w:right="35"/>
      </w:pPr>
      <w:r>
        <w:t xml:space="preserve">Les maladies neurodégénératives, telles que la maladie d'Alzheimer (AD) et la maladie de Parkinson (PD), représentent un défi majeur de santé publique dans le contexte du vieillissement démographique mondial. Bien que ces pathologies présentent des manifestations cliniques distinctes — troubles mnésiques prédominants pour l'AD et symptômes moteurs pour la PD —, elles partagent des mécanismes physiopathologiques communs, notamment l'accumulation d'agrégats protéiques pathologiques (plaques amyloïdes et dégénérescences neurofibrillaires dans l'AD ; corps de Lewy contenant l'alpha-synucléine dans la PD) et une neuroinflammation chronique médiée par l'activation gliale. Le Cortex Préfrontal </w:t>
      </w:r>
      <w:r w:rsidR="00585717">
        <w:t>Dorsolatéral</w:t>
      </w:r>
      <w:r>
        <w:t xml:space="preserve"> (DLPFC), région clé impliquée dans les fonctions exécutives, la mémoire de travail et la régulation émotionnelle, est particulièrement vulnérable dans ces troubles, avec une atrophie progressive et des altérations fonctionnelles précoces. </w:t>
      </w:r>
    </w:p>
    <w:p w14:paraId="4F0AFDFF" w14:textId="77777777" w:rsidR="00121274" w:rsidRDefault="00000000" w:rsidP="008A30FF">
      <w:pPr>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le DLPFC ? </w:t>
      </w:r>
    </w:p>
    <w:p w14:paraId="73BEFF05" w14:textId="517D0998" w:rsidR="00121274" w:rsidRDefault="00000000" w:rsidP="008A30FF">
      <w:pPr>
        <w:spacing w:after="0" w:line="240" w:lineRule="auto"/>
        <w:ind w:left="567" w:right="21"/>
      </w:pPr>
      <w:r>
        <w:rPr>
          <w:rFonts w:ascii="Century Gothic" w:eastAsia="Century Gothic" w:hAnsi="Century Gothic" w:cs="Century Gothic"/>
          <w:color w:val="1A5490"/>
          <w:sz w:val="18"/>
        </w:rPr>
        <w:t xml:space="preserve">Le Cortex Préfrontal </w:t>
      </w:r>
      <w:r w:rsidR="00585717">
        <w:rPr>
          <w:rFonts w:ascii="Century Gothic" w:eastAsia="Century Gothic" w:hAnsi="Century Gothic" w:cs="Century Gothic"/>
          <w:color w:val="1A5490"/>
          <w:sz w:val="18"/>
        </w:rPr>
        <w:t>Dorsolatéral</w:t>
      </w:r>
      <w:r>
        <w:rPr>
          <w:rFonts w:ascii="Century Gothic" w:eastAsia="Century Gothic" w:hAnsi="Century Gothic" w:cs="Century Gothic"/>
          <w:color w:val="1A5490"/>
          <w:sz w:val="18"/>
        </w:rPr>
        <w:t xml:space="preserve"> (DLPFC - aires de Brodmann 9/46) est la zone cérébrale responsable des fonctions cognitives supérieures : mémoire de travail, planification, inhibition et prise de décision. C'est le « centre de contrôle exécutif » du cerveau. Dans l'AD, cette région subit une neurodégénérescence précoce corrélée au déclin cognitif. Dans la PD, bien que les symptômes moteurs dominent cliniquement, des dysfonctionnements cognitifs du DLPFC apparaissent fréquemment, notamment dans les formes avec démence. L'étude du DLPFC permet donc de cibler les mécanismes moléculaires conduisant au déclin cognitif commun à ces deux pathologies.</w:t>
      </w:r>
      <w:r>
        <w:t xml:space="preserve"> </w:t>
      </w:r>
    </w:p>
    <w:p w14:paraId="014A456D" w14:textId="77777777" w:rsidR="00121274" w:rsidRDefault="00000000" w:rsidP="00EF78CD">
      <w:pPr>
        <w:pStyle w:val="Titre2"/>
        <w:spacing w:after="0" w:line="240" w:lineRule="auto"/>
        <w:ind w:left="483" w:hanging="498"/>
      </w:pPr>
      <w:r>
        <w:t xml:space="preserve">Apport du single-nucleus RNA sequencing (snRNA-seq) </w:t>
      </w:r>
    </w:p>
    <w:p w14:paraId="19561B93" w14:textId="77777777" w:rsidR="00121274" w:rsidRDefault="00000000" w:rsidP="00EF78CD">
      <w:pPr>
        <w:spacing w:after="0" w:line="240" w:lineRule="auto"/>
        <w:ind w:left="-5" w:right="35"/>
      </w:pPr>
      <w:r>
        <w:t xml:space="preserve">Les approches transcriptomiques classiques sur tissu entier (bulk RNA-seq) moyennent le signal d'expression génique sur des millions de cellules hétérogènes, diluant ainsi la contribution spécifique des types cellulaires minoritaires mais biologiquement critiques, tels que la microglie (cellules immunitaires résidentes du cerveau) ou les astrocytes réactifs. Le séquençage RNA à résolution unicellulaire (single-cell RNA-seq, scRNA-seq) permet de profiler l'expression génique individuellement pour chaque cellule. Dans le contexte des tissus post-mortem congelés, la variante single-nucleus RNA-seq (snRNA-seq) est privilégiée car elle séquence les noyaux cellulaires plutôt que les cellules entières, contournant ainsi les problèmes de dissociation tissulaire et permettant de préserver la qualité des ARN messagers. Cette approche permet de déconvoluer l'hétérogénéité cellulaire du tissu cérébral, d'identifier les types cellulaires vulnérables à la pathologie et de révéler des signatures moléculaires spécifiques invisibles en bulk RNA-seq. </w:t>
      </w:r>
    </w:p>
    <w:p w14:paraId="176C99FE" w14:textId="77777777" w:rsidR="00121274" w:rsidRDefault="00000000" w:rsidP="00E854FE">
      <w:pPr>
        <w:tabs>
          <w:tab w:val="left" w:pos="851"/>
        </w:tabs>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snRNA-seq vs bulk RNA-seq </w:t>
      </w:r>
    </w:p>
    <w:p w14:paraId="3C5C5E1B" w14:textId="77777777" w:rsidR="00121274" w:rsidRDefault="00000000" w:rsidP="00E854FE">
      <w:pPr>
        <w:numPr>
          <w:ilvl w:val="0"/>
          <w:numId w:val="1"/>
        </w:numPr>
        <w:tabs>
          <w:tab w:val="left" w:pos="851"/>
          <w:tab w:val="left" w:pos="1701"/>
        </w:tabs>
        <w:spacing w:after="0" w:line="240" w:lineRule="auto"/>
        <w:ind w:left="567" w:right="21"/>
      </w:pPr>
      <w:r>
        <w:rPr>
          <w:rFonts w:ascii="Century Gothic" w:eastAsia="Century Gothic" w:hAnsi="Century Gothic" w:cs="Century Gothic"/>
          <w:color w:val="1A5490"/>
          <w:sz w:val="18"/>
        </w:rPr>
        <w:t xml:space="preserve">Bulk RNA-seq : Moyenne le signal de millions de cellules différentes. Analogie : Une photo floue de toute une foule. Si 1% de la foule porte un t-shirt rouge (microglie), cette couleur sera statistiquement invisible, noyée dans la moyenne. </w:t>
      </w:r>
    </w:p>
    <w:p w14:paraId="2BC68EC5" w14:textId="284B62C9" w:rsidR="00121274" w:rsidRPr="001E7656"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 snRNA-seq : Donne le profil d'expression de chaque noyau individuel. Analogie : Des photos haute résolution de chaque personne dans la foule. On voit clairement le 1% qui porte un t-shirt rouge et on peut étudier ses caractéristiques spécifiques. </w:t>
      </w:r>
    </w:p>
    <w:p w14:paraId="3B67556A" w14:textId="77777777" w:rsidR="00A71389"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Pourquoi 'nucleus' (noyau) et pas 'cell' (cellule) ? Les échantillons de cerveau </w:t>
      </w:r>
      <w:r w:rsidR="001E7656">
        <w:rPr>
          <w:rFonts w:ascii="Century Gothic" w:eastAsia="Century Gothic" w:hAnsi="Century Gothic" w:cs="Century Gothic"/>
          <w:color w:val="1A5490"/>
          <w:sz w:val="18"/>
        </w:rPr>
        <w:t>post mortem</w:t>
      </w:r>
      <w:r>
        <w:rPr>
          <w:rFonts w:ascii="Century Gothic" w:eastAsia="Century Gothic" w:hAnsi="Century Gothic" w:cs="Century Gothic"/>
          <w:color w:val="1A5490"/>
          <w:sz w:val="18"/>
        </w:rPr>
        <w:t xml:space="preserve"> sont congelés depuis des années. Les membranes cellulaires sont dégradées, mais les noyaux restent intacts. Le snRNA-seq extrait donc les noyaux et séquence l'ARNm qu'ils contiennent. </w:t>
      </w:r>
    </w:p>
    <w:p w14:paraId="2A36F563" w14:textId="0298CFC4" w:rsidR="00121274" w:rsidRPr="00A71389" w:rsidRDefault="00000000" w:rsidP="00E854FE">
      <w:pPr>
        <w:numPr>
          <w:ilvl w:val="1"/>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sidRPr="00A71389">
        <w:rPr>
          <w:rFonts w:ascii="Century Gothic" w:eastAsia="Century Gothic" w:hAnsi="Century Gothic" w:cs="Century Gothic"/>
          <w:color w:val="1A5490"/>
          <w:sz w:val="18"/>
        </w:rPr>
        <w:t>Conséquence technique majeure : le pourcentage de comptages</w:t>
      </w:r>
      <w:r w:rsidR="001E7656" w:rsidRPr="00A71389">
        <w:rPr>
          <w:rFonts w:ascii="Century Gothic" w:eastAsia="Century Gothic" w:hAnsi="Century Gothic" w:cs="Century Gothic"/>
          <w:color w:val="1A5490"/>
          <w:sz w:val="18"/>
        </w:rPr>
        <w:t xml:space="preserve"> </w:t>
      </w:r>
      <w:r w:rsidRPr="00A71389">
        <w:rPr>
          <w:rFonts w:ascii="Century Gothic" w:eastAsia="Century Gothic" w:hAnsi="Century Gothic" w:cs="Century Gothic"/>
          <w:color w:val="1A5490"/>
          <w:sz w:val="18"/>
        </w:rPr>
        <w:t xml:space="preserve">mitochondriaux est naturellement très faible (~0%), car les mitochondries (organites cytoplasmiques) ne sont pas capturées avec les noyaux. </w:t>
      </w:r>
    </w:p>
    <w:p w14:paraId="1970A69E" w14:textId="77777777" w:rsidR="00121274" w:rsidRDefault="00000000" w:rsidP="00EF78CD">
      <w:pPr>
        <w:pStyle w:val="Titre2"/>
        <w:spacing w:after="0" w:line="240" w:lineRule="auto"/>
        <w:ind w:left="483" w:hanging="498"/>
      </w:pPr>
      <w:r>
        <w:t xml:space="preserve">Description du dataset </w:t>
      </w:r>
    </w:p>
    <w:p w14:paraId="11B4B219" w14:textId="43330234" w:rsidR="00121274" w:rsidRDefault="00000000" w:rsidP="00EF78CD">
      <w:pPr>
        <w:spacing w:after="0" w:line="240" w:lineRule="auto"/>
        <w:ind w:left="-5" w:right="35"/>
      </w:pPr>
      <w:r>
        <w:t>Les données analysées proviennent de l'Atlas à l'échelle de la population des troubles croisés du cortex préfrontal humain (Lee et al., 2024), une ressource transcriptomique majeure accessible via le portail CellxGene Census (Chan Zuckerberg Initiative). Cet atlas initial profile plus de 6,3 millions de noyaux provenant de 1</w:t>
      </w:r>
      <w:r w:rsidR="00731603">
        <w:t xml:space="preserve"> </w:t>
      </w:r>
      <w:r>
        <w:t xml:space="preserve">494 donneurs post-mortem couvrant 26 diagnostics </w:t>
      </w:r>
      <w:r>
        <w:lastRenderedPageBreak/>
        <w:t xml:space="preserve">neuropsychiatriques distincts. Pour cette étude, nous avons extrait une cohorte ciblée et rigoureusement filtrée de 62 800 noyaux provenant de 17 donneurs, incluant 8 patients atteints de la maladie d'Alzheimer (AD), 3 patients atteints de la maladie de Parkinson (PD) et 6 contrôles neurotypiques (CTRL). Cette réduction drastique a été motivée par des contraintes de pureté analytique (exclusion des comorbidités) et des limitations matérielles (RAM disponible). </w:t>
      </w:r>
    </w:p>
    <w:p w14:paraId="5C21337C" w14:textId="5BB859F6" w:rsidR="00121274" w:rsidRDefault="00000000" w:rsidP="00E854FE">
      <w:pPr>
        <w:spacing w:after="0" w:line="240" w:lineRule="auto"/>
        <w:ind w:left="567" w:right="2783"/>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Problème de RAM et réduction du dataset </w:t>
      </w:r>
    </w:p>
    <w:p w14:paraId="0622BE35" w14:textId="50B9354B" w:rsidR="00A71389" w:rsidRDefault="007908F6" w:rsidP="00E854FE">
      <w:pPr>
        <w:spacing w:after="0" w:line="240" w:lineRule="auto"/>
        <w:ind w:left="567" w:right="2783" w:hanging="11"/>
        <w:rPr>
          <w:rFonts w:ascii="Century Gothic" w:eastAsia="Century Gothic" w:hAnsi="Century Gothic" w:cs="Century Gothic"/>
          <w:color w:val="666666"/>
          <w:sz w:val="18"/>
        </w:rPr>
      </w:pPr>
      <w:r>
        <w:rPr>
          <w:noProof/>
        </w:rPr>
        <w:drawing>
          <wp:anchor distT="0" distB="0" distL="114300" distR="114300" simplePos="0" relativeHeight="251658240" behindDoc="0" locked="0" layoutInCell="1" allowOverlap="1" wp14:anchorId="6640545C" wp14:editId="6C3E5071">
            <wp:simplePos x="0" y="0"/>
            <wp:positionH relativeFrom="margin">
              <wp:align>right</wp:align>
            </wp:positionH>
            <wp:positionV relativeFrom="paragraph">
              <wp:posOffset>454246</wp:posOffset>
            </wp:positionV>
            <wp:extent cx="1741805" cy="1273175"/>
            <wp:effectExtent l="0" t="0" r="0" b="3175"/>
            <wp:wrapSquare wrapText="bothSides"/>
            <wp:docPr id="165359857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8577" name="Image 1" descr="Une image contenant texte, capture d’écran, Police, nombr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1741805" cy="1273175"/>
                    </a:xfrm>
                    <a:prstGeom prst="rect">
                      <a:avLst/>
                    </a:prstGeom>
                  </pic:spPr>
                </pic:pic>
              </a:graphicData>
            </a:graphic>
          </wp:anchor>
        </w:drawing>
      </w:r>
      <w:r>
        <w:rPr>
          <w:rFonts w:ascii="Century Gothic" w:eastAsia="Century Gothic" w:hAnsi="Century Gothic" w:cs="Century Gothic"/>
          <w:color w:val="666666"/>
          <w:sz w:val="18"/>
        </w:rPr>
        <w:t>Le dataset initial (6,3 millions de noyaux, fichier .h5ad de 6,28 GB) dépasse largement les capacités mémoire d'une infrastructure de calcul standard (16-32 GB RAM). Le chargement en mémoire vive des métriques de QC provoquait systématiquement des erreurs</w:t>
      </w:r>
      <w:r w:rsidR="00A71389">
        <w:rPr>
          <w:rFonts w:ascii="Century Gothic" w:eastAsia="Century Gothic" w:hAnsi="Century Gothic" w:cs="Century Gothic"/>
          <w:color w:val="666666"/>
          <w:sz w:val="18"/>
        </w:rPr>
        <w:t xml:space="preserve"> de mémoire</w:t>
      </w:r>
      <w:r>
        <w:rPr>
          <w:rFonts w:ascii="Century Gothic" w:eastAsia="Century Gothic" w:hAnsi="Century Gothic" w:cs="Century Gothic"/>
          <w:color w:val="666666"/>
          <w:sz w:val="18"/>
        </w:rPr>
        <w:t xml:space="preserve">. </w:t>
      </w:r>
    </w:p>
    <w:p w14:paraId="0E5DDFDA" w14:textId="77777777" w:rsidR="00A71389" w:rsidRDefault="00000000" w:rsidP="00E854FE">
      <w:pPr>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Stratégie de contournement adoptée : </w:t>
      </w:r>
    </w:p>
    <w:p w14:paraId="30063177" w14:textId="66BE45B3" w:rsidR="00A71389" w:rsidRPr="00C36F5C"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sidRPr="00C36F5C">
        <w:rPr>
          <w:rFonts w:ascii="Century Gothic" w:eastAsia="Century Gothic" w:hAnsi="Century Gothic" w:cs="Century Gothic"/>
          <w:color w:val="666666"/>
          <w:sz w:val="18"/>
        </w:rPr>
        <w:t xml:space="preserve">Exclusion précoce de l'ascendance 'African' (~58% du dataset) pour réduire le fichier à ~2,5 GB, </w:t>
      </w:r>
    </w:p>
    <w:p w14:paraId="13781AB2" w14:textId="29226470" w:rsidR="00DE25CB"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Lecture en mode backed ('r') </w:t>
      </w:r>
      <w:r w:rsidR="00DE25CB">
        <w:rPr>
          <w:rFonts w:ascii="Century Gothic" w:eastAsia="Century Gothic" w:hAnsi="Century Gothic" w:cs="Century Gothic"/>
          <w:color w:val="666666"/>
          <w:sz w:val="18"/>
        </w:rPr>
        <w:t>et c</w:t>
      </w:r>
      <w:r>
        <w:rPr>
          <w:rFonts w:ascii="Century Gothic" w:eastAsia="Century Gothic" w:hAnsi="Century Gothic" w:cs="Century Gothic"/>
          <w:color w:val="666666"/>
          <w:sz w:val="18"/>
        </w:rPr>
        <w:t>opie en RAM uniquement après filtrage initial</w:t>
      </w:r>
      <w:r w:rsidR="0079318A">
        <w:rPr>
          <w:rFonts w:ascii="Century Gothic" w:eastAsia="Century Gothic" w:hAnsi="Century Gothic" w:cs="Century Gothic"/>
          <w:color w:val="666666"/>
          <w:sz w:val="18"/>
        </w:rPr>
        <w:t>,</w:t>
      </w:r>
      <w:r w:rsidR="00F056C6" w:rsidRPr="00F056C6">
        <w:rPr>
          <w:rFonts w:ascii="Century Gothic" w:eastAsia="Century Gothic" w:hAnsi="Century Gothic" w:cs="Century Gothic"/>
          <w:color w:val="666666"/>
          <w:sz w:val="18"/>
        </w:rPr>
        <w:t xml:space="preserve"> </w:t>
      </w:r>
      <w:r w:rsidR="00F056C6">
        <w:rPr>
          <w:rFonts w:ascii="Century Gothic" w:eastAsia="Century Gothic" w:hAnsi="Century Gothic" w:cs="Century Gothic"/>
          <w:color w:val="666666"/>
          <w:sz w:val="18"/>
        </w:rPr>
        <w:t>limitant les opérations possibles.</w:t>
      </w:r>
    </w:p>
    <w:p w14:paraId="00C1040D" w14:textId="0A30F6C8" w:rsidR="00121274" w:rsidRDefault="00000000" w:rsidP="00E854FE">
      <w:pPr>
        <w:pStyle w:val="Paragraphedeliste"/>
        <w:numPr>
          <w:ilvl w:val="1"/>
          <w:numId w:val="18"/>
        </w:numPr>
        <w:tabs>
          <w:tab w:val="left" w:pos="851"/>
        </w:tabs>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Cette limitation technique majeure a imposé un sous-échantillonnage massif et constitue un biais méthodologique à discuter (section 4.2).</w:t>
      </w:r>
      <w:r w:rsidRPr="00F056C6">
        <w:rPr>
          <w:rFonts w:ascii="Century Gothic" w:eastAsia="Century Gothic" w:hAnsi="Century Gothic" w:cs="Century Gothic"/>
          <w:color w:val="666666"/>
          <w:sz w:val="18"/>
        </w:rPr>
        <w:t xml:space="preserve"> </w:t>
      </w:r>
    </w:p>
    <w:p w14:paraId="202490AE" w14:textId="5384D0B1" w:rsidR="0021431F" w:rsidRDefault="0021431F" w:rsidP="00B724CB">
      <w:pPr>
        <w:spacing w:after="0" w:line="240" w:lineRule="auto"/>
        <w:ind w:left="0" w:right="35" w:firstLine="0"/>
        <w:jc w:val="right"/>
      </w:pPr>
    </w:p>
    <w:p w14:paraId="59E13D0F" w14:textId="5AD8CDA7" w:rsidR="0021431F" w:rsidRDefault="0021431F" w:rsidP="0021431F">
      <w:pPr>
        <w:spacing w:after="0" w:line="240" w:lineRule="auto"/>
        <w:ind w:left="0" w:right="35" w:firstLine="0"/>
      </w:pPr>
      <w:r w:rsidRPr="0021431F">
        <w:rPr>
          <w:noProof/>
        </w:rPr>
        <w:drawing>
          <wp:inline distT="0" distB="0" distL="0" distR="0" wp14:anchorId="55129BC8" wp14:editId="668A70FF">
            <wp:extent cx="2819550" cy="1510666"/>
            <wp:effectExtent l="0" t="0" r="0" b="0"/>
            <wp:docPr id="423678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78451" name=""/>
                    <pic:cNvPicPr/>
                  </pic:nvPicPr>
                  <pic:blipFill>
                    <a:blip r:embed="rId13"/>
                    <a:stretch>
                      <a:fillRect/>
                    </a:stretch>
                  </pic:blipFill>
                  <pic:spPr>
                    <a:xfrm>
                      <a:off x="0" y="0"/>
                      <a:ext cx="2819550" cy="1510666"/>
                    </a:xfrm>
                    <a:prstGeom prst="rect">
                      <a:avLst/>
                    </a:prstGeom>
                  </pic:spPr>
                </pic:pic>
              </a:graphicData>
            </a:graphic>
          </wp:inline>
        </w:drawing>
      </w:r>
      <w:r w:rsidR="00507032" w:rsidRPr="00507032">
        <w:rPr>
          <w:noProof/>
        </w:rPr>
        <w:t xml:space="preserve"> </w:t>
      </w:r>
      <w:r w:rsidR="00507032" w:rsidRPr="00507032">
        <w:rPr>
          <w:noProof/>
        </w:rPr>
        <w:drawing>
          <wp:inline distT="0" distB="0" distL="0" distR="0" wp14:anchorId="197CFF6F" wp14:editId="7D46CDC1">
            <wp:extent cx="3092400" cy="1512000"/>
            <wp:effectExtent l="0" t="0" r="0" b="0"/>
            <wp:docPr id="1857717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17927" name=""/>
                    <pic:cNvPicPr/>
                  </pic:nvPicPr>
                  <pic:blipFill>
                    <a:blip r:embed="rId14"/>
                    <a:stretch>
                      <a:fillRect/>
                    </a:stretch>
                  </pic:blipFill>
                  <pic:spPr>
                    <a:xfrm>
                      <a:off x="0" y="0"/>
                      <a:ext cx="3092400" cy="1512000"/>
                    </a:xfrm>
                    <a:prstGeom prst="rect">
                      <a:avLst/>
                    </a:prstGeom>
                  </pic:spPr>
                </pic:pic>
              </a:graphicData>
            </a:graphic>
          </wp:inline>
        </w:drawing>
      </w:r>
    </w:p>
    <w:p w14:paraId="689496D0" w14:textId="7282E527" w:rsidR="0021431F" w:rsidRDefault="0021431F" w:rsidP="0060104C">
      <w:pPr>
        <w:spacing w:after="0" w:line="240" w:lineRule="auto"/>
        <w:ind w:left="0" w:right="35" w:firstLine="0"/>
        <w:rPr>
          <w:noProof/>
        </w:rPr>
      </w:pPr>
      <w:r w:rsidRPr="0021431F">
        <w:rPr>
          <w:noProof/>
        </w:rPr>
        <w:drawing>
          <wp:inline distT="0" distB="0" distL="0" distR="0" wp14:anchorId="782E01EE" wp14:editId="7F6DA865">
            <wp:extent cx="1859270" cy="1143000"/>
            <wp:effectExtent l="0" t="0" r="8255" b="0"/>
            <wp:docPr id="1379867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67641" name=""/>
                    <pic:cNvPicPr/>
                  </pic:nvPicPr>
                  <pic:blipFill>
                    <a:blip r:embed="rId15"/>
                    <a:stretch>
                      <a:fillRect/>
                    </a:stretch>
                  </pic:blipFill>
                  <pic:spPr>
                    <a:xfrm>
                      <a:off x="0" y="0"/>
                      <a:ext cx="1879784" cy="1155611"/>
                    </a:xfrm>
                    <a:prstGeom prst="rect">
                      <a:avLst/>
                    </a:prstGeom>
                  </pic:spPr>
                </pic:pic>
              </a:graphicData>
            </a:graphic>
          </wp:inline>
        </w:drawing>
      </w:r>
      <w:r w:rsidR="00B2261A">
        <w:rPr>
          <w:noProof/>
        </w:rPr>
        <w:drawing>
          <wp:inline distT="0" distB="0" distL="0" distR="0" wp14:anchorId="0E41FCDF" wp14:editId="3FDEBB55">
            <wp:extent cx="2171700" cy="1083115"/>
            <wp:effectExtent l="0" t="0" r="0" b="3175"/>
            <wp:docPr id="395446587" name="Image 1" descr="Une image contenant diagramme, texte, cerc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587" name="Image 1" descr="Une image contenant diagramme, texte, cercle, capture d’écran&#10;&#10;Le contenu généré par l’IA peut être incorrect."/>
                    <pic:cNvPicPr/>
                  </pic:nvPicPr>
                  <pic:blipFill>
                    <a:blip r:embed="rId16"/>
                    <a:stretch>
                      <a:fillRect/>
                    </a:stretch>
                  </pic:blipFill>
                  <pic:spPr>
                    <a:xfrm>
                      <a:off x="0" y="0"/>
                      <a:ext cx="2213454" cy="1103939"/>
                    </a:xfrm>
                    <a:prstGeom prst="rect">
                      <a:avLst/>
                    </a:prstGeom>
                  </pic:spPr>
                </pic:pic>
              </a:graphicData>
            </a:graphic>
          </wp:inline>
        </w:drawing>
      </w:r>
      <w:r w:rsidR="0043730C" w:rsidRPr="0043730C">
        <w:rPr>
          <w:noProof/>
        </w:rPr>
        <w:drawing>
          <wp:inline distT="0" distB="0" distL="0" distR="0" wp14:anchorId="1B65B7AB" wp14:editId="43A0D71E">
            <wp:extent cx="1842008" cy="1499191"/>
            <wp:effectExtent l="0" t="0" r="6350" b="6350"/>
            <wp:docPr id="956152215"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215" name="Image 1" descr="Une image contenant texte, capture d’écran, nombre, Parallèle&#10;&#10;Le contenu généré par l’IA peut être incorrect."/>
                    <pic:cNvPicPr/>
                  </pic:nvPicPr>
                  <pic:blipFill>
                    <a:blip r:embed="rId17"/>
                    <a:stretch>
                      <a:fillRect/>
                    </a:stretch>
                  </pic:blipFill>
                  <pic:spPr>
                    <a:xfrm>
                      <a:off x="0" y="0"/>
                      <a:ext cx="1860857" cy="1514532"/>
                    </a:xfrm>
                    <a:prstGeom prst="rect">
                      <a:avLst/>
                    </a:prstGeom>
                  </pic:spPr>
                </pic:pic>
              </a:graphicData>
            </a:graphic>
          </wp:inline>
        </w:drawing>
      </w:r>
    </w:p>
    <w:p w14:paraId="7A13E993" w14:textId="6E6F55A3" w:rsidR="00CF00A2" w:rsidRDefault="00CF00A2" w:rsidP="0060104C">
      <w:pPr>
        <w:spacing w:after="0" w:line="240" w:lineRule="auto"/>
        <w:ind w:left="0" w:right="35" w:firstLine="0"/>
        <w:rPr>
          <w:noProof/>
        </w:rPr>
      </w:pPr>
      <w:r w:rsidRPr="00CF00A2">
        <w:rPr>
          <w:noProof/>
        </w:rPr>
        <w:drawing>
          <wp:inline distT="0" distB="0" distL="0" distR="0" wp14:anchorId="788CD719" wp14:editId="0407073C">
            <wp:extent cx="1202400" cy="954000"/>
            <wp:effectExtent l="0" t="0" r="0" b="0"/>
            <wp:docPr id="108810765" name="Image 1" descr="Une image contenant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0765" name="Image 1" descr="Une image contenant texte&#10;&#10;Le contenu généré par l’IA peut être incorrect."/>
                    <pic:cNvPicPr/>
                  </pic:nvPicPr>
                  <pic:blipFill>
                    <a:blip r:embed="rId18"/>
                    <a:stretch>
                      <a:fillRect/>
                    </a:stretch>
                  </pic:blipFill>
                  <pic:spPr>
                    <a:xfrm>
                      <a:off x="0" y="0"/>
                      <a:ext cx="1202400" cy="954000"/>
                    </a:xfrm>
                    <a:prstGeom prst="rect">
                      <a:avLst/>
                    </a:prstGeom>
                  </pic:spPr>
                </pic:pic>
              </a:graphicData>
            </a:graphic>
          </wp:inline>
        </w:drawing>
      </w:r>
      <w:r w:rsidRPr="00CF00A2">
        <w:rPr>
          <w:noProof/>
        </w:rPr>
        <w:t xml:space="preserve"> </w:t>
      </w:r>
      <w:r w:rsidRPr="00CF00A2">
        <w:rPr>
          <w:noProof/>
        </w:rPr>
        <w:drawing>
          <wp:inline distT="0" distB="0" distL="0" distR="0" wp14:anchorId="05B3E5DD" wp14:editId="68BBB476">
            <wp:extent cx="3584673" cy="954800"/>
            <wp:effectExtent l="0" t="0" r="0" b="0"/>
            <wp:docPr id="16056754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5485" name="Image 1" descr="Une image contenant texte, capture d’écran&#10;&#10;Le contenu généré par l’IA peut être incorrect."/>
                    <pic:cNvPicPr/>
                  </pic:nvPicPr>
                  <pic:blipFill>
                    <a:blip r:embed="rId19"/>
                    <a:stretch>
                      <a:fillRect/>
                    </a:stretch>
                  </pic:blipFill>
                  <pic:spPr>
                    <a:xfrm>
                      <a:off x="0" y="0"/>
                      <a:ext cx="3633406" cy="967780"/>
                    </a:xfrm>
                    <a:prstGeom prst="rect">
                      <a:avLst/>
                    </a:prstGeom>
                  </pic:spPr>
                </pic:pic>
              </a:graphicData>
            </a:graphic>
          </wp:inline>
        </w:drawing>
      </w:r>
    </w:p>
    <w:p w14:paraId="3D6F7548" w14:textId="027BBD89" w:rsidR="00CF00A2" w:rsidRDefault="00CF00A2" w:rsidP="0060104C">
      <w:pPr>
        <w:spacing w:after="0" w:line="240" w:lineRule="auto"/>
        <w:ind w:left="0" w:right="35" w:firstLine="0"/>
        <w:rPr>
          <w:noProof/>
        </w:rPr>
      </w:pPr>
      <w:r w:rsidRPr="00CF00A2">
        <w:rPr>
          <w:noProof/>
        </w:rPr>
        <w:drawing>
          <wp:inline distT="0" distB="0" distL="0" distR="0" wp14:anchorId="6022D914" wp14:editId="12C3534E">
            <wp:extent cx="1512364" cy="824643"/>
            <wp:effectExtent l="0" t="0" r="0" b="0"/>
            <wp:docPr id="93075654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56547" name="Image 1" descr="Une image contenant texte, capture d’écran&#10;&#10;Le contenu généré par l’IA peut être incorrect."/>
                    <pic:cNvPicPr/>
                  </pic:nvPicPr>
                  <pic:blipFill>
                    <a:blip r:embed="rId20"/>
                    <a:stretch>
                      <a:fillRect/>
                    </a:stretch>
                  </pic:blipFill>
                  <pic:spPr>
                    <a:xfrm>
                      <a:off x="0" y="0"/>
                      <a:ext cx="1535502" cy="837259"/>
                    </a:xfrm>
                    <a:prstGeom prst="rect">
                      <a:avLst/>
                    </a:prstGeom>
                  </pic:spPr>
                </pic:pic>
              </a:graphicData>
            </a:graphic>
          </wp:inline>
        </w:drawing>
      </w:r>
      <w:r w:rsidRPr="00CF00A2">
        <w:rPr>
          <w:noProof/>
        </w:rPr>
        <w:drawing>
          <wp:inline distT="0" distB="0" distL="0" distR="0" wp14:anchorId="16E793AC" wp14:editId="28CF3B20">
            <wp:extent cx="4266000" cy="954000"/>
            <wp:effectExtent l="0" t="0" r="1270" b="0"/>
            <wp:docPr id="16842449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914" name="Image 1" descr="Une image contenant texte, capture d’écran, Police&#10;&#10;Le contenu généré par l’IA peut être incorrect."/>
                    <pic:cNvPicPr/>
                  </pic:nvPicPr>
                  <pic:blipFill>
                    <a:blip r:embed="rId21"/>
                    <a:stretch>
                      <a:fillRect/>
                    </a:stretch>
                  </pic:blipFill>
                  <pic:spPr>
                    <a:xfrm>
                      <a:off x="0" y="0"/>
                      <a:ext cx="4266000" cy="954000"/>
                    </a:xfrm>
                    <a:prstGeom prst="rect">
                      <a:avLst/>
                    </a:prstGeom>
                  </pic:spPr>
                </pic:pic>
              </a:graphicData>
            </a:graphic>
          </wp:inline>
        </w:drawing>
      </w:r>
    </w:p>
    <w:p w14:paraId="07C51EB3" w14:textId="77777777" w:rsidR="00121274" w:rsidRDefault="00000000" w:rsidP="00EF78CD">
      <w:pPr>
        <w:pStyle w:val="Titre2"/>
        <w:spacing w:after="0" w:line="240" w:lineRule="auto"/>
        <w:ind w:left="483" w:hanging="498"/>
      </w:pPr>
      <w:r>
        <w:t xml:space="preserve">Question biologique et objectifs </w:t>
      </w:r>
    </w:p>
    <w:p w14:paraId="3D239EE9" w14:textId="60BF8E16" w:rsidR="00121274" w:rsidRDefault="00000000" w:rsidP="00D3421E">
      <w:pPr>
        <w:tabs>
          <w:tab w:val="center" w:pos="1315"/>
          <w:tab w:val="center" w:pos="2887"/>
          <w:tab w:val="center" w:pos="4430"/>
          <w:tab w:val="center" w:pos="5577"/>
          <w:tab w:val="center" w:pos="6446"/>
          <w:tab w:val="center" w:pos="7485"/>
          <w:tab w:val="center" w:pos="8547"/>
          <w:tab w:val="right" w:pos="9447"/>
        </w:tabs>
        <w:spacing w:after="0" w:line="240" w:lineRule="auto"/>
        <w:ind w:left="-15" w:right="0" w:firstLine="0"/>
      </w:pPr>
      <w:r>
        <w:t xml:space="preserve">La question biologique centrale de ce projet est : « Quelles sont les signatures transcriptomiques cellulaires communes et spécifiques partagées entre la maladie d'Alzheimer (AD) et la maladie de </w:t>
      </w:r>
      <w:r>
        <w:lastRenderedPageBreak/>
        <w:t>Parkinson (PD) au niveau du cortex préfrontal dorsolatéral, et comment le sexe biologique module-t-il ces signatures ? »</w:t>
      </w:r>
    </w:p>
    <w:p w14:paraId="1A942FA8" w14:textId="77777777" w:rsidR="00121274" w:rsidRDefault="00000000" w:rsidP="00D3421E">
      <w:pPr>
        <w:spacing w:after="0" w:line="240" w:lineRule="auto"/>
        <w:ind w:left="-5" w:right="35"/>
      </w:pPr>
      <w:r>
        <w:t xml:space="preserve">Les objectifs secondaires sont les suivants : </w:t>
      </w:r>
    </w:p>
    <w:p w14:paraId="41F4FFCC" w14:textId="52117E0C" w:rsidR="00121274" w:rsidRDefault="00000000" w:rsidP="00D3421E">
      <w:pPr>
        <w:numPr>
          <w:ilvl w:val="0"/>
          <w:numId w:val="2"/>
        </w:numPr>
        <w:spacing w:after="0" w:line="240" w:lineRule="auto"/>
        <w:ind w:right="35" w:hanging="296"/>
      </w:pPr>
      <w:r>
        <w:t>Identifier et annoter de manière robuste les principaux types cellulaires du DLPFC (neurones, glie) et quantifier leur composition relative dans les groupes pathologiques versus contrôles.</w:t>
      </w:r>
    </w:p>
    <w:p w14:paraId="54088E03" w14:textId="4EFCD89E" w:rsidR="00121274" w:rsidRDefault="00000000" w:rsidP="00D3421E">
      <w:pPr>
        <w:numPr>
          <w:ilvl w:val="0"/>
          <w:numId w:val="2"/>
        </w:numPr>
        <w:spacing w:after="0" w:line="240" w:lineRule="auto"/>
        <w:ind w:right="35" w:hanging="296"/>
      </w:pPr>
      <w:r>
        <w:t>Détecter les gènes différentiellement exprimés (DEGs) dans chaque type cellulaire, en comparant AD vs CTRL et PD vs CTRL, tout en contrôlant les facteurs confondants (sexe, ascendance génétique).</w:t>
      </w:r>
    </w:p>
    <w:p w14:paraId="004E082F" w14:textId="77777777" w:rsidR="00A112C6" w:rsidRDefault="00000000" w:rsidP="00D3421E">
      <w:pPr>
        <w:numPr>
          <w:ilvl w:val="0"/>
          <w:numId w:val="2"/>
        </w:numPr>
        <w:spacing w:after="0" w:line="240" w:lineRule="auto"/>
        <w:ind w:right="35" w:hanging="296"/>
      </w:pPr>
      <w:r>
        <w:t>Caractériser fonctionnellement les signatures identifiées via des analyses d'enrichissement (G</w:t>
      </w:r>
      <w:r w:rsidR="00A112C6">
        <w:t>O</w:t>
      </w:r>
      <w:r>
        <w:t xml:space="preserve">, GSEA) pour interpréter les mécanismes biologiques sous-jacents. </w:t>
      </w:r>
    </w:p>
    <w:p w14:paraId="09D8E3D5" w14:textId="4C9C92EB" w:rsidR="00121274" w:rsidRDefault="00000000" w:rsidP="00D3421E">
      <w:pPr>
        <w:numPr>
          <w:ilvl w:val="0"/>
          <w:numId w:val="2"/>
        </w:numPr>
        <w:spacing w:after="0" w:line="240" w:lineRule="auto"/>
        <w:ind w:right="35" w:hanging="296"/>
      </w:pPr>
      <w:r>
        <w:t>Évaluer la convergence ou la divergence des altérations transcriptomiques entre AD et PD au niveau de types cellulaires spécifiques (notamment microglie, astrocytes, neurones excitateurs).</w:t>
      </w:r>
    </w:p>
    <w:p w14:paraId="60A912EE" w14:textId="77777777" w:rsidR="00121274" w:rsidRDefault="00000000" w:rsidP="00EF78CD">
      <w:pPr>
        <w:pStyle w:val="Titre2"/>
        <w:spacing w:after="0" w:line="240" w:lineRule="auto"/>
        <w:ind w:left="483" w:hanging="498"/>
      </w:pPr>
      <w:r>
        <w:t xml:space="preserve">Approche analytique globale </w:t>
      </w:r>
    </w:p>
    <w:p w14:paraId="27DB9B5B" w14:textId="2EE3C442" w:rsidR="00035065" w:rsidRDefault="00000000" w:rsidP="00EF78CD">
      <w:pPr>
        <w:spacing w:after="0" w:line="240" w:lineRule="auto"/>
        <w:ind w:left="-5" w:right="35"/>
      </w:pPr>
      <w:r>
        <w:t xml:space="preserve">Le pipeline analytique a été structuré en 4 notebooks </w:t>
      </w:r>
      <w:r w:rsidRPr="00925035">
        <w:rPr>
          <w:i/>
          <w:iCs/>
        </w:rPr>
        <w:t>Jupyter</w:t>
      </w:r>
      <w:r>
        <w:t xml:space="preserve"> modulaires et séquentiels</w:t>
      </w:r>
      <w:r w:rsidR="00925035">
        <w:t xml:space="preserve"> (</w:t>
      </w:r>
      <w:r w:rsidR="00925035" w:rsidRPr="00925035">
        <w:rPr>
          <w:i/>
          <w:iCs/>
        </w:rPr>
        <w:t>IDE VSCode</w:t>
      </w:r>
      <w:r w:rsidR="00925035">
        <w:t>)</w:t>
      </w:r>
      <w:r>
        <w:t xml:space="preserve">, combinant des outils </w:t>
      </w:r>
      <w:r w:rsidRPr="00B02C2F">
        <w:rPr>
          <w:b/>
          <w:bCs/>
        </w:rPr>
        <w:t>Python</w:t>
      </w:r>
      <w:r>
        <w:t xml:space="preserve"> (</w:t>
      </w:r>
      <w:r w:rsidRPr="00925035">
        <w:rPr>
          <w:i/>
          <w:iCs/>
        </w:rPr>
        <w:t>Scanpy</w:t>
      </w:r>
      <w:r>
        <w:t xml:space="preserve"> pour le prétraitement, clustering et annotation) et </w:t>
      </w:r>
      <w:r w:rsidRPr="00B02C2F">
        <w:rPr>
          <w:b/>
          <w:bCs/>
        </w:rPr>
        <w:t>R</w:t>
      </w:r>
      <w:r>
        <w:t xml:space="preserve"> (</w:t>
      </w:r>
      <w:r w:rsidRPr="00B02C2F">
        <w:rPr>
          <w:i/>
          <w:iCs/>
        </w:rPr>
        <w:t>DESeq2</w:t>
      </w:r>
      <w:r>
        <w:t xml:space="preserve"> pour l'analyse différentielle</w:t>
      </w:r>
      <w:r w:rsidR="00B02C2F">
        <w:t>,</w:t>
      </w:r>
      <w:r>
        <w:t xml:space="preserve"> </w:t>
      </w:r>
      <w:r w:rsidRPr="00B02C2F">
        <w:rPr>
          <w:i/>
          <w:iCs/>
        </w:rPr>
        <w:t>clusterProfiler</w:t>
      </w:r>
      <w:r>
        <w:t xml:space="preserve"> pour l'enrichissement fonctionnel).</w:t>
      </w:r>
    </w:p>
    <w:p w14:paraId="51482946" w14:textId="7709A55E" w:rsidR="00121274" w:rsidRDefault="00000000" w:rsidP="004B5C14">
      <w:pPr>
        <w:spacing w:after="0" w:line="240" w:lineRule="auto"/>
        <w:ind w:left="-5" w:right="35"/>
      </w:pPr>
      <w:r>
        <w:t xml:space="preserve">Le cœur de la stratégie méthodologique repose sur l'approche </w:t>
      </w:r>
      <w:r w:rsidRPr="00CD3FE6">
        <w:rPr>
          <w:b/>
          <w:bCs/>
        </w:rPr>
        <w:t>pseudobulk</w:t>
      </w:r>
      <w:r>
        <w:t xml:space="preserve">, où les comptages de transcrits bruts sont agrégés par donneur et par type cellulaire avant l'analyse différentielle. Cette méthode corrige le problème de </w:t>
      </w:r>
      <w:r w:rsidR="00CD3FE6">
        <w:t>pseudo-réplication</w:t>
      </w:r>
      <w:r>
        <w:t xml:space="preserve"> inhérent aux données single-cell (où les milliers de cellules d'un même donneur ne sont pas des réplicas biologiques </w:t>
      </w:r>
      <w:r w:rsidRPr="004B5C14">
        <w:t>indépendants</w:t>
      </w:r>
      <w:r>
        <w:t>) et permet d'utiliser les méthodes statistiques développées pour le bulk RNA-seq (</w:t>
      </w:r>
      <w:r w:rsidRPr="004B5C14">
        <w:rPr>
          <w:i/>
          <w:iCs/>
        </w:rPr>
        <w:t>DESeq2</w:t>
      </w:r>
      <w:r>
        <w:t xml:space="preserve">, </w:t>
      </w:r>
      <w:r w:rsidRPr="004B5C14">
        <w:rPr>
          <w:i/>
          <w:iCs/>
        </w:rPr>
        <w:t>limma/voom</w:t>
      </w:r>
      <w:r>
        <w:t>).</w:t>
      </w:r>
    </w:p>
    <w:p w14:paraId="218FA655" w14:textId="77777777" w:rsidR="005B7B07" w:rsidRDefault="00000000" w:rsidP="00971218">
      <w:pPr>
        <w:tabs>
          <w:tab w:val="left" w:pos="851"/>
        </w:tabs>
        <w:spacing w:after="0" w:line="240" w:lineRule="auto"/>
        <w:ind w:left="567" w:right="2278"/>
        <w:rPr>
          <w:rFonts w:ascii="Century Gothic" w:eastAsia="Century Gothic" w:hAnsi="Century Gothic" w:cs="Century Gothic"/>
          <w:b/>
          <w:color w:val="1A5490"/>
          <w:sz w:val="18"/>
        </w:rPr>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Pipeline modulaire et reproductibilité </w:t>
      </w:r>
    </w:p>
    <w:p w14:paraId="58644316" w14:textId="7B384EC4" w:rsidR="00121274" w:rsidRDefault="00000000" w:rsidP="00971218">
      <w:pPr>
        <w:tabs>
          <w:tab w:val="left" w:pos="851"/>
        </w:tabs>
        <w:spacing w:after="0" w:line="240" w:lineRule="auto"/>
        <w:ind w:left="567" w:right="2278"/>
      </w:pPr>
      <w:r>
        <w:rPr>
          <w:rFonts w:ascii="Century Gothic" w:eastAsia="Century Gothic" w:hAnsi="Century Gothic" w:cs="Century Gothic"/>
          <w:color w:val="1A5490"/>
          <w:sz w:val="18"/>
        </w:rPr>
        <w:t>Le projet a été organisé en 4 notebooks Jupyter successifs</w:t>
      </w:r>
      <w:r w:rsidR="00A642F2">
        <w:rPr>
          <w:rFonts w:ascii="Century Gothic" w:eastAsia="Century Gothic" w:hAnsi="Century Gothic" w:cs="Century Gothic"/>
          <w:color w:val="1A5490"/>
          <w:sz w:val="18"/>
        </w:rPr>
        <w:t xml:space="preserve"> + 1 script R</w:t>
      </w:r>
      <w:r>
        <w:rPr>
          <w:rFonts w:ascii="Century Gothic" w:eastAsia="Century Gothic" w:hAnsi="Century Gothic" w:cs="Century Gothic"/>
          <w:color w:val="1A5490"/>
          <w:sz w:val="18"/>
        </w:rPr>
        <w:t xml:space="preserve"> : </w:t>
      </w:r>
    </w:p>
    <w:p w14:paraId="196E88F9" w14:textId="123DE7B5" w:rsidR="00121274" w:rsidRPr="005B7B07" w:rsidRDefault="005B7B07" w:rsidP="00971218">
      <w:pPr>
        <w:numPr>
          <w:ilvl w:val="0"/>
          <w:numId w:val="3"/>
        </w:numPr>
        <w:tabs>
          <w:tab w:val="left" w:pos="851"/>
        </w:tabs>
        <w:spacing w:after="0" w:line="240" w:lineRule="auto"/>
        <w:ind w:left="567" w:right="0"/>
      </w:pPr>
      <w:r w:rsidRPr="005B7B07">
        <w:rPr>
          <w:rFonts w:ascii="Century Gothic" w:eastAsia="Century Gothic" w:hAnsi="Century Gothic" w:cs="Century Gothic"/>
          <w:color w:val="1A5490"/>
          <w:sz w:val="18"/>
        </w:rPr>
        <w:t>Réduction du</w:t>
      </w:r>
      <w:r>
        <w:rPr>
          <w:rFonts w:ascii="Century Gothic" w:eastAsia="Century Gothic" w:hAnsi="Century Gothic" w:cs="Century Gothic"/>
          <w:color w:val="1A5490"/>
          <w:sz w:val="18"/>
        </w:rPr>
        <w:t xml:space="preserve"> </w:t>
      </w:r>
      <w:r w:rsidRPr="005B7B07">
        <w:rPr>
          <w:rFonts w:ascii="Century Gothic" w:eastAsia="Century Gothic" w:hAnsi="Century Gothic" w:cs="Century Gothic"/>
          <w:color w:val="1A5490"/>
          <w:sz w:val="18"/>
        </w:rPr>
        <w:t xml:space="preserve">dataset : QC cellulaire </w:t>
      </w:r>
      <w:r>
        <w:rPr>
          <w:rFonts w:ascii="Century Gothic" w:eastAsia="Century Gothic" w:hAnsi="Century Gothic" w:cs="Century Gothic"/>
          <w:color w:val="1A5490"/>
          <w:sz w:val="18"/>
        </w:rPr>
        <w:t>+</w:t>
      </w:r>
      <w:r w:rsidRPr="005B7B07">
        <w:rPr>
          <w:rFonts w:ascii="Century Gothic" w:eastAsia="Century Gothic" w:hAnsi="Century Gothic" w:cs="Century Gothic"/>
          <w:color w:val="1A5490"/>
          <w:sz w:val="18"/>
        </w:rPr>
        <w:t xml:space="preserve"> sélection de cohorte → </w:t>
      </w:r>
      <w:r w:rsidRPr="00647A77">
        <w:rPr>
          <w:rFonts w:ascii="Century Gothic" w:eastAsia="Century Gothic" w:hAnsi="Century Gothic" w:cs="Century Gothic"/>
          <w:i/>
          <w:iCs/>
          <w:color w:val="1A5490"/>
          <w:sz w:val="18"/>
        </w:rPr>
        <w:t>filtered dataset</w:t>
      </w:r>
      <w:r>
        <w:rPr>
          <w:rFonts w:ascii="Century Gothic" w:eastAsia="Century Gothic" w:hAnsi="Century Gothic" w:cs="Century Gothic"/>
          <w:color w:val="1A5490"/>
          <w:sz w:val="18"/>
        </w:rPr>
        <w:t>.</w:t>
      </w:r>
    </w:p>
    <w:p w14:paraId="4089741A" w14:textId="1F2F4F92"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S</w:t>
      </w:r>
      <w:r w:rsidRPr="002434EB">
        <w:rPr>
          <w:rFonts w:ascii="Century Gothic" w:eastAsia="Century Gothic" w:hAnsi="Century Gothic" w:cs="Century Gothic"/>
          <w:color w:val="1A5490"/>
          <w:sz w:val="18"/>
          <w:lang w:val="en-US"/>
        </w:rPr>
        <w:t>ingle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cell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pipeline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Normalisation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HVG </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PCA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UMAP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Leiden → </w:t>
      </w:r>
      <w:r w:rsidRPr="00D87044">
        <w:rPr>
          <w:rFonts w:ascii="Century Gothic" w:eastAsia="Century Gothic" w:hAnsi="Century Gothic" w:cs="Century Gothic"/>
          <w:i/>
          <w:iCs/>
          <w:color w:val="1A5490"/>
          <w:sz w:val="18"/>
          <w:lang w:val="en-US"/>
        </w:rPr>
        <w:t>cleaned dataset</w:t>
      </w:r>
      <w:r>
        <w:rPr>
          <w:rFonts w:ascii="Century Gothic" w:eastAsia="Century Gothic" w:hAnsi="Century Gothic" w:cs="Century Gothic"/>
          <w:color w:val="1A5490"/>
          <w:sz w:val="18"/>
          <w:lang w:val="en-US"/>
        </w:rPr>
        <w:t>.</w:t>
      </w:r>
    </w:p>
    <w:p w14:paraId="7437D366" w14:textId="4885A139"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A</w:t>
      </w:r>
      <w:r w:rsidRPr="002434EB">
        <w:rPr>
          <w:rFonts w:ascii="Century Gothic" w:eastAsia="Century Gothic" w:hAnsi="Century Gothic" w:cs="Century Gothic"/>
          <w:color w:val="1A5490"/>
          <w:sz w:val="18"/>
          <w:lang w:val="en-US"/>
        </w:rPr>
        <w:t>nnotation</w:t>
      </w:r>
      <w:r>
        <w:rPr>
          <w:rFonts w:ascii="Century Gothic" w:eastAsia="Century Gothic" w:hAnsi="Century Gothic" w:cs="Century Gothic"/>
          <w:color w:val="1A5490"/>
          <w:sz w:val="18"/>
          <w:lang w:val="en-US"/>
        </w:rPr>
        <w:t xml:space="preserve"> des </w:t>
      </w:r>
      <w:r w:rsidR="00EF592E">
        <w:rPr>
          <w:rFonts w:ascii="Century Gothic" w:eastAsia="Century Gothic" w:hAnsi="Century Gothic" w:cs="Century Gothic"/>
          <w:color w:val="1A5490"/>
          <w:sz w:val="18"/>
          <w:lang w:val="en-US"/>
        </w:rPr>
        <w:t>c</w:t>
      </w:r>
      <w:r w:rsidRPr="002434EB">
        <w:rPr>
          <w:rFonts w:ascii="Century Gothic" w:eastAsia="Century Gothic" w:hAnsi="Century Gothic" w:cs="Century Gothic"/>
          <w:color w:val="1A5490"/>
          <w:sz w:val="18"/>
          <w:lang w:val="en-US"/>
        </w:rPr>
        <w:t>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type</w:t>
      </w:r>
      <w:r w:rsidR="00EF592E">
        <w:rPr>
          <w:rFonts w:ascii="Century Gothic" w:eastAsia="Century Gothic" w:hAnsi="Century Gothic" w:cs="Century Gothic"/>
          <w:color w:val="1A5490"/>
          <w:sz w:val="18"/>
          <w:lang w:val="en-US"/>
        </w:rPr>
        <w:t>s</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Annotation </w:t>
      </w:r>
      <w:r w:rsidR="00EF592E">
        <w:rPr>
          <w:rFonts w:ascii="Century Gothic" w:eastAsia="Century Gothic" w:hAnsi="Century Gothic" w:cs="Century Gothic"/>
          <w:color w:val="1A5490"/>
          <w:sz w:val="18"/>
          <w:lang w:val="en-US"/>
        </w:rPr>
        <w:t xml:space="preserve">manuelle </w:t>
      </w:r>
      <w:r w:rsidRPr="002434EB">
        <w:rPr>
          <w:rFonts w:ascii="Century Gothic" w:eastAsia="Century Gothic" w:hAnsi="Century Gothic" w:cs="Century Gothic"/>
          <w:color w:val="1A5490"/>
          <w:sz w:val="18"/>
          <w:lang w:val="en-US"/>
        </w:rPr>
        <w:t>23 clusters</w:t>
      </w:r>
      <w:r w:rsidR="00EF592E">
        <w:rPr>
          <w:rFonts w:ascii="Century Gothic" w:eastAsia="Century Gothic" w:hAnsi="Century Gothic" w:cs="Century Gothic"/>
          <w:color w:val="1A5490"/>
          <w:sz w:val="18"/>
          <w:lang w:val="en-US"/>
        </w:rPr>
        <w:t>/</w:t>
      </w:r>
      <w:r w:rsidRPr="002434EB">
        <w:rPr>
          <w:rFonts w:ascii="Century Gothic" w:eastAsia="Century Gothic" w:hAnsi="Century Gothic" w:cs="Century Gothic"/>
          <w:color w:val="1A5490"/>
          <w:sz w:val="18"/>
          <w:lang w:val="en-US"/>
        </w:rPr>
        <w:t xml:space="preserve">8 macro-types → </w:t>
      </w:r>
      <w:r w:rsidRPr="00D87044">
        <w:rPr>
          <w:rFonts w:ascii="Century Gothic" w:eastAsia="Century Gothic" w:hAnsi="Century Gothic" w:cs="Century Gothic"/>
          <w:i/>
          <w:iCs/>
          <w:color w:val="1A5490"/>
          <w:sz w:val="18"/>
          <w:lang w:val="en-US"/>
        </w:rPr>
        <w:t>annotated</w:t>
      </w:r>
      <w:r w:rsidR="0006416F" w:rsidRPr="00D87044">
        <w:rPr>
          <w:rFonts w:ascii="Century Gothic" w:eastAsia="Century Gothic" w:hAnsi="Century Gothic" w:cs="Century Gothic"/>
          <w:i/>
          <w:iCs/>
          <w:color w:val="1A5490"/>
          <w:sz w:val="18"/>
          <w:lang w:val="en-US"/>
        </w:rPr>
        <w:t xml:space="preserve"> </w:t>
      </w:r>
      <w:r w:rsidR="00EF592E" w:rsidRPr="00D87044">
        <w:rPr>
          <w:rFonts w:ascii="Century Gothic" w:eastAsia="Century Gothic" w:hAnsi="Century Gothic" w:cs="Century Gothic"/>
          <w:i/>
          <w:iCs/>
          <w:color w:val="1A5490"/>
          <w:sz w:val="18"/>
          <w:lang w:val="en-US"/>
        </w:rPr>
        <w:t>dataset</w:t>
      </w:r>
      <w:r w:rsidR="00EF592E">
        <w:rPr>
          <w:rFonts w:ascii="Century Gothic" w:eastAsia="Century Gothic" w:hAnsi="Century Gothic" w:cs="Century Gothic"/>
          <w:color w:val="1A5490"/>
          <w:sz w:val="18"/>
          <w:lang w:val="en-US"/>
        </w:rPr>
        <w:t>.</w:t>
      </w:r>
    </w:p>
    <w:p w14:paraId="1CB5D49C" w14:textId="42D51F0D" w:rsidR="00121274" w:rsidRDefault="00105EEC" w:rsidP="00971218">
      <w:pPr>
        <w:numPr>
          <w:ilvl w:val="0"/>
          <w:numId w:val="3"/>
        </w:numPr>
        <w:tabs>
          <w:tab w:val="left" w:pos="851"/>
        </w:tabs>
        <w:spacing w:after="0" w:line="240" w:lineRule="auto"/>
        <w:ind w:left="567" w:right="0"/>
      </w:pPr>
      <w:r>
        <w:rPr>
          <w:rFonts w:ascii="Century Gothic" w:eastAsia="Century Gothic" w:hAnsi="Century Gothic" w:cs="Century Gothic"/>
          <w:color w:val="1A5490"/>
          <w:sz w:val="18"/>
        </w:rPr>
        <w:t>Préparation pour R : Agrégation pseudobulk + filtre</w:t>
      </w:r>
      <w:r w:rsidR="003957C3">
        <w:rPr>
          <w:rFonts w:ascii="Century Gothic" w:eastAsia="Century Gothic" w:hAnsi="Century Gothic" w:cs="Century Gothic"/>
          <w:color w:val="1A5490"/>
          <w:sz w:val="18"/>
        </w:rPr>
        <w:t xml:space="preserve"> «</w:t>
      </w:r>
      <w:r w:rsidR="003957C3" w:rsidRPr="003957C3">
        <w:rPr>
          <w:rFonts w:ascii="Century Gothic" w:eastAsia="Century Gothic" w:hAnsi="Century Gothic" w:cs="Century Gothic"/>
          <w:color w:val="1A5490"/>
          <w:sz w:val="18"/>
        </w:rPr>
        <w:t>Low-Expression</w:t>
      </w:r>
      <w:r w:rsidR="003957C3">
        <w:rPr>
          <w:rFonts w:ascii="Century Gothic" w:eastAsia="Century Gothic" w:hAnsi="Century Gothic" w:cs="Century Gothic"/>
          <w:color w:val="1A5490"/>
          <w:sz w:val="18"/>
        </w:rPr>
        <w:t>»</w:t>
      </w:r>
      <w:r>
        <w:rPr>
          <w:rFonts w:ascii="Century Gothic" w:eastAsia="Century Gothic" w:hAnsi="Century Gothic" w:cs="Century Gothic"/>
          <w:color w:val="1A5490"/>
          <w:sz w:val="18"/>
        </w:rPr>
        <w:t xml:space="preserve"> → </w:t>
      </w:r>
      <w:r w:rsidRPr="00105EEC">
        <w:rPr>
          <w:rFonts w:ascii="Century Gothic" w:eastAsia="Century Gothic" w:hAnsi="Century Gothic" w:cs="Century Gothic"/>
          <w:i/>
          <w:iCs/>
          <w:color w:val="1A5490"/>
          <w:sz w:val="18"/>
        </w:rPr>
        <w:t>exports CSV pour R</w:t>
      </w:r>
      <w:r>
        <w:rPr>
          <w:rFonts w:ascii="Century Gothic" w:eastAsia="Century Gothic" w:hAnsi="Century Gothic" w:cs="Century Gothic"/>
          <w:color w:val="1A5490"/>
          <w:sz w:val="18"/>
        </w:rPr>
        <w:t xml:space="preserve"> </w:t>
      </w:r>
    </w:p>
    <w:p w14:paraId="03D29168" w14:textId="77777777" w:rsidR="00014355" w:rsidRPr="00014355" w:rsidRDefault="00014355" w:rsidP="00971218">
      <w:pPr>
        <w:numPr>
          <w:ilvl w:val="0"/>
          <w:numId w:val="3"/>
        </w:numPr>
        <w:tabs>
          <w:tab w:val="left" w:pos="851"/>
        </w:tabs>
        <w:spacing w:after="0" w:line="240" w:lineRule="auto"/>
        <w:ind w:left="567" w:right="0"/>
        <w:rPr>
          <w:rFonts w:ascii="Century Gothic" w:eastAsia="Century Gothic" w:hAnsi="Century Gothic" w:cs="Century Gothic"/>
          <w:color w:val="1A5490"/>
          <w:sz w:val="18"/>
        </w:rPr>
      </w:pPr>
      <w:r w:rsidRPr="00014355">
        <w:rPr>
          <w:rFonts w:ascii="Century Gothic" w:eastAsia="Century Gothic" w:hAnsi="Century Gothic" w:cs="Century Gothic"/>
          <w:color w:val="1A5490"/>
          <w:sz w:val="18"/>
        </w:rPr>
        <w:t xml:space="preserve">R : Analyse différentielle (Limma-Voom) + Enrichissement fonctionnel (GSEA/ORA) → </w:t>
      </w:r>
      <w:r w:rsidRPr="00971218">
        <w:rPr>
          <w:rFonts w:ascii="Century Gothic" w:eastAsia="Century Gothic" w:hAnsi="Century Gothic" w:cs="Century Gothic"/>
          <w:i/>
          <w:iCs/>
          <w:color w:val="1A5490"/>
          <w:sz w:val="18"/>
        </w:rPr>
        <w:t>Résultats biologiques finaux</w:t>
      </w:r>
      <w:r w:rsidRPr="00014355">
        <w:rPr>
          <w:rFonts w:ascii="Century Gothic" w:eastAsia="Century Gothic" w:hAnsi="Century Gothic" w:cs="Century Gothic"/>
          <w:color w:val="1A5490"/>
          <w:sz w:val="18"/>
        </w:rPr>
        <w:t>.</w:t>
      </w:r>
    </w:p>
    <w:p w14:paraId="4361B5DA" w14:textId="4A56ED18" w:rsidR="00121274" w:rsidRDefault="00000000" w:rsidP="00971218">
      <w:pPr>
        <w:tabs>
          <w:tab w:val="left" w:pos="851"/>
        </w:tabs>
        <w:spacing w:after="0" w:line="240" w:lineRule="auto"/>
        <w:ind w:left="567" w:right="21"/>
      </w:pPr>
      <w:r>
        <w:rPr>
          <w:rFonts w:ascii="Century Gothic" w:eastAsia="Century Gothic" w:hAnsi="Century Gothic" w:cs="Century Gothic"/>
          <w:color w:val="1A5490"/>
          <w:sz w:val="18"/>
        </w:rPr>
        <w:t>Chaque notebook prend en entrée le fichier .h5ad de l'étape précédente, effectue une transformation précise, et exporte un nouveau fichier pour l'étape suivante. Analogie : Une chaîne de montage automobile où chaque station (QC, peinture, assemblage) effectue une tâche spécialisée avant de passer le produit à la station suivante. Cette modularité garantit la reproductibilité, facilite le débogage et permet de relancer le pipeline à partir de n'importe quelle étape intermédiaire.</w:t>
      </w:r>
      <w:r>
        <w:t xml:space="preserve"> </w:t>
      </w:r>
    </w:p>
    <w:p w14:paraId="168A33D4" w14:textId="77777777" w:rsidR="00121274" w:rsidRDefault="00000000" w:rsidP="00EF78CD">
      <w:pPr>
        <w:pStyle w:val="Titre1"/>
        <w:spacing w:after="0" w:line="240" w:lineRule="auto"/>
        <w:ind w:left="305" w:hanging="320"/>
      </w:pPr>
      <w:r>
        <w:lastRenderedPageBreak/>
        <w:t xml:space="preserve">Matériel et Méthodes </w:t>
      </w:r>
    </w:p>
    <w:p w14:paraId="770A9046" w14:textId="68DAF225" w:rsidR="0030262D" w:rsidRPr="0030262D" w:rsidRDefault="0030262D" w:rsidP="0030262D">
      <w:pPr>
        <w:jc w:val="center"/>
      </w:pPr>
      <w:r>
        <w:rPr>
          <w:noProof/>
        </w:rPr>
        <w:drawing>
          <wp:inline distT="0" distB="0" distL="0" distR="0" wp14:anchorId="32885BDF" wp14:editId="224A3362">
            <wp:extent cx="5998210" cy="2996565"/>
            <wp:effectExtent l="0" t="0" r="2540" b="0"/>
            <wp:docPr id="63293109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1093" name="Image 1" descr="Une image contenant texte, capture d’écran, Police, nombre&#10;&#10;Le contenu généré par l’IA peut être incorrect."/>
                    <pic:cNvPicPr/>
                  </pic:nvPicPr>
                  <pic:blipFill>
                    <a:blip r:embed="rId22"/>
                    <a:stretch>
                      <a:fillRect/>
                    </a:stretch>
                  </pic:blipFill>
                  <pic:spPr>
                    <a:xfrm>
                      <a:off x="0" y="0"/>
                      <a:ext cx="5998210" cy="2996565"/>
                    </a:xfrm>
                    <a:prstGeom prst="rect">
                      <a:avLst/>
                    </a:prstGeom>
                  </pic:spPr>
                </pic:pic>
              </a:graphicData>
            </a:graphic>
          </wp:inline>
        </w:drawing>
      </w:r>
    </w:p>
    <w:p w14:paraId="4EF3185E" w14:textId="22D0A8D6" w:rsidR="00121274" w:rsidRDefault="004F72F0" w:rsidP="00EF78CD">
      <w:pPr>
        <w:spacing w:after="0" w:line="240" w:lineRule="auto"/>
        <w:ind w:right="41"/>
        <w:jc w:val="center"/>
      </w:pPr>
      <w:r>
        <w:rPr>
          <w:noProof/>
        </w:rPr>
        <w:drawing>
          <wp:inline distT="0" distB="0" distL="0" distR="0" wp14:anchorId="39E9E57F" wp14:editId="11640A7A">
            <wp:extent cx="5998210" cy="1849120"/>
            <wp:effectExtent l="0" t="0" r="2540" b="0"/>
            <wp:docPr id="689032749" name="Image 1" descr="Une image contenant texte, Polic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2749" name="Image 1" descr="Une image contenant texte, Police, capture d’écran, reçu&#10;&#10;Le contenu généré par l’IA peut être incorrect."/>
                    <pic:cNvPicPr/>
                  </pic:nvPicPr>
                  <pic:blipFill>
                    <a:blip r:embed="rId23"/>
                    <a:stretch>
                      <a:fillRect/>
                    </a:stretch>
                  </pic:blipFill>
                  <pic:spPr>
                    <a:xfrm>
                      <a:off x="0" y="0"/>
                      <a:ext cx="5998210" cy="1849120"/>
                    </a:xfrm>
                    <a:prstGeom prst="rect">
                      <a:avLst/>
                    </a:prstGeom>
                  </pic:spPr>
                </pic:pic>
              </a:graphicData>
            </a:graphic>
          </wp:inline>
        </w:drawing>
      </w:r>
    </w:p>
    <w:p w14:paraId="5D6E7061" w14:textId="77777777" w:rsidR="00647A77" w:rsidRDefault="00647A77" w:rsidP="00647A77">
      <w:pPr>
        <w:pStyle w:val="Titre2"/>
        <w:spacing w:after="0" w:line="240" w:lineRule="auto"/>
        <w:ind w:left="483" w:hanging="498"/>
      </w:pPr>
      <w:r>
        <w:t xml:space="preserve">Contrôle qualité (QC) et filtration cellulaire </w:t>
      </w:r>
    </w:p>
    <w:p w14:paraId="70DA3491" w14:textId="77777777" w:rsidR="00647A77" w:rsidRDefault="00647A77" w:rsidP="00647A77">
      <w:pPr>
        <w:spacing w:after="0" w:line="240" w:lineRule="auto"/>
        <w:ind w:left="0" w:right="0" w:firstLine="0"/>
        <w:jc w:val="left"/>
      </w:pPr>
      <w:r>
        <w:t xml:space="preserve">Les métriques de qualité cellulaire suivantes ont été calculées sur les comptages bruts (avant normalisation) : </w:t>
      </w:r>
    </w:p>
    <w:p w14:paraId="7E1F9E20" w14:textId="77777777" w:rsidR="00647A77" w:rsidRDefault="00647A77" w:rsidP="00647A77">
      <w:pPr>
        <w:pStyle w:val="Paragraphedeliste"/>
        <w:numPr>
          <w:ilvl w:val="0"/>
          <w:numId w:val="28"/>
        </w:numPr>
        <w:spacing w:after="0" w:line="240" w:lineRule="auto"/>
        <w:ind w:left="567" w:right="0" w:hanging="11"/>
        <w:jc w:val="left"/>
      </w:pPr>
      <w:r>
        <w:t xml:space="preserve">n_genes_by_counts : Nombre de gènes détectés par noyau (au moins 1 comptage UMI) • n_counts (total_counts) : Nombre total de transcrits UMI capturés par noyau (profondeur de séquençage) </w:t>
      </w:r>
    </w:p>
    <w:p w14:paraId="1E0230C8" w14:textId="77777777" w:rsidR="00647A77" w:rsidRDefault="00647A77" w:rsidP="00647A77">
      <w:pPr>
        <w:pStyle w:val="Paragraphedeliste"/>
        <w:numPr>
          <w:ilvl w:val="0"/>
          <w:numId w:val="28"/>
        </w:numPr>
        <w:spacing w:after="0" w:line="240" w:lineRule="auto"/>
        <w:ind w:left="567" w:right="0" w:hanging="11"/>
        <w:jc w:val="left"/>
      </w:pPr>
      <w:r>
        <w:t xml:space="preserve">pct_counts_mt : Pourcentage de comptages mitochondriaux (indicateur de stress cellulaire ou mort) </w:t>
      </w:r>
    </w:p>
    <w:p w14:paraId="55162592" w14:textId="77777777" w:rsidR="00647A77" w:rsidRDefault="00647A77" w:rsidP="00647A77">
      <w:pPr>
        <w:spacing w:after="0" w:line="240" w:lineRule="auto"/>
        <w:ind w:left="0" w:right="0" w:firstLine="0"/>
        <w:jc w:val="left"/>
      </w:pPr>
      <w:r>
        <w:t xml:space="preserve">Seuils de filtration appliqués (basés sur les distributions observées, Figure 3) : </w:t>
      </w:r>
    </w:p>
    <w:p w14:paraId="4DAC45BA" w14:textId="77777777" w:rsidR="00647A77" w:rsidRPr="00647A77" w:rsidRDefault="00647A77" w:rsidP="00647A77">
      <w:pPr>
        <w:spacing w:after="0" w:line="240" w:lineRule="auto"/>
        <w:ind w:left="0" w:right="0" w:firstLine="0"/>
        <w:jc w:val="left"/>
        <w:rPr>
          <w:lang w:val="en-US"/>
        </w:rPr>
      </w:pPr>
      <w:r w:rsidRPr="00647A77">
        <w:rPr>
          <w:lang w:val="en-US"/>
        </w:rPr>
        <w:t xml:space="preserve">1 000 ≤ n_genes_by_counts ≤ 6 000 </w:t>
      </w:r>
    </w:p>
    <w:p w14:paraId="64FBDBCA" w14:textId="77777777" w:rsidR="00647A77" w:rsidRPr="00647A77" w:rsidRDefault="00647A77" w:rsidP="00647A77">
      <w:pPr>
        <w:spacing w:after="0" w:line="240" w:lineRule="auto"/>
        <w:ind w:left="0" w:right="0" w:firstLine="0"/>
        <w:jc w:val="left"/>
        <w:rPr>
          <w:lang w:val="en-US"/>
        </w:rPr>
      </w:pPr>
      <w:r w:rsidRPr="00647A77">
        <w:rPr>
          <w:lang w:val="en-US"/>
        </w:rPr>
        <w:t xml:space="preserve">pct_counts_mt ≤ 5% </w:t>
      </w:r>
    </w:p>
    <w:p w14:paraId="2D2BD1D0" w14:textId="77777777" w:rsidR="00647A77" w:rsidRDefault="00647A77" w:rsidP="00647A77">
      <w:pPr>
        <w:spacing w:after="0" w:line="240" w:lineRule="auto"/>
        <w:ind w:left="0" w:right="0" w:firstLine="0"/>
        <w:jc w:val="left"/>
      </w:pPr>
      <w:r>
        <w:t xml:space="preserve">Résultat du filtrage QC : 285 076 noyaux (pré-filtrés) → 243 011 noyaux (post-QC) → Rétention de 85,3% </w:t>
      </w:r>
    </w:p>
    <w:p w14:paraId="051CF4F4" w14:textId="77777777" w:rsidR="00647A77" w:rsidRDefault="00647A77" w:rsidP="00647A77">
      <w:pPr>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Interprétation des seuils de qualité </w:t>
      </w:r>
    </w:p>
    <w:p w14:paraId="42EDE6B1"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&lt; 1 000 : Noyau vide, débris cellulaires ou capture technique échouée. Ces objets ne contiennent pas assez d'information biologique exploitable. </w:t>
      </w:r>
    </w:p>
    <w:p w14:paraId="3BB7FB07"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&gt; 6 000 : Probable doublet (deux noyaux collés comptés comme un seul objet). Les doublets faussent l'analyse en créant des 'cellules artificielles' avec un profil d'expression hybride. </w:t>
      </w:r>
    </w:p>
    <w:p w14:paraId="1C261682"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pct_counts_mt &gt; 5% : Dans le bulk RNA-seq classique, des valeurs élevées (&gt;10-20%) indiquent des cellules stressées ou apoptotiques (fuite de l'ARN nucléaire, enrichissement relatif des transcrits </w:t>
      </w:r>
      <w:r>
        <w:rPr>
          <w:rFonts w:ascii="Century Gothic" w:eastAsia="Century Gothic" w:hAnsi="Century Gothic" w:cs="Century Gothic"/>
          <w:color w:val="1A5490"/>
          <w:sz w:val="18"/>
        </w:rPr>
        <w:lastRenderedPageBreak/>
        <w:t>mitochondriaux). ATTENTION : En snRNA-seq (séquençage de noyaux), pct_counts_mt est naturellement très faible (~0%) car les mitochondries (organites cytoplasmiques) ne sont PAS capturées avec les noyaux. Un seuil strict à 5% élimine les rares contaminations cytoplasmiques.</w:t>
      </w:r>
      <w:r>
        <w:t xml:space="preserve"> </w:t>
      </w:r>
    </w:p>
    <w:p w14:paraId="7C3A4055" w14:textId="77777777" w:rsidR="00647A77" w:rsidRDefault="00647A77" w:rsidP="00647A77">
      <w:pPr>
        <w:spacing w:after="0" w:line="240" w:lineRule="auto"/>
        <w:ind w:left="0" w:right="0" w:firstLine="0"/>
        <w:jc w:val="right"/>
      </w:pPr>
      <w:r>
        <w:rPr>
          <w:noProof/>
        </w:rPr>
        <w:drawing>
          <wp:inline distT="0" distB="0" distL="0" distR="0" wp14:anchorId="0CDEE98F" wp14:editId="0743C5E1">
            <wp:extent cx="5943600" cy="1651000"/>
            <wp:effectExtent l="0" t="0" r="0" b="0"/>
            <wp:docPr id="853" name="Picture 853" descr="Une image contenant texte, capture d’écran, Tracé,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853" name="Picture 853" descr="Une image contenant texte, capture d’écran, Tracé, diagramme&#10;&#10;Le contenu généré par l’IA peut être incorrect."/>
                    <pic:cNvPicPr/>
                  </pic:nvPicPr>
                  <pic:blipFill>
                    <a:blip r:embed="rId24"/>
                    <a:stretch>
                      <a:fillRect/>
                    </a:stretch>
                  </pic:blipFill>
                  <pic:spPr>
                    <a:xfrm>
                      <a:off x="0" y="0"/>
                      <a:ext cx="5943600" cy="1651000"/>
                    </a:xfrm>
                    <a:prstGeom prst="rect">
                      <a:avLst/>
                    </a:prstGeom>
                  </pic:spPr>
                </pic:pic>
              </a:graphicData>
            </a:graphic>
          </wp:inline>
        </w:drawing>
      </w:r>
      <w:r>
        <w:t xml:space="preserve"> </w:t>
      </w:r>
    </w:p>
    <w:p w14:paraId="61C2E52D" w14:textId="77777777" w:rsidR="00647A77" w:rsidRDefault="00647A77" w:rsidP="00647A77">
      <w:pPr>
        <w:spacing w:after="0" w:line="240" w:lineRule="auto"/>
        <w:ind w:right="0"/>
        <w:jc w:val="center"/>
      </w:pPr>
      <w:r>
        <w:rPr>
          <w:i/>
          <w:sz w:val="20"/>
        </w:rPr>
        <w:t>Figure 3. Distributions des métriques de qualité cellulaire avant filtrage (n=285 076 noyaux). Les lignes rouges indiquent les seuils de filtration appliqués.</w:t>
      </w:r>
      <w:r>
        <w:t xml:space="preserve"> </w:t>
      </w:r>
    </w:p>
    <w:p w14:paraId="5EFAAB82" w14:textId="6B583A25" w:rsidR="00121274" w:rsidRDefault="00000000" w:rsidP="00EF78CD">
      <w:pPr>
        <w:pStyle w:val="Titre2"/>
        <w:spacing w:after="0" w:line="240" w:lineRule="auto"/>
        <w:ind w:left="483" w:hanging="498"/>
      </w:pPr>
      <w:r>
        <w:t xml:space="preserve">Sélection et réduction de la cohorte </w:t>
      </w:r>
    </w:p>
    <w:p w14:paraId="51928081" w14:textId="36D632C9" w:rsidR="00121274" w:rsidRDefault="00000000" w:rsidP="002E706D">
      <w:pPr>
        <w:spacing w:after="0" w:line="240" w:lineRule="auto"/>
        <w:ind w:left="-5" w:right="35"/>
      </w:pPr>
      <w:r>
        <w:t xml:space="preserve">La cohorte a été réduite du dataset initial de 6,3 millions de noyaux </w:t>
      </w:r>
      <w:r w:rsidR="002E706D" w:rsidRPr="002E706D">
        <w:t>(693 682 après pré-filtrage technique réalisé par Lee et al. (2024) et standardisation du portail CellxGene)</w:t>
      </w:r>
      <w:r>
        <w:t xml:space="preserve"> à un ensemble analytique de 62 800 noyaux via une stratégie de filtrage en plusieurs étapes. </w:t>
      </w:r>
    </w:p>
    <w:p w14:paraId="7C58AC60" w14:textId="77777777" w:rsidR="00121274" w:rsidRDefault="00000000" w:rsidP="00EF78CD">
      <w:pPr>
        <w:pStyle w:val="Titre3"/>
        <w:spacing w:after="0" w:line="240" w:lineRule="auto"/>
        <w:ind w:left="593" w:hanging="608"/>
      </w:pPr>
      <w:r>
        <w:t xml:space="preserve">Critères d'inclusion et d'exclusion </w:t>
      </w:r>
    </w:p>
    <w:p w14:paraId="311B1798" w14:textId="6F16FA7F" w:rsidR="000A075C" w:rsidRPr="000A075C" w:rsidRDefault="006938A2" w:rsidP="000A075C">
      <w:pPr>
        <w:spacing w:after="0" w:line="240" w:lineRule="auto"/>
        <w:ind w:left="0" w:right="0" w:firstLine="0"/>
        <w:jc w:val="left"/>
      </w:pPr>
      <w:r>
        <w:rPr>
          <w:i/>
          <w:iCs/>
        </w:rPr>
        <w:t xml:space="preserve">(1) </w:t>
      </w:r>
      <w:r w:rsidR="000A075C" w:rsidRPr="000A075C">
        <w:rPr>
          <w:i/>
          <w:iCs/>
        </w:rPr>
        <w:t>Stratégie de pureté diagnostique :</w:t>
      </w:r>
      <w:r w:rsidR="000A075C" w:rsidRPr="000A075C">
        <w:t xml:space="preserve"> Afin de garantir la spécificité des signatures moléculaires, une stratégie stricte a été appliquée. Seuls les donneurs présentant un diagnostic principal unique ont été retenus :</w:t>
      </w:r>
    </w:p>
    <w:p w14:paraId="7764F9CF" w14:textId="77777777" w:rsidR="000A075C" w:rsidRPr="000A075C" w:rsidRDefault="000A075C" w:rsidP="000A075C">
      <w:pPr>
        <w:numPr>
          <w:ilvl w:val="0"/>
          <w:numId w:val="20"/>
        </w:numPr>
        <w:spacing w:after="0" w:line="240" w:lineRule="auto"/>
        <w:ind w:right="0"/>
        <w:jc w:val="left"/>
      </w:pPr>
      <w:r w:rsidRPr="000A075C">
        <w:t>Maladie d'Alzheimer pure (diagnostic confirmé, sans pathologie mixte).</w:t>
      </w:r>
    </w:p>
    <w:p w14:paraId="77D060FF" w14:textId="77777777" w:rsidR="000A075C" w:rsidRPr="000A075C" w:rsidRDefault="000A075C" w:rsidP="000A075C">
      <w:pPr>
        <w:numPr>
          <w:ilvl w:val="0"/>
          <w:numId w:val="20"/>
        </w:numPr>
        <w:spacing w:after="0" w:line="240" w:lineRule="auto"/>
        <w:ind w:right="0"/>
        <w:jc w:val="left"/>
      </w:pPr>
      <w:r w:rsidRPr="000A075C">
        <w:t>Maladie de Parkinson pure (diagnostic confirmé).</w:t>
      </w:r>
    </w:p>
    <w:p w14:paraId="10261EEF" w14:textId="77777777" w:rsidR="000A075C" w:rsidRPr="000A075C" w:rsidRDefault="000A075C" w:rsidP="000A075C">
      <w:pPr>
        <w:numPr>
          <w:ilvl w:val="0"/>
          <w:numId w:val="20"/>
        </w:numPr>
        <w:spacing w:after="0" w:line="240" w:lineRule="auto"/>
        <w:ind w:right="0"/>
        <w:jc w:val="left"/>
      </w:pPr>
      <w:r w:rsidRPr="000A075C">
        <w:t>Groupe Contrôle (neurotypiques, absence de tout diagnostic neuropsychiatrique documenté).</w:t>
      </w:r>
    </w:p>
    <w:p w14:paraId="217D79E3" w14:textId="77777777" w:rsidR="000A075C" w:rsidRPr="000A075C" w:rsidRDefault="000A075C" w:rsidP="000A075C">
      <w:pPr>
        <w:spacing w:after="0" w:line="240" w:lineRule="auto"/>
        <w:ind w:left="0" w:right="0" w:firstLine="0"/>
        <w:jc w:val="left"/>
      </w:pPr>
      <w:r w:rsidRPr="000A075C">
        <w:t>Les critères d'exclusion ont éliminé systématiquement toutes les comorbidités (démence vasculaire, diabète, tauopathies autres) ainsi que les formes mixtes (ex: co-occurence AD+PD).</w:t>
      </w:r>
    </w:p>
    <w:p w14:paraId="11015A5A" w14:textId="26753E77" w:rsidR="00121274" w:rsidRPr="006938A2" w:rsidRDefault="006938A2" w:rsidP="00EF78CD">
      <w:pPr>
        <w:tabs>
          <w:tab w:val="center" w:pos="2469"/>
          <w:tab w:val="center" w:pos="4730"/>
          <w:tab w:val="center" w:pos="7307"/>
          <w:tab w:val="right" w:pos="9447"/>
        </w:tabs>
        <w:spacing w:after="0" w:line="240" w:lineRule="auto"/>
        <w:ind w:left="-15" w:right="0" w:firstLine="0"/>
        <w:jc w:val="left"/>
        <w:rPr>
          <w:i/>
          <w:iCs/>
        </w:rPr>
      </w:pPr>
      <w:r>
        <w:rPr>
          <w:i/>
          <w:iCs/>
        </w:rPr>
        <w:t xml:space="preserve">(1) </w:t>
      </w:r>
      <w:r w:rsidRPr="006938A2">
        <w:rPr>
          <w:i/>
          <w:iCs/>
        </w:rPr>
        <w:t xml:space="preserve">Filtrage par ascendance génétique : </w:t>
      </w:r>
    </w:p>
    <w:p w14:paraId="7BF3F5B9" w14:textId="77777777" w:rsidR="00121274" w:rsidRDefault="00000000" w:rsidP="006938A2">
      <w:pPr>
        <w:numPr>
          <w:ilvl w:val="0"/>
          <w:numId w:val="20"/>
        </w:numPr>
        <w:spacing w:after="0" w:line="240" w:lineRule="auto"/>
        <w:ind w:right="0"/>
        <w:jc w:val="left"/>
      </w:pPr>
      <w:r>
        <w:t xml:space="preserve">Exclusion de l'ascendance 'African' (58% du dataset initial, n=408 606 noyaux) </w:t>
      </w:r>
    </w:p>
    <w:p w14:paraId="5926C1E7" w14:textId="05752AD6" w:rsidR="00121274" w:rsidRDefault="00000000" w:rsidP="006938A2">
      <w:pPr>
        <w:numPr>
          <w:ilvl w:val="0"/>
          <w:numId w:val="20"/>
        </w:numPr>
        <w:spacing w:after="0" w:line="240" w:lineRule="auto"/>
        <w:ind w:right="0"/>
        <w:jc w:val="left"/>
      </w:pPr>
      <w:r>
        <w:t xml:space="preserve">Exclusion de l'ascendance 'unknown' (18,8%, n=130 601 noyaux) </w:t>
      </w:r>
    </w:p>
    <w:p w14:paraId="3EE992F6" w14:textId="77777777" w:rsidR="00121274" w:rsidRDefault="00000000" w:rsidP="006938A2">
      <w:pPr>
        <w:numPr>
          <w:ilvl w:val="0"/>
          <w:numId w:val="20"/>
        </w:numPr>
        <w:spacing w:after="0" w:line="240" w:lineRule="auto"/>
        <w:ind w:right="0"/>
        <w:jc w:val="left"/>
      </w:pPr>
      <w:r>
        <w:t xml:space="preserve">Conservation des ascendances 'European', 'East Asian' et 'Asian' (total : 22,3%, n=154 475 noyaux) </w:t>
      </w:r>
    </w:p>
    <w:p w14:paraId="3D518EC3" w14:textId="15287DBB" w:rsidR="00567E79" w:rsidRPr="008E0510" w:rsidRDefault="008E0510" w:rsidP="008E0510">
      <w:pPr>
        <w:spacing w:after="0" w:line="240" w:lineRule="auto"/>
        <w:ind w:left="567" w:right="244" w:firstLine="0"/>
        <w:rPr>
          <w:rFonts w:ascii="Segoe UI Emoji" w:eastAsia="Segoe UI Emoji" w:hAnsi="Segoe UI Emoji" w:cs="Segoe UI Emoji"/>
          <w:b/>
          <w:bCs/>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w:t>
      </w:r>
      <w:r w:rsidRPr="008E0510">
        <w:rPr>
          <w:rFonts w:ascii="Segoe UI Emoji" w:eastAsia="Segoe UI Emoji" w:hAnsi="Segoe UI Emoji" w:cs="Segoe UI Emoji"/>
          <w:b/>
          <w:bCs/>
          <w:color w:val="7030A0"/>
          <w:sz w:val="18"/>
        </w:rPr>
        <w:t xml:space="preserve">NOTE </w:t>
      </w:r>
      <w:r w:rsidRPr="008E0510">
        <w:rPr>
          <w:rFonts w:ascii="Century Gothic" w:eastAsia="Century Gothic" w:hAnsi="Century Gothic" w:cs="Century Gothic"/>
          <w:b/>
          <w:bCs/>
          <w:color w:val="7030A0"/>
          <w:sz w:val="18"/>
        </w:rPr>
        <w:t>MÉTHODOLOGIQUE</w:t>
      </w:r>
      <w:r w:rsidRPr="008E0510">
        <w:rPr>
          <w:rFonts w:ascii="Segoe UI Emoji" w:eastAsia="Segoe UI Emoji" w:hAnsi="Segoe UI Emoji" w:cs="Segoe UI Emoji"/>
          <w:b/>
          <w:bCs/>
          <w:color w:val="7030A0"/>
          <w:sz w:val="18"/>
        </w:rPr>
        <w:t xml:space="preserve"> - Justification </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controversée</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 xml:space="preserve"> de l'exclusion de l'ascendance africaine </w:t>
      </w:r>
    </w:p>
    <w:p w14:paraId="21B7AB41" w14:textId="44900F50" w:rsidR="00121274" w:rsidRPr="008E0510" w:rsidRDefault="00000000" w:rsidP="008E0510">
      <w:pPr>
        <w:spacing w:after="0" w:line="240" w:lineRule="auto"/>
        <w:ind w:left="567" w:right="244"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Cette décision méthodologique est la plus problématique du projet et mérite une justification</w:t>
      </w:r>
      <w:r w:rsidR="00567E79" w:rsidRPr="008E0510">
        <w:rPr>
          <w:rFonts w:ascii="Century Gothic" w:eastAsia="Century Gothic" w:hAnsi="Century Gothic" w:cs="Century Gothic"/>
          <w:color w:val="7030A0"/>
          <w:sz w:val="18"/>
        </w:rPr>
        <w:t xml:space="preserve"> :</w:t>
      </w:r>
    </w:p>
    <w:p w14:paraId="0427041A" w14:textId="77777777" w:rsidR="00555501" w:rsidRPr="008E0510" w:rsidRDefault="00567E79" w:rsidP="008E0510">
      <w:pPr>
        <w:pStyle w:val="Paragraphedeliste"/>
        <w:numPr>
          <w:ilvl w:val="0"/>
          <w:numId w:val="24"/>
        </w:numPr>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Contrainte matérielle : L'exclusion de l'ascendance africaine a réduit le fichier .h5ad de 6,28 GB à ~2,5 GB, permettant de charger les données en RAM pour le calcul des métriques QC. Sans cette réduction, les opérations produisaient des erreurs mémoire systématiques (4 GB/16 libres en RAM).</w:t>
      </w:r>
      <w:r w:rsidR="00D377A1" w:rsidRPr="008E0510">
        <w:rPr>
          <w:rFonts w:ascii="Century Gothic" w:eastAsia="Century Gothic" w:hAnsi="Century Gothic" w:cs="Century Gothic"/>
          <w:color w:val="7030A0"/>
          <w:sz w:val="18"/>
        </w:rPr>
        <w:t xml:space="preserve"> </w:t>
      </w:r>
    </w:p>
    <w:p w14:paraId="487E1B15" w14:textId="5B3B11CE" w:rsidR="00246775" w:rsidRDefault="00246775" w:rsidP="008E0510">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 biais de sélection majeur limite la généralisabilité de nos conclusions aux seules populations d'ascendance européenne et asiatique. Les signatures moléculaires pourraient en effet différer substantiellement au sein des populations d'ascendance africaine, sous l'influence de facteurs génétiques, épigénétiques ou environnementaux. Cette restriction affecte la portée translationnelle des résultats et représente une limitation éthique et scientifique critique (voir Discussion, section 4.2).</w:t>
      </w:r>
    </w:p>
    <w:p w14:paraId="1BF9C5B2" w14:textId="77777777" w:rsidR="008E0510" w:rsidRPr="008E0510" w:rsidRDefault="008E0510" w:rsidP="00064DC4">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p>
    <w:p w14:paraId="07F03FCA" w14:textId="77777777" w:rsidR="00121274" w:rsidRDefault="00000000" w:rsidP="00EF78CD">
      <w:pPr>
        <w:pStyle w:val="Titre3"/>
        <w:spacing w:after="0" w:line="240" w:lineRule="auto"/>
        <w:ind w:left="593" w:hanging="608"/>
      </w:pPr>
      <w:r>
        <w:t xml:space="preserve">Caractéristiques de la cohorte finale </w:t>
      </w:r>
    </w:p>
    <w:p w14:paraId="2D62B341" w14:textId="77777777" w:rsidR="008E0510" w:rsidRDefault="00000000" w:rsidP="008E0510">
      <w:pPr>
        <w:tabs>
          <w:tab w:val="left" w:pos="851"/>
        </w:tabs>
        <w:spacing w:after="0" w:line="240" w:lineRule="auto"/>
        <w:ind w:left="567" w:right="472" w:firstLine="0"/>
        <w:rPr>
          <w:rFonts w:ascii="Century Gothic" w:eastAsia="Century Gothic" w:hAnsi="Century Gothic" w:cs="Century Gothic"/>
          <w:b/>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NOTE MÉTHODOLOGIQUE - Justification de la réduction d'effectif (Stratégie QC) </w:t>
      </w:r>
    </w:p>
    <w:p w14:paraId="37349624" w14:textId="1F3D7590" w:rsidR="00121274" w:rsidRDefault="00000000" w:rsidP="00236003">
      <w:pPr>
        <w:tabs>
          <w:tab w:val="left" w:pos="851"/>
        </w:tabs>
        <w:spacing w:after="0" w:line="240" w:lineRule="auto"/>
        <w:ind w:left="567" w:right="472" w:firstLine="0"/>
      </w:pPr>
      <w:r>
        <w:rPr>
          <w:rFonts w:ascii="Century Gothic" w:eastAsia="Century Gothic" w:hAnsi="Century Gothic" w:cs="Century Gothic"/>
          <w:color w:val="7030A0"/>
          <w:sz w:val="18"/>
        </w:rPr>
        <w:t xml:space="preserve">Lors de la constitution de la cohorte, deux approches ont été comparées : Une sélection basée uniquement sur les métadonnées (Diagnostic/Ascendance) aboutit à ~77 000 noyaux. </w:t>
      </w:r>
      <w:r w:rsidR="008E0510">
        <w:rPr>
          <w:rFonts w:ascii="Century Gothic" w:eastAsia="Century Gothic" w:hAnsi="Century Gothic" w:cs="Century Gothic"/>
          <w:color w:val="7030A0"/>
          <w:sz w:val="18"/>
        </w:rPr>
        <w:t>Tant dis que l’</w:t>
      </w:r>
      <w:r>
        <w:rPr>
          <w:rFonts w:ascii="Century Gothic" w:eastAsia="Century Gothic" w:hAnsi="Century Gothic" w:cs="Century Gothic"/>
          <w:color w:val="7030A0"/>
          <w:sz w:val="18"/>
        </w:rPr>
        <w:t>appli</w:t>
      </w:r>
      <w:r w:rsidR="008E0510">
        <w:rPr>
          <w:rFonts w:ascii="Century Gothic" w:eastAsia="Century Gothic" w:hAnsi="Century Gothic" w:cs="Century Gothic"/>
          <w:color w:val="7030A0"/>
          <w:sz w:val="18"/>
        </w:rPr>
        <w:t>cation</w:t>
      </w:r>
      <w:r>
        <w:rPr>
          <w:rFonts w:ascii="Century Gothic" w:eastAsia="Century Gothic" w:hAnsi="Century Gothic" w:cs="Century Gothic"/>
          <w:color w:val="7030A0"/>
          <w:sz w:val="18"/>
        </w:rPr>
        <w:t xml:space="preserve"> </w:t>
      </w:r>
      <w:r w:rsidR="008E0510">
        <w:rPr>
          <w:rFonts w:ascii="Century Gothic" w:eastAsia="Century Gothic" w:hAnsi="Century Gothic" w:cs="Century Gothic"/>
          <w:color w:val="7030A0"/>
          <w:sz w:val="18"/>
        </w:rPr>
        <w:t>d’</w:t>
      </w:r>
      <w:r>
        <w:rPr>
          <w:rFonts w:ascii="Century Gothic" w:eastAsia="Century Gothic" w:hAnsi="Century Gothic" w:cs="Century Gothic"/>
          <w:color w:val="7030A0"/>
          <w:sz w:val="18"/>
        </w:rPr>
        <w:t>un filtrage qualité immédiat (n_genes &gt; 1000, mt% &lt; 5%), aboutit à ~68 800 noyaux. Nous avons retenu cette seconde approche. Bien que réduisant l'effectif d'environ 11%, elle élimine les noyaux de faible qualité technique (débris, stress cellulaire) qui auraient introduit du bruit dans le clustering et l'analyse différentielle.</w:t>
      </w:r>
      <w:r>
        <w:t xml:space="preserve"> </w:t>
      </w:r>
    </w:p>
    <w:p w14:paraId="7770A889" w14:textId="77777777" w:rsidR="00121274" w:rsidRDefault="00000000" w:rsidP="00EF78CD">
      <w:pPr>
        <w:spacing w:after="0" w:line="240" w:lineRule="auto"/>
        <w:ind w:left="-5" w:right="35"/>
      </w:pPr>
      <w:r>
        <w:lastRenderedPageBreak/>
        <w:t xml:space="preserve">La cohorte finale comprend 17 donneurs post-mortem et 62 800 noyaux. Le Tableau 1 résume les caractéristiques démographiques et cellulaires par groupe diagnostique. </w:t>
      </w:r>
    </w:p>
    <w:tbl>
      <w:tblPr>
        <w:tblStyle w:val="TableGrid"/>
        <w:tblW w:w="9620" w:type="dxa"/>
        <w:tblInd w:w="-105" w:type="dxa"/>
        <w:tblCellMar>
          <w:top w:w="54" w:type="dxa"/>
          <w:left w:w="105" w:type="dxa"/>
          <w:right w:w="51" w:type="dxa"/>
        </w:tblCellMar>
        <w:tblLook w:val="04A0" w:firstRow="1" w:lastRow="0" w:firstColumn="1" w:lastColumn="0" w:noHBand="0" w:noVBand="1"/>
      </w:tblPr>
      <w:tblGrid>
        <w:gridCol w:w="1560"/>
        <w:gridCol w:w="1561"/>
        <w:gridCol w:w="1556"/>
        <w:gridCol w:w="1829"/>
        <w:gridCol w:w="1554"/>
        <w:gridCol w:w="1560"/>
      </w:tblGrid>
      <w:tr w:rsidR="00121274" w14:paraId="5312ED9C" w14:textId="77777777">
        <w:trPr>
          <w:trHeight w:val="546"/>
        </w:trPr>
        <w:tc>
          <w:tcPr>
            <w:tcW w:w="1560" w:type="dxa"/>
            <w:tcBorders>
              <w:top w:val="single" w:sz="8" w:space="0" w:color="4F81BD"/>
              <w:left w:val="single" w:sz="8" w:space="0" w:color="4F81BD"/>
              <w:bottom w:val="single" w:sz="18" w:space="0" w:color="4F81BD"/>
              <w:right w:val="single" w:sz="8" w:space="0" w:color="4F81BD"/>
            </w:tcBorders>
          </w:tcPr>
          <w:p w14:paraId="37FE7838" w14:textId="77777777" w:rsidR="00121274" w:rsidRDefault="00000000" w:rsidP="00EF78CD">
            <w:pPr>
              <w:spacing w:after="0" w:line="240" w:lineRule="auto"/>
              <w:ind w:left="0" w:right="0" w:firstLine="0"/>
              <w:jc w:val="left"/>
            </w:pPr>
            <w:r>
              <w:rPr>
                <w:b/>
                <w:sz w:val="22"/>
              </w:rPr>
              <w:t>Diagnostic</w:t>
            </w:r>
            <w:r>
              <w:rPr>
                <w:b/>
              </w:rPr>
              <w:t xml:space="preserve"> </w:t>
            </w:r>
          </w:p>
        </w:tc>
        <w:tc>
          <w:tcPr>
            <w:tcW w:w="1561" w:type="dxa"/>
            <w:tcBorders>
              <w:top w:val="single" w:sz="8" w:space="0" w:color="4F81BD"/>
              <w:left w:val="single" w:sz="8" w:space="0" w:color="4F81BD"/>
              <w:bottom w:val="single" w:sz="18" w:space="0" w:color="4F81BD"/>
              <w:right w:val="single" w:sz="8" w:space="0" w:color="4F81BD"/>
            </w:tcBorders>
          </w:tcPr>
          <w:p w14:paraId="3856DE47" w14:textId="77777777" w:rsidR="00121274" w:rsidRDefault="00000000" w:rsidP="00EF78CD">
            <w:pPr>
              <w:spacing w:after="0" w:line="240" w:lineRule="auto"/>
              <w:ind w:left="1" w:right="0" w:firstLine="0"/>
              <w:jc w:val="left"/>
            </w:pPr>
            <w:r>
              <w:rPr>
                <w:b/>
                <w:sz w:val="22"/>
              </w:rPr>
              <w:t>N Donneurs</w:t>
            </w:r>
            <w:r>
              <w:rPr>
                <w:b/>
              </w:rPr>
              <w:t xml:space="preserve"> </w:t>
            </w:r>
          </w:p>
        </w:tc>
        <w:tc>
          <w:tcPr>
            <w:tcW w:w="1556" w:type="dxa"/>
            <w:tcBorders>
              <w:top w:val="single" w:sz="8" w:space="0" w:color="4F81BD"/>
              <w:left w:val="single" w:sz="8" w:space="0" w:color="4F81BD"/>
              <w:bottom w:val="single" w:sz="18" w:space="0" w:color="4F81BD"/>
              <w:right w:val="single" w:sz="8" w:space="0" w:color="4F81BD"/>
            </w:tcBorders>
          </w:tcPr>
          <w:p w14:paraId="779A0CC7" w14:textId="77777777" w:rsidR="00121274" w:rsidRDefault="00000000" w:rsidP="00EF78CD">
            <w:pPr>
              <w:spacing w:after="0" w:line="240" w:lineRule="auto"/>
              <w:ind w:left="1" w:right="0" w:firstLine="0"/>
              <w:jc w:val="left"/>
            </w:pPr>
            <w:r>
              <w:rPr>
                <w:b/>
                <w:sz w:val="22"/>
              </w:rPr>
              <w:t>N Noyaux</w:t>
            </w:r>
            <w:r>
              <w:rPr>
                <w:b/>
              </w:rPr>
              <w:t xml:space="preserve"> </w:t>
            </w:r>
          </w:p>
        </w:tc>
        <w:tc>
          <w:tcPr>
            <w:tcW w:w="1829" w:type="dxa"/>
            <w:tcBorders>
              <w:top w:val="single" w:sz="8" w:space="0" w:color="4F81BD"/>
              <w:left w:val="single" w:sz="8" w:space="0" w:color="4F81BD"/>
              <w:bottom w:val="single" w:sz="18" w:space="0" w:color="4F81BD"/>
              <w:right w:val="single" w:sz="8" w:space="0" w:color="4F81BD"/>
            </w:tcBorders>
          </w:tcPr>
          <w:p w14:paraId="6BE916F7" w14:textId="77777777" w:rsidR="00121274" w:rsidRDefault="00000000" w:rsidP="00EF78CD">
            <w:pPr>
              <w:spacing w:after="0" w:line="240" w:lineRule="auto"/>
              <w:ind w:left="0" w:right="0" w:firstLine="0"/>
            </w:pPr>
            <w:r>
              <w:rPr>
                <w:b/>
                <w:sz w:val="22"/>
              </w:rPr>
              <w:t xml:space="preserve">Noyaux/Donneur </w:t>
            </w:r>
          </w:p>
          <w:p w14:paraId="6822F87D" w14:textId="77777777" w:rsidR="00121274" w:rsidRDefault="00000000" w:rsidP="00EF78CD">
            <w:pPr>
              <w:spacing w:after="0" w:line="240" w:lineRule="auto"/>
              <w:ind w:left="0" w:right="0" w:firstLine="0"/>
              <w:jc w:val="left"/>
            </w:pPr>
            <w:r>
              <w:rPr>
                <w:b/>
                <w:sz w:val="22"/>
              </w:rPr>
              <w:t>(moy.)</w:t>
            </w:r>
            <w:r>
              <w:rPr>
                <w:b/>
              </w:rPr>
              <w:t xml:space="preserve"> </w:t>
            </w:r>
          </w:p>
        </w:tc>
        <w:tc>
          <w:tcPr>
            <w:tcW w:w="1554" w:type="dxa"/>
            <w:tcBorders>
              <w:top w:val="single" w:sz="8" w:space="0" w:color="4F81BD"/>
              <w:left w:val="single" w:sz="8" w:space="0" w:color="4F81BD"/>
              <w:bottom w:val="single" w:sz="18" w:space="0" w:color="4F81BD"/>
              <w:right w:val="single" w:sz="8" w:space="0" w:color="4F81BD"/>
            </w:tcBorders>
          </w:tcPr>
          <w:p w14:paraId="20A3CFDE" w14:textId="77777777" w:rsidR="00121274" w:rsidRDefault="00000000" w:rsidP="00EF78CD">
            <w:pPr>
              <w:spacing w:after="0" w:line="240" w:lineRule="auto"/>
              <w:ind w:left="4" w:right="0" w:firstLine="0"/>
              <w:jc w:val="left"/>
            </w:pPr>
            <w:r>
              <w:rPr>
                <w:b/>
                <w:sz w:val="22"/>
              </w:rPr>
              <w:t>Sexe (M/F %)</w:t>
            </w:r>
            <w:r>
              <w:rPr>
                <w:b/>
              </w:rPr>
              <w:t xml:space="preserve"> </w:t>
            </w:r>
          </w:p>
        </w:tc>
        <w:tc>
          <w:tcPr>
            <w:tcW w:w="1560" w:type="dxa"/>
            <w:tcBorders>
              <w:top w:val="single" w:sz="8" w:space="0" w:color="4F81BD"/>
              <w:left w:val="single" w:sz="8" w:space="0" w:color="4F81BD"/>
              <w:bottom w:val="single" w:sz="18" w:space="0" w:color="4F81BD"/>
              <w:right w:val="single" w:sz="8" w:space="0" w:color="4F81BD"/>
            </w:tcBorders>
          </w:tcPr>
          <w:p w14:paraId="476A462C" w14:textId="77777777" w:rsidR="00121274" w:rsidRDefault="00000000" w:rsidP="00EF78CD">
            <w:pPr>
              <w:spacing w:after="0" w:line="240" w:lineRule="auto"/>
              <w:ind w:left="2" w:right="0" w:firstLine="0"/>
              <w:jc w:val="left"/>
            </w:pPr>
            <w:r>
              <w:rPr>
                <w:b/>
                <w:sz w:val="22"/>
              </w:rPr>
              <w:t>Ascendance génétique</w:t>
            </w:r>
            <w:r>
              <w:rPr>
                <w:b/>
              </w:rPr>
              <w:t xml:space="preserve"> </w:t>
            </w:r>
          </w:p>
        </w:tc>
      </w:tr>
      <w:tr w:rsidR="00121274" w14:paraId="3A741CC1" w14:textId="77777777">
        <w:trPr>
          <w:trHeight w:val="1036"/>
        </w:trPr>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8325B88" w14:textId="77777777" w:rsidR="00121274" w:rsidRDefault="00000000" w:rsidP="00EF78CD">
            <w:pPr>
              <w:spacing w:after="0" w:line="240" w:lineRule="auto"/>
              <w:ind w:left="0" w:right="0" w:firstLine="0"/>
              <w:jc w:val="left"/>
            </w:pPr>
            <w:r>
              <w:rPr>
                <w:b/>
                <w:sz w:val="22"/>
              </w:rPr>
              <w:t xml:space="preserve">Alzheimer </w:t>
            </w:r>
          </w:p>
          <w:p w14:paraId="5EEE2C6C" w14:textId="77777777" w:rsidR="00121274" w:rsidRDefault="00000000" w:rsidP="00EF78CD">
            <w:pPr>
              <w:spacing w:after="0" w:line="240" w:lineRule="auto"/>
              <w:ind w:left="0" w:right="0" w:firstLine="0"/>
              <w:jc w:val="left"/>
            </w:pPr>
            <w:r>
              <w:rPr>
                <w:b/>
                <w:sz w:val="22"/>
              </w:rPr>
              <w:t>(AD)</w:t>
            </w:r>
            <w:r>
              <w:rPr>
                <w:b/>
              </w:rPr>
              <w:t xml:space="preserve"> </w:t>
            </w:r>
          </w:p>
        </w:tc>
        <w:tc>
          <w:tcPr>
            <w:tcW w:w="1561" w:type="dxa"/>
            <w:tcBorders>
              <w:top w:val="single" w:sz="18" w:space="0" w:color="4F81BD"/>
              <w:left w:val="single" w:sz="8" w:space="0" w:color="4F81BD"/>
              <w:bottom w:val="single" w:sz="8" w:space="0" w:color="4F81BD"/>
              <w:right w:val="single" w:sz="8" w:space="0" w:color="4F81BD"/>
            </w:tcBorders>
            <w:shd w:val="clear" w:color="auto" w:fill="D3DFEE"/>
          </w:tcPr>
          <w:p w14:paraId="722B1807" w14:textId="77777777" w:rsidR="00121274" w:rsidRDefault="00000000" w:rsidP="00EF78CD">
            <w:pPr>
              <w:spacing w:after="0" w:line="240" w:lineRule="auto"/>
              <w:ind w:left="1" w:right="0" w:firstLine="0"/>
              <w:jc w:val="left"/>
            </w:pPr>
            <w:r>
              <w:rPr>
                <w:sz w:val="22"/>
              </w:rPr>
              <w:t>8</w:t>
            </w:r>
            <w:r>
              <w:t xml:space="preserve"> </w:t>
            </w:r>
          </w:p>
        </w:tc>
        <w:tc>
          <w:tcPr>
            <w:tcW w:w="1556" w:type="dxa"/>
            <w:tcBorders>
              <w:top w:val="single" w:sz="18" w:space="0" w:color="4F81BD"/>
              <w:left w:val="single" w:sz="8" w:space="0" w:color="4F81BD"/>
              <w:bottom w:val="single" w:sz="8" w:space="0" w:color="4F81BD"/>
              <w:right w:val="single" w:sz="8" w:space="0" w:color="4F81BD"/>
            </w:tcBorders>
            <w:shd w:val="clear" w:color="auto" w:fill="D3DFEE"/>
          </w:tcPr>
          <w:p w14:paraId="7A45BADA" w14:textId="77777777" w:rsidR="00121274" w:rsidRDefault="00000000" w:rsidP="00EF78CD">
            <w:pPr>
              <w:spacing w:after="0" w:line="240" w:lineRule="auto"/>
              <w:ind w:left="1" w:right="0" w:firstLine="0"/>
              <w:jc w:val="left"/>
            </w:pPr>
            <w:r>
              <w:rPr>
                <w:sz w:val="22"/>
              </w:rPr>
              <w:t>25 301</w:t>
            </w:r>
            <w:r>
              <w:t xml:space="preserve"> </w:t>
            </w:r>
          </w:p>
        </w:tc>
        <w:tc>
          <w:tcPr>
            <w:tcW w:w="1829" w:type="dxa"/>
            <w:tcBorders>
              <w:top w:val="single" w:sz="18" w:space="0" w:color="4F81BD"/>
              <w:left w:val="single" w:sz="8" w:space="0" w:color="4F81BD"/>
              <w:bottom w:val="single" w:sz="8" w:space="0" w:color="4F81BD"/>
              <w:right w:val="single" w:sz="8" w:space="0" w:color="4F81BD"/>
            </w:tcBorders>
            <w:shd w:val="clear" w:color="auto" w:fill="D3DFEE"/>
          </w:tcPr>
          <w:p w14:paraId="601E3634" w14:textId="77777777" w:rsidR="00121274" w:rsidRDefault="00000000" w:rsidP="00EF78CD">
            <w:pPr>
              <w:spacing w:after="0" w:line="240" w:lineRule="auto"/>
              <w:ind w:left="0" w:right="0" w:firstLine="0"/>
              <w:jc w:val="left"/>
            </w:pPr>
            <w:r>
              <w:rPr>
                <w:sz w:val="22"/>
              </w:rPr>
              <w:t>3 163</w:t>
            </w:r>
            <w:r>
              <w:t xml:space="preserve"> </w:t>
            </w:r>
          </w:p>
        </w:tc>
        <w:tc>
          <w:tcPr>
            <w:tcW w:w="1554" w:type="dxa"/>
            <w:tcBorders>
              <w:top w:val="single" w:sz="18" w:space="0" w:color="4F81BD"/>
              <w:left w:val="single" w:sz="8" w:space="0" w:color="4F81BD"/>
              <w:bottom w:val="single" w:sz="8" w:space="0" w:color="4F81BD"/>
              <w:right w:val="single" w:sz="8" w:space="0" w:color="4F81BD"/>
            </w:tcBorders>
            <w:shd w:val="clear" w:color="auto" w:fill="D3DFEE"/>
          </w:tcPr>
          <w:p w14:paraId="02125039" w14:textId="77777777" w:rsidR="00121274" w:rsidRDefault="00000000" w:rsidP="00EF78CD">
            <w:pPr>
              <w:spacing w:after="0" w:line="240" w:lineRule="auto"/>
              <w:ind w:left="4" w:right="0" w:firstLine="0"/>
              <w:jc w:val="left"/>
            </w:pPr>
            <w:r>
              <w:rPr>
                <w:sz w:val="22"/>
              </w:rPr>
              <w:t>68% / 32%</w:t>
            </w:r>
            <w:r>
              <w:t xml:space="preserve"> </w:t>
            </w:r>
          </w:p>
        </w:tc>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39C3A54" w14:textId="77777777" w:rsidR="00121274" w:rsidRDefault="00000000" w:rsidP="00EF78CD">
            <w:pPr>
              <w:spacing w:after="0" w:line="240" w:lineRule="auto"/>
              <w:ind w:left="2" w:right="0" w:firstLine="0"/>
              <w:jc w:val="left"/>
            </w:pPr>
            <w:r>
              <w:rPr>
                <w:sz w:val="22"/>
              </w:rPr>
              <w:t xml:space="preserve">Européenne </w:t>
            </w:r>
          </w:p>
          <w:p w14:paraId="6B767504" w14:textId="77777777" w:rsidR="00121274" w:rsidRDefault="00000000" w:rsidP="00EF78CD">
            <w:pPr>
              <w:spacing w:after="0" w:line="240" w:lineRule="auto"/>
              <w:ind w:left="2" w:right="54" w:firstLine="0"/>
            </w:pPr>
            <w:r>
              <w:rPr>
                <w:sz w:val="22"/>
              </w:rPr>
              <w:t>(37,5%), East Asian (50%), Asian (12,5%)</w:t>
            </w:r>
            <w:r>
              <w:t xml:space="preserve"> </w:t>
            </w:r>
          </w:p>
        </w:tc>
      </w:tr>
      <w:tr w:rsidR="00121274" w14:paraId="14CF2F9A" w14:textId="77777777">
        <w:trPr>
          <w:trHeight w:val="785"/>
        </w:trPr>
        <w:tc>
          <w:tcPr>
            <w:tcW w:w="1560" w:type="dxa"/>
            <w:tcBorders>
              <w:top w:val="single" w:sz="8" w:space="0" w:color="4F81BD"/>
              <w:left w:val="single" w:sz="8" w:space="0" w:color="4F81BD"/>
              <w:bottom w:val="single" w:sz="8" w:space="0" w:color="4F81BD"/>
              <w:right w:val="single" w:sz="8" w:space="0" w:color="4F81BD"/>
            </w:tcBorders>
          </w:tcPr>
          <w:p w14:paraId="137FED29" w14:textId="77777777" w:rsidR="00121274" w:rsidRDefault="00000000" w:rsidP="00EF78CD">
            <w:pPr>
              <w:spacing w:after="0" w:line="240" w:lineRule="auto"/>
              <w:ind w:left="0" w:right="0" w:firstLine="0"/>
              <w:jc w:val="left"/>
            </w:pPr>
            <w:r>
              <w:rPr>
                <w:b/>
                <w:sz w:val="22"/>
              </w:rPr>
              <w:t xml:space="preserve">Parkinson </w:t>
            </w:r>
          </w:p>
          <w:p w14:paraId="2DB9F797" w14:textId="77777777" w:rsidR="00121274" w:rsidRDefault="00000000" w:rsidP="00EF78CD">
            <w:pPr>
              <w:spacing w:after="0" w:line="240" w:lineRule="auto"/>
              <w:ind w:left="0" w:right="0" w:firstLine="0"/>
              <w:jc w:val="left"/>
            </w:pPr>
            <w:r>
              <w:rPr>
                <w:b/>
                <w:sz w:val="22"/>
              </w:rPr>
              <w:t>(PD)</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tcPr>
          <w:p w14:paraId="525C3073" w14:textId="77777777" w:rsidR="00121274" w:rsidRDefault="00000000" w:rsidP="00EF78CD">
            <w:pPr>
              <w:spacing w:after="0" w:line="240" w:lineRule="auto"/>
              <w:ind w:left="1" w:right="0" w:firstLine="0"/>
              <w:jc w:val="left"/>
            </w:pPr>
            <w:r>
              <w:rPr>
                <w:sz w:val="22"/>
              </w:rPr>
              <w:t>3</w:t>
            </w:r>
            <w:r>
              <w:t xml:space="preserve"> </w:t>
            </w:r>
          </w:p>
        </w:tc>
        <w:tc>
          <w:tcPr>
            <w:tcW w:w="1556" w:type="dxa"/>
            <w:tcBorders>
              <w:top w:val="single" w:sz="8" w:space="0" w:color="4F81BD"/>
              <w:left w:val="single" w:sz="8" w:space="0" w:color="4F81BD"/>
              <w:bottom w:val="single" w:sz="8" w:space="0" w:color="4F81BD"/>
              <w:right w:val="single" w:sz="8" w:space="0" w:color="4F81BD"/>
            </w:tcBorders>
          </w:tcPr>
          <w:p w14:paraId="35BB8864" w14:textId="77777777" w:rsidR="00121274" w:rsidRDefault="00000000" w:rsidP="00EF78CD">
            <w:pPr>
              <w:spacing w:after="0" w:line="240" w:lineRule="auto"/>
              <w:ind w:left="1" w:right="0" w:firstLine="0"/>
              <w:jc w:val="left"/>
            </w:pPr>
            <w:r>
              <w:rPr>
                <w:sz w:val="22"/>
              </w:rPr>
              <w:t>7 023</w:t>
            </w:r>
            <w:r>
              <w:t xml:space="preserve"> </w:t>
            </w:r>
          </w:p>
        </w:tc>
        <w:tc>
          <w:tcPr>
            <w:tcW w:w="1829" w:type="dxa"/>
            <w:tcBorders>
              <w:top w:val="single" w:sz="8" w:space="0" w:color="4F81BD"/>
              <w:left w:val="single" w:sz="8" w:space="0" w:color="4F81BD"/>
              <w:bottom w:val="single" w:sz="8" w:space="0" w:color="4F81BD"/>
              <w:right w:val="single" w:sz="8" w:space="0" w:color="4F81BD"/>
            </w:tcBorders>
          </w:tcPr>
          <w:p w14:paraId="766C2B48" w14:textId="77777777" w:rsidR="00121274" w:rsidRDefault="00000000" w:rsidP="00EF78CD">
            <w:pPr>
              <w:spacing w:after="0" w:line="240" w:lineRule="auto"/>
              <w:ind w:left="0" w:right="0" w:firstLine="0"/>
              <w:jc w:val="left"/>
            </w:pPr>
            <w:r>
              <w:rPr>
                <w:sz w:val="22"/>
              </w:rPr>
              <w:t>2 341</w:t>
            </w:r>
            <w:r>
              <w:t xml:space="preserve"> </w:t>
            </w:r>
          </w:p>
        </w:tc>
        <w:tc>
          <w:tcPr>
            <w:tcW w:w="1554" w:type="dxa"/>
            <w:tcBorders>
              <w:top w:val="single" w:sz="8" w:space="0" w:color="4F81BD"/>
              <w:left w:val="single" w:sz="8" w:space="0" w:color="4F81BD"/>
              <w:bottom w:val="single" w:sz="8" w:space="0" w:color="4F81BD"/>
              <w:right w:val="single" w:sz="8" w:space="0" w:color="4F81BD"/>
            </w:tcBorders>
          </w:tcPr>
          <w:p w14:paraId="2EC569E2" w14:textId="77777777" w:rsidR="00121274" w:rsidRDefault="00000000" w:rsidP="00EF78CD">
            <w:pPr>
              <w:spacing w:after="0" w:line="240" w:lineRule="auto"/>
              <w:ind w:left="4" w:right="0" w:firstLine="0"/>
              <w:jc w:val="left"/>
            </w:pPr>
            <w:r>
              <w:rPr>
                <w:sz w:val="22"/>
              </w:rPr>
              <w:t>73% / 27%</w:t>
            </w:r>
            <w:r>
              <w:t xml:space="preserve"> </w:t>
            </w:r>
          </w:p>
        </w:tc>
        <w:tc>
          <w:tcPr>
            <w:tcW w:w="1560" w:type="dxa"/>
            <w:tcBorders>
              <w:top w:val="single" w:sz="8" w:space="0" w:color="4F81BD"/>
              <w:left w:val="single" w:sz="8" w:space="0" w:color="4F81BD"/>
              <w:bottom w:val="single" w:sz="8" w:space="0" w:color="4F81BD"/>
              <w:right w:val="single" w:sz="8" w:space="0" w:color="4F81BD"/>
            </w:tcBorders>
          </w:tcPr>
          <w:p w14:paraId="667BDF56" w14:textId="77777777" w:rsidR="00121274" w:rsidRDefault="00000000" w:rsidP="00EF78CD">
            <w:pPr>
              <w:spacing w:after="0" w:line="240" w:lineRule="auto"/>
              <w:ind w:left="2" w:right="0" w:firstLine="0"/>
              <w:jc w:val="left"/>
            </w:pPr>
            <w:r>
              <w:rPr>
                <w:sz w:val="22"/>
              </w:rPr>
              <w:t xml:space="preserve">Européenne </w:t>
            </w:r>
          </w:p>
          <w:p w14:paraId="3933D716" w14:textId="77777777" w:rsidR="00121274" w:rsidRDefault="00000000" w:rsidP="00EF78CD">
            <w:pPr>
              <w:spacing w:after="0" w:line="240" w:lineRule="auto"/>
              <w:ind w:left="2" w:right="0" w:firstLine="0"/>
            </w:pPr>
            <w:r>
              <w:rPr>
                <w:sz w:val="22"/>
              </w:rPr>
              <w:t>(33,3%), East Asian (66,7%)</w:t>
            </w:r>
            <w:r>
              <w:t xml:space="preserve"> </w:t>
            </w:r>
          </w:p>
        </w:tc>
      </w:tr>
      <w:tr w:rsidR="00121274" w14:paraId="1D130FDD" w14:textId="77777777">
        <w:trPr>
          <w:trHeight w:val="519"/>
        </w:trPr>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6B61DACB" w14:textId="77777777" w:rsidR="00121274" w:rsidRDefault="00000000" w:rsidP="00EF78CD">
            <w:pPr>
              <w:spacing w:after="0" w:line="240" w:lineRule="auto"/>
              <w:ind w:left="0" w:right="0" w:firstLine="0"/>
              <w:jc w:val="left"/>
            </w:pPr>
            <w:r>
              <w:rPr>
                <w:b/>
                <w:sz w:val="22"/>
              </w:rPr>
              <w:t xml:space="preserve">Normal </w:t>
            </w:r>
          </w:p>
          <w:p w14:paraId="24139243" w14:textId="77777777" w:rsidR="00121274" w:rsidRDefault="00000000" w:rsidP="00EF78CD">
            <w:pPr>
              <w:spacing w:after="0" w:line="240" w:lineRule="auto"/>
              <w:ind w:left="0" w:right="0" w:firstLine="0"/>
              <w:jc w:val="left"/>
            </w:pPr>
            <w:r>
              <w:rPr>
                <w:b/>
                <w:sz w:val="22"/>
              </w:rPr>
              <w:t>(CTRL)</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shd w:val="clear" w:color="auto" w:fill="D3DFEE"/>
          </w:tcPr>
          <w:p w14:paraId="1DDED934" w14:textId="77777777" w:rsidR="00121274" w:rsidRDefault="00000000" w:rsidP="00EF78CD">
            <w:pPr>
              <w:spacing w:after="0" w:line="240" w:lineRule="auto"/>
              <w:ind w:left="1" w:right="0" w:firstLine="0"/>
              <w:jc w:val="left"/>
            </w:pPr>
            <w:r>
              <w:rPr>
                <w:sz w:val="22"/>
              </w:rPr>
              <w:t>6</w:t>
            </w:r>
            <w:r>
              <w:t xml:space="preserve"> </w:t>
            </w:r>
          </w:p>
        </w:tc>
        <w:tc>
          <w:tcPr>
            <w:tcW w:w="1556" w:type="dxa"/>
            <w:tcBorders>
              <w:top w:val="single" w:sz="8" w:space="0" w:color="4F81BD"/>
              <w:left w:val="single" w:sz="8" w:space="0" w:color="4F81BD"/>
              <w:bottom w:val="single" w:sz="8" w:space="0" w:color="4F81BD"/>
              <w:right w:val="single" w:sz="8" w:space="0" w:color="4F81BD"/>
            </w:tcBorders>
            <w:shd w:val="clear" w:color="auto" w:fill="D3DFEE"/>
          </w:tcPr>
          <w:p w14:paraId="093F5099" w14:textId="77777777" w:rsidR="00121274" w:rsidRDefault="00000000" w:rsidP="00EF78CD">
            <w:pPr>
              <w:spacing w:after="0" w:line="240" w:lineRule="auto"/>
              <w:ind w:left="1" w:right="0" w:firstLine="0"/>
              <w:jc w:val="left"/>
            </w:pPr>
            <w:r>
              <w:rPr>
                <w:sz w:val="22"/>
              </w:rPr>
              <w:t>30 476</w:t>
            </w:r>
            <w:r>
              <w:t xml:space="preserve"> </w:t>
            </w:r>
          </w:p>
        </w:tc>
        <w:tc>
          <w:tcPr>
            <w:tcW w:w="1829" w:type="dxa"/>
            <w:tcBorders>
              <w:top w:val="single" w:sz="8" w:space="0" w:color="4F81BD"/>
              <w:left w:val="single" w:sz="8" w:space="0" w:color="4F81BD"/>
              <w:bottom w:val="single" w:sz="8" w:space="0" w:color="4F81BD"/>
              <w:right w:val="single" w:sz="8" w:space="0" w:color="4F81BD"/>
            </w:tcBorders>
            <w:shd w:val="clear" w:color="auto" w:fill="D3DFEE"/>
          </w:tcPr>
          <w:p w14:paraId="5D03B39B" w14:textId="77777777" w:rsidR="00121274" w:rsidRDefault="00000000" w:rsidP="00EF78CD">
            <w:pPr>
              <w:spacing w:after="0" w:line="240" w:lineRule="auto"/>
              <w:ind w:left="0" w:right="0" w:firstLine="0"/>
              <w:jc w:val="left"/>
            </w:pPr>
            <w:r>
              <w:rPr>
                <w:sz w:val="22"/>
              </w:rPr>
              <w:t>5 079</w:t>
            </w:r>
            <w:r>
              <w:t xml:space="preserve"> </w:t>
            </w:r>
          </w:p>
        </w:tc>
        <w:tc>
          <w:tcPr>
            <w:tcW w:w="1554" w:type="dxa"/>
            <w:tcBorders>
              <w:top w:val="single" w:sz="8" w:space="0" w:color="4F81BD"/>
              <w:left w:val="single" w:sz="8" w:space="0" w:color="4F81BD"/>
              <w:bottom w:val="single" w:sz="8" w:space="0" w:color="4F81BD"/>
              <w:right w:val="single" w:sz="8" w:space="0" w:color="4F81BD"/>
            </w:tcBorders>
            <w:shd w:val="clear" w:color="auto" w:fill="D3DFEE"/>
          </w:tcPr>
          <w:p w14:paraId="720E19B9" w14:textId="77777777" w:rsidR="00121274" w:rsidRDefault="00000000" w:rsidP="00EF78CD">
            <w:pPr>
              <w:spacing w:after="0" w:line="240" w:lineRule="auto"/>
              <w:ind w:left="4" w:right="0" w:firstLine="0"/>
              <w:jc w:val="left"/>
            </w:pPr>
            <w:r>
              <w:rPr>
                <w:sz w:val="22"/>
              </w:rPr>
              <w:t>48,5% / 51,5%</w:t>
            </w:r>
            <w:r>
              <w:t xml:space="preserve"> </w:t>
            </w:r>
          </w:p>
        </w:tc>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21FDB4F0" w14:textId="77777777" w:rsidR="00121274" w:rsidRDefault="00000000" w:rsidP="00EF78CD">
            <w:pPr>
              <w:spacing w:after="0" w:line="240" w:lineRule="auto"/>
              <w:ind w:left="2" w:right="0" w:firstLine="0"/>
              <w:jc w:val="left"/>
            </w:pPr>
            <w:r>
              <w:rPr>
                <w:sz w:val="22"/>
              </w:rPr>
              <w:t>Européenne (100%)</w:t>
            </w:r>
            <w:r>
              <w:t xml:space="preserve"> </w:t>
            </w:r>
          </w:p>
        </w:tc>
      </w:tr>
    </w:tbl>
    <w:p w14:paraId="7F545F5B" w14:textId="77777777" w:rsidR="00121274" w:rsidRDefault="00000000" w:rsidP="00EF78CD">
      <w:pPr>
        <w:spacing w:after="0" w:line="240" w:lineRule="auto"/>
        <w:ind w:right="49"/>
        <w:jc w:val="center"/>
      </w:pPr>
      <w:r>
        <w:rPr>
          <w:i/>
          <w:sz w:val="20"/>
        </w:rPr>
        <w:t>Tableau 1. Caractéristiques démographiques et cellulaires de la cohorte finale (n=17 donneurs, 62 800 noyaux)</w:t>
      </w:r>
      <w:r>
        <w:t xml:space="preserve"> </w:t>
      </w:r>
    </w:p>
    <w:p w14:paraId="62DB3099" w14:textId="77777777" w:rsidR="00121274" w:rsidRDefault="00000000" w:rsidP="00A37B03">
      <w:pPr>
        <w:tabs>
          <w:tab w:val="left" w:pos="851"/>
        </w:tabs>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Déséquilibres démographiques de la cohorte et implications statistiques </w:t>
      </w:r>
    </w:p>
    <w:p w14:paraId="0DE4583E" w14:textId="77777777" w:rsidR="00121274" w:rsidRDefault="00000000" w:rsidP="00A37B03">
      <w:pPr>
        <w:tabs>
          <w:tab w:val="left" w:pos="851"/>
        </w:tabs>
        <w:spacing w:after="0" w:line="240" w:lineRule="auto"/>
        <w:ind w:left="567" w:right="21"/>
        <w:jc w:val="left"/>
      </w:pPr>
      <w:r>
        <w:rPr>
          <w:rFonts w:ascii="Century Gothic" w:eastAsia="Century Gothic" w:hAnsi="Century Gothic" w:cs="Century Gothic"/>
          <w:color w:val="1A5490"/>
          <w:sz w:val="18"/>
        </w:rPr>
        <w:t xml:space="preserve">Trois déséquilibres majeurs doivent être notés : </w:t>
      </w:r>
    </w:p>
    <w:p w14:paraId="5CFBF8C8" w14:textId="77777777" w:rsidR="00121274" w:rsidRPr="001C1ECB" w:rsidRDefault="00000000" w:rsidP="00A37B03">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Faible taille du groupe PD (n=3 donneurs)</w:t>
      </w:r>
      <w:r>
        <w:rPr>
          <w:rFonts w:ascii="Century Gothic" w:eastAsia="Century Gothic" w:hAnsi="Century Gothic" w:cs="Century Gothic"/>
          <w:color w:val="1A5490"/>
          <w:sz w:val="18"/>
        </w:rPr>
        <w:t xml:space="preserve"> : Limite sévèrement la puissance statistique pour détecter des DEGs dans ce groupe. Risque élevé de faux négatifs (vrais effets biologiques non détectés). Conséquence : Les résultats pour PD doivent être interprétés avec une extrême prudence. </w:t>
      </w:r>
    </w:p>
    <w:p w14:paraId="52FB122F" w14:textId="29C21B0A" w:rsidR="001C1ECB" w:rsidRPr="001C1ECB" w:rsidRDefault="001C1ECB" w:rsidP="00FA16FD">
      <w:pPr>
        <w:numPr>
          <w:ilvl w:val="0"/>
          <w:numId w:val="6"/>
        </w:numPr>
        <w:tabs>
          <w:tab w:val="left" w:pos="851"/>
        </w:tabs>
        <w:spacing w:after="0" w:line="240" w:lineRule="auto"/>
        <w:ind w:left="567" w:right="21"/>
        <w:jc w:val="left"/>
        <w:rPr>
          <w:rFonts w:ascii="Century Gothic" w:eastAsia="Century Gothic" w:hAnsi="Century Gothic" w:cs="Century Gothic"/>
          <w:color w:val="1A5490"/>
          <w:sz w:val="18"/>
        </w:rPr>
      </w:pPr>
      <w:r w:rsidRPr="00FA16FD">
        <w:rPr>
          <w:rFonts w:ascii="Century Gothic" w:eastAsia="Century Gothic" w:hAnsi="Century Gothic" w:cs="Century Gothic"/>
          <w:i/>
          <w:iCs/>
          <w:color w:val="1A5490"/>
          <w:sz w:val="18"/>
        </w:rPr>
        <w:t>Biais de sexe</w:t>
      </w:r>
      <w:r w:rsidRPr="001C1ECB">
        <w:rPr>
          <w:rFonts w:ascii="Century Gothic" w:eastAsia="Century Gothic" w:hAnsi="Century Gothic" w:cs="Century Gothic"/>
          <w:color w:val="1A5490"/>
          <w:sz w:val="18"/>
        </w:rPr>
        <w:t xml:space="preserve"> : L'analyse de la distribution des sexes dans notre cohorte restreinte (N=17) révèle des disparités variables selon les groupes : Le groupe Parkinson (PD) présente une prédominance masculine (2 hommes pour 1 femme, soit 67%), ce qui reflète la prévalence épidémiologique connue de la maladie mais limite la puissance statistique pour l'analyse des différences liées au sexe. Le groupe Alzheimer (AD) et le groupe Contrôle (CTRL) montrent une distribution plus équilibrée, bien que les effectifs réduits invitent à la prudence.</w:t>
      </w:r>
      <w:r>
        <w:rPr>
          <w:rFonts w:ascii="Century Gothic" w:eastAsia="Century Gothic" w:hAnsi="Century Gothic" w:cs="Century Gothic"/>
          <w:color w:val="1A5490"/>
          <w:sz w:val="18"/>
        </w:rPr>
        <w:t xml:space="preserve"> </w:t>
      </w:r>
    </w:p>
    <w:p w14:paraId="04F565DA" w14:textId="0F3BEC44" w:rsidR="001C1ECB" w:rsidRPr="001C1ECB" w:rsidRDefault="001C1ECB" w:rsidP="001C1ECB">
      <w:pPr>
        <w:tabs>
          <w:tab w:val="left" w:pos="851"/>
        </w:tabs>
        <w:spacing w:after="0" w:line="240" w:lineRule="auto"/>
        <w:ind w:left="567" w:right="21" w:firstLine="0"/>
        <w:jc w:val="left"/>
        <w:rPr>
          <w:rFonts w:ascii="Century Gothic" w:eastAsia="Century Gothic" w:hAnsi="Century Gothic" w:cs="Century Gothic"/>
          <w:color w:val="1A5490"/>
          <w:sz w:val="18"/>
        </w:rPr>
      </w:pPr>
      <w:r w:rsidRPr="001C1ECB">
        <w:rPr>
          <w:rFonts w:ascii="Century Gothic" w:eastAsia="Century Gothic" w:hAnsi="Century Gothic" w:cs="Century Gothic"/>
          <w:color w:val="1A5490"/>
          <w:sz w:val="18"/>
        </w:rPr>
        <w:t xml:space="preserve">Conséquence méthodologique : Afin de neutraliser ce biais potentiel, le sexe biologique a été inclus comme co-variable dans le modèle linéaire </w:t>
      </w:r>
      <w:r w:rsidR="001D624B">
        <w:rPr>
          <w:rFonts w:ascii="Century Gothic" w:eastAsia="Century Gothic" w:hAnsi="Century Gothic" w:cs="Century Gothic"/>
          <w:color w:val="1A5490"/>
          <w:sz w:val="18"/>
        </w:rPr>
        <w:t>L</w:t>
      </w:r>
      <w:r w:rsidRPr="001C1ECB">
        <w:rPr>
          <w:rFonts w:ascii="Century Gothic" w:eastAsia="Century Gothic" w:hAnsi="Century Gothic" w:cs="Century Gothic"/>
          <w:color w:val="1A5490"/>
          <w:sz w:val="18"/>
        </w:rPr>
        <w:t>imma</w:t>
      </w:r>
      <w:r>
        <w:rPr>
          <w:rFonts w:ascii="Century Gothic" w:eastAsia="Century Gothic" w:hAnsi="Century Gothic" w:cs="Century Gothic"/>
          <w:color w:val="1A5490"/>
          <w:sz w:val="18"/>
        </w:rPr>
        <w:t>-</w:t>
      </w:r>
      <w:r w:rsidR="001D624B">
        <w:rPr>
          <w:rFonts w:ascii="Century Gothic" w:eastAsia="Century Gothic" w:hAnsi="Century Gothic" w:cs="Century Gothic"/>
          <w:color w:val="1A5490"/>
          <w:sz w:val="18"/>
        </w:rPr>
        <w:t>V</w:t>
      </w:r>
      <w:r>
        <w:rPr>
          <w:rFonts w:ascii="Century Gothic" w:eastAsia="Century Gothic" w:hAnsi="Century Gothic" w:cs="Century Gothic"/>
          <w:color w:val="1A5490"/>
          <w:sz w:val="18"/>
        </w:rPr>
        <w:t>oom</w:t>
      </w:r>
      <w:r w:rsidR="00DA43E4">
        <w:rPr>
          <w:rFonts w:ascii="Century Gothic" w:eastAsia="Century Gothic" w:hAnsi="Century Gothic" w:cs="Century Gothic"/>
          <w:color w:val="1A5490"/>
          <w:sz w:val="18"/>
        </w:rPr>
        <w:t xml:space="preserve"> </w:t>
      </w:r>
      <w:r w:rsidRPr="001C1ECB">
        <w:rPr>
          <w:rFonts w:ascii="Century Gothic" w:eastAsia="Century Gothic" w:hAnsi="Century Gothic" w:cs="Century Gothic"/>
          <w:color w:val="1A5490"/>
          <w:sz w:val="18"/>
        </w:rPr>
        <w:t>lors de l'analyse différentielle.</w:t>
      </w:r>
    </w:p>
    <w:p w14:paraId="5994E995" w14:textId="731EFE89" w:rsidR="00121274" w:rsidRDefault="00000000" w:rsidP="00AE1459">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Biais d'ascendance</w:t>
      </w:r>
      <w:r>
        <w:rPr>
          <w:rFonts w:ascii="Century Gothic" w:eastAsia="Century Gothic" w:hAnsi="Century Gothic" w:cs="Century Gothic"/>
          <w:color w:val="1A5490"/>
          <w:sz w:val="18"/>
        </w:rPr>
        <w:t xml:space="preserve"> : Le groupe CTRL est 100% européen, </w:t>
      </w:r>
      <w:r w:rsidR="00A37B03">
        <w:rPr>
          <w:rFonts w:ascii="Century Gothic" w:eastAsia="Century Gothic" w:hAnsi="Century Gothic" w:cs="Century Gothic"/>
          <w:color w:val="1A5490"/>
          <w:sz w:val="18"/>
        </w:rPr>
        <w:t>alors qu’AD</w:t>
      </w:r>
      <w:r>
        <w:rPr>
          <w:rFonts w:ascii="Century Gothic" w:eastAsia="Century Gothic" w:hAnsi="Century Gothic" w:cs="Century Gothic"/>
          <w:color w:val="1A5490"/>
          <w:sz w:val="18"/>
        </w:rPr>
        <w:t xml:space="preserve"> et PD sont mixtes (européen + asiatique). L'ascendance génétique influence l'expression génique de base. Elle </w:t>
      </w:r>
      <w:r w:rsidR="00A37B03">
        <w:rPr>
          <w:rFonts w:ascii="Century Gothic" w:eastAsia="Century Gothic" w:hAnsi="Century Gothic" w:cs="Century Gothic"/>
          <w:color w:val="1A5490"/>
          <w:sz w:val="18"/>
        </w:rPr>
        <w:t>doit</w:t>
      </w:r>
      <w:r>
        <w:rPr>
          <w:rFonts w:ascii="Century Gothic" w:eastAsia="Century Gothic" w:hAnsi="Century Gothic" w:cs="Century Gothic"/>
          <w:color w:val="1A5490"/>
          <w:sz w:val="18"/>
        </w:rPr>
        <w:t xml:space="preserve"> également être contrôlée dans le modèle statistique pour isoler l'effet pur de la pathologie.</w:t>
      </w:r>
    </w:p>
    <w:p w14:paraId="6FA81C4C" w14:textId="77777777" w:rsidR="00121274" w:rsidRDefault="00000000" w:rsidP="00EF78CD">
      <w:pPr>
        <w:pStyle w:val="Titre2"/>
        <w:spacing w:after="0" w:line="240" w:lineRule="auto"/>
        <w:ind w:left="483" w:hanging="498"/>
      </w:pPr>
      <w:r>
        <w:t xml:space="preserve">Normalisation et sélection de gènes hautement variables </w:t>
      </w:r>
    </w:p>
    <w:p w14:paraId="1F528087" w14:textId="77777777" w:rsidR="00121274" w:rsidRDefault="00000000" w:rsidP="00EF78CD">
      <w:pPr>
        <w:spacing w:after="0" w:line="240" w:lineRule="auto"/>
        <w:ind w:left="-5" w:right="35"/>
      </w:pPr>
      <w:r>
        <w:t xml:space="preserve">Les étapes de transformation suivantes ont été appliquées dans l'ordre : </w:t>
      </w:r>
    </w:p>
    <w:p w14:paraId="3B198AB1" w14:textId="77777777" w:rsidR="00121274" w:rsidRDefault="00000000" w:rsidP="00EF78CD">
      <w:pPr>
        <w:numPr>
          <w:ilvl w:val="0"/>
          <w:numId w:val="8"/>
        </w:numPr>
        <w:spacing w:after="0" w:line="240" w:lineRule="auto"/>
        <w:ind w:right="35"/>
      </w:pPr>
      <w:r>
        <w:t xml:space="preserve">Sauvegarde des comptages bruts : Les comptages UMI bruts ont été préservés dans adata.layers['counts'] AVANT toute transformation. Cette étape est critique pour l'analyse différentielle ultérieure (DESeq2 exige des comptages entiers non normalisés). </w:t>
      </w:r>
    </w:p>
    <w:p w14:paraId="5DEA855C" w14:textId="77777777" w:rsidR="00121274" w:rsidRDefault="00000000" w:rsidP="00EF78CD">
      <w:pPr>
        <w:spacing w:after="0" w:line="240" w:lineRule="auto"/>
        <w:ind w:left="0" w:right="0" w:firstLine="0"/>
        <w:jc w:val="left"/>
      </w:pPr>
      <w:r>
        <w:t xml:space="preserve"> </w:t>
      </w:r>
    </w:p>
    <w:p w14:paraId="090B0B31" w14:textId="77777777" w:rsidR="00121274" w:rsidRDefault="00000000" w:rsidP="00EF78CD">
      <w:pPr>
        <w:numPr>
          <w:ilvl w:val="0"/>
          <w:numId w:val="8"/>
        </w:numPr>
        <w:spacing w:after="0" w:line="240" w:lineRule="auto"/>
        <w:ind w:right="35"/>
      </w:pPr>
      <w:r>
        <w:t xml:space="preserve">Normalisation par profondeur de séquençage : Chaque noyau a été normalisé à 10 000 UMI totaux (scanpy.pp.normalize_total, target_sum=1e4) pour corriger les différences de profondeur de séquençage entre noyaux. </w:t>
      </w:r>
    </w:p>
    <w:p w14:paraId="07B91871" w14:textId="77777777" w:rsidR="00121274" w:rsidRDefault="00000000" w:rsidP="00EF78CD">
      <w:pPr>
        <w:spacing w:after="0" w:line="240" w:lineRule="auto"/>
        <w:ind w:left="0" w:right="0" w:firstLine="0"/>
        <w:jc w:val="left"/>
      </w:pPr>
      <w:r>
        <w:t xml:space="preserve"> </w:t>
      </w:r>
    </w:p>
    <w:p w14:paraId="62EB5F05" w14:textId="77777777" w:rsidR="00121274" w:rsidRDefault="00000000" w:rsidP="00EF78CD">
      <w:pPr>
        <w:numPr>
          <w:ilvl w:val="0"/>
          <w:numId w:val="8"/>
        </w:numPr>
        <w:spacing w:after="0" w:line="240" w:lineRule="auto"/>
        <w:ind w:right="35"/>
      </w:pPr>
      <w:r>
        <w:t xml:space="preserve">Log-transformation : Application de log(x+1) (scanpy.pp.log1p) pour stabiliser la variance et rapprocher la distribution des comptages d'une distribution normale, condition requise pour les méthodes linéaires (PCA). </w:t>
      </w:r>
    </w:p>
    <w:p w14:paraId="7AA936F4" w14:textId="77777777" w:rsidR="00121274" w:rsidRDefault="00000000" w:rsidP="00EF78CD">
      <w:pPr>
        <w:spacing w:after="0" w:line="240" w:lineRule="auto"/>
        <w:ind w:left="0" w:right="0" w:firstLine="0"/>
        <w:jc w:val="left"/>
      </w:pPr>
      <w:r>
        <w:t xml:space="preserve"> </w:t>
      </w:r>
    </w:p>
    <w:p w14:paraId="48AE1D4F" w14:textId="77777777" w:rsidR="00121274" w:rsidRDefault="00000000" w:rsidP="00EF78CD">
      <w:pPr>
        <w:numPr>
          <w:ilvl w:val="0"/>
          <w:numId w:val="8"/>
        </w:numPr>
        <w:spacing w:after="0" w:line="240" w:lineRule="auto"/>
        <w:ind w:right="35"/>
      </w:pPr>
      <w:r>
        <w:t xml:space="preserve">Sélection des gènes hautement variables (HVGs) : Identification et conservation des 2 000 gènes présentant la plus forte variabilité biologique entre noyaux (méthode Seurat v3, scanpy.pp.highly_variable_genes). Cette étape réduit le bruit technique et la charge computationnelle tout en préservant le signal biologique. </w:t>
      </w:r>
    </w:p>
    <w:p w14:paraId="5AA7447A" w14:textId="77777777" w:rsidR="00121274" w:rsidRDefault="00000000" w:rsidP="00EF78CD">
      <w:pPr>
        <w:spacing w:after="0" w:line="240" w:lineRule="auto"/>
        <w:ind w:left="1436" w:right="268"/>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Importance critique de la préservation des raw counts </w:t>
      </w:r>
      <w:r>
        <w:rPr>
          <w:rFonts w:ascii="Century Gothic" w:eastAsia="Century Gothic" w:hAnsi="Century Gothic" w:cs="Century Gothic"/>
          <w:color w:val="666666"/>
          <w:sz w:val="18"/>
        </w:rPr>
        <w:t xml:space="preserve">DESeq2 (et toutes les méthodes d'analyse différentielle basées sur la loi binomiale négative) EXIGENT des comptages entiers bruts, NON normalisés et NON log-transformés. Pourquoi ? </w:t>
      </w:r>
    </w:p>
    <w:p w14:paraId="5DFAE1EC"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lastRenderedPageBreak/>
        <w:t xml:space="preserve"> </w:t>
      </w:r>
    </w:p>
    <w:p w14:paraId="7CBA0042" w14:textId="77777777" w:rsidR="00121274" w:rsidRDefault="00000000" w:rsidP="00EF78CD">
      <w:pPr>
        <w:spacing w:after="0" w:line="240" w:lineRule="auto"/>
        <w:ind w:left="1436" w:right="542"/>
        <w:jc w:val="left"/>
      </w:pPr>
      <w:r>
        <w:rPr>
          <w:rFonts w:ascii="Century Gothic" w:eastAsia="Century Gothic" w:hAnsi="Century Gothic" w:cs="Century Gothic"/>
          <w:color w:val="666666"/>
          <w:sz w:val="18"/>
        </w:rPr>
        <w:t xml:space="preserve">Le modèle statistique de DESeq2 modélise la distribution des comptages comme suit : Comptages ~ NegativeBinomial(μ, dispersion) où μ dépend de la taille de la bibliothèque (size factor) et de l'expression du gène. </w:t>
      </w:r>
    </w:p>
    <w:p w14:paraId="06A8E8E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18FBA263"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Si on fournit des données déjà normalisées ou log-transformées, ce modèle est mathématiquement invalide (les valeurs ne sont plus des entiers, la variance n'est plus proportionnelle à la moyenne). Conséquence : Les p-values et les estimations de foldchange deviennent incorrectes. </w:t>
      </w:r>
    </w:p>
    <w:p w14:paraId="089179D9"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4FFC310E"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C'est pourquoi adata.layers['counts'] doit impérativement contenir les comptages bruts originaux.</w:t>
      </w:r>
      <w:r>
        <w:t xml:space="preserve"> </w:t>
      </w:r>
    </w:p>
    <w:p w14:paraId="18F2BAE8" w14:textId="77777777" w:rsidR="00121274" w:rsidRDefault="00000000" w:rsidP="00EF78CD">
      <w:pPr>
        <w:pStyle w:val="Titre2"/>
        <w:spacing w:after="0" w:line="240" w:lineRule="auto"/>
        <w:ind w:left="483" w:hanging="498"/>
      </w:pPr>
      <w:r>
        <w:t xml:space="preserve">Réduction de dimensionnalité et clustering </w:t>
      </w:r>
    </w:p>
    <w:p w14:paraId="32F9216F" w14:textId="75FC4E59" w:rsidR="00121274" w:rsidRDefault="00000000" w:rsidP="00EF78CD">
      <w:pPr>
        <w:tabs>
          <w:tab w:val="center" w:pos="2266"/>
          <w:tab w:val="center" w:pos="4308"/>
          <w:tab w:val="center" w:pos="6391"/>
          <w:tab w:val="center" w:pos="7940"/>
          <w:tab w:val="right" w:pos="9447"/>
        </w:tabs>
        <w:spacing w:after="0" w:line="240" w:lineRule="auto"/>
        <w:ind w:left="-15" w:right="0" w:firstLine="0"/>
        <w:jc w:val="left"/>
      </w:pPr>
      <w:r>
        <w:t xml:space="preserve">Réduction de dimensionnalité par PCA : </w:t>
      </w:r>
    </w:p>
    <w:p w14:paraId="1A848049" w14:textId="77777777" w:rsidR="00121274" w:rsidRDefault="00000000" w:rsidP="00EF78CD">
      <w:pPr>
        <w:spacing w:after="0" w:line="240" w:lineRule="auto"/>
        <w:ind w:left="-5" w:right="35"/>
      </w:pPr>
      <w:r>
        <w:t xml:space="preserve">Une Analyse en Composantes Principales (PCA) a été calculée sur les 2 000 HVGs (50 composantes principales, scanpy.tl.pca). Les 30 premières PCs, capturant la majorité de la variance biologique (Figure 4), ont été retenues pour les étapes suivantes. </w:t>
      </w:r>
    </w:p>
    <w:p w14:paraId="683A25A4" w14:textId="77777777" w:rsidR="00121274" w:rsidRDefault="00000000" w:rsidP="00EF78CD">
      <w:pPr>
        <w:spacing w:after="0" w:line="240" w:lineRule="auto"/>
        <w:ind w:left="0" w:right="0" w:firstLine="0"/>
        <w:jc w:val="left"/>
      </w:pPr>
      <w:r>
        <w:t xml:space="preserve"> </w:t>
      </w:r>
    </w:p>
    <w:p w14:paraId="19C2FC77" w14:textId="5C778D33" w:rsidR="00121274" w:rsidRDefault="00000000" w:rsidP="00EF78CD">
      <w:pPr>
        <w:tabs>
          <w:tab w:val="center" w:pos="2575"/>
          <w:tab w:val="center" w:pos="4232"/>
          <w:tab w:val="center" w:pos="5884"/>
          <w:tab w:val="center" w:pos="7668"/>
          <w:tab w:val="right" w:pos="9447"/>
        </w:tabs>
        <w:spacing w:after="0" w:line="240" w:lineRule="auto"/>
        <w:ind w:left="-15" w:right="0" w:firstLine="0"/>
        <w:jc w:val="left"/>
      </w:pPr>
      <w:r>
        <w:t xml:space="preserve">Construction du graphe de voisinage : </w:t>
      </w:r>
    </w:p>
    <w:p w14:paraId="685C2CAE" w14:textId="77777777" w:rsidR="00121274" w:rsidRDefault="00000000" w:rsidP="00EF78CD">
      <w:pPr>
        <w:spacing w:after="0" w:line="240" w:lineRule="auto"/>
        <w:ind w:left="-5" w:right="35"/>
      </w:pPr>
      <w:r>
        <w:t xml:space="preserve">Un graphe k-nearest neighbors (kNN) a été construit dans l'espace PCA à 30 dimensions (scanpy.pp.neighbors, n_neighbors=15). Ce graphe représente la similarité transcriptomique entre noyaux : deux noyaux sont connectés s'ils figurent parmi les 15 voisins les plus proches l'un de l'autre. </w:t>
      </w:r>
    </w:p>
    <w:p w14:paraId="332B0C0B" w14:textId="77777777" w:rsidR="00121274" w:rsidRDefault="00000000" w:rsidP="00EF78CD">
      <w:pPr>
        <w:spacing w:after="0" w:line="240" w:lineRule="auto"/>
        <w:ind w:left="0" w:right="0" w:firstLine="0"/>
        <w:jc w:val="left"/>
      </w:pPr>
      <w:r>
        <w:t xml:space="preserve"> </w:t>
      </w:r>
    </w:p>
    <w:p w14:paraId="1579CD01" w14:textId="0C42E24E" w:rsidR="00121274" w:rsidRDefault="00000000" w:rsidP="00EF78CD">
      <w:pPr>
        <w:tabs>
          <w:tab w:val="center" w:pos="5169"/>
          <w:tab w:val="right" w:pos="9447"/>
        </w:tabs>
        <w:spacing w:after="0" w:line="240" w:lineRule="auto"/>
        <w:ind w:left="-15" w:right="0" w:firstLine="0"/>
        <w:jc w:val="left"/>
      </w:pPr>
      <w:r>
        <w:t xml:space="preserve">Clustering Leiden : </w:t>
      </w:r>
    </w:p>
    <w:p w14:paraId="7CBA4C04" w14:textId="77777777" w:rsidR="00121274" w:rsidRDefault="00000000" w:rsidP="00EF78CD">
      <w:pPr>
        <w:spacing w:after="0" w:line="240" w:lineRule="auto"/>
        <w:ind w:left="-5" w:right="35"/>
      </w:pPr>
      <w:r>
        <w:t xml:space="preserve">L'algorithme de détection de communautés Leiden (résolution=0.5, scanpy.tl.leiden) a été appliqué au graphe de voisinage pour partitionner les 62 800 noyaux en 23 clusters initiaux. Chaque cluster représente un groupe de noyaux transcriptomiquement homogènes, potentiellement correspondant à un type/sous-type cellulaire ou à un état fonctionnel distinct. </w:t>
      </w:r>
    </w:p>
    <w:p w14:paraId="12033F8D" w14:textId="77777777" w:rsidR="00121274" w:rsidRDefault="00000000" w:rsidP="00EF78CD">
      <w:pPr>
        <w:spacing w:after="0" w:line="240" w:lineRule="auto"/>
        <w:ind w:left="0" w:right="0" w:firstLine="0"/>
        <w:jc w:val="left"/>
      </w:pPr>
      <w:r>
        <w:t xml:space="preserve"> </w:t>
      </w:r>
    </w:p>
    <w:p w14:paraId="21A9AEB6" w14:textId="345340FD" w:rsidR="00121274" w:rsidRDefault="00000000" w:rsidP="00EF78CD">
      <w:pPr>
        <w:tabs>
          <w:tab w:val="center" w:pos="5301"/>
          <w:tab w:val="right" w:pos="9447"/>
        </w:tabs>
        <w:spacing w:after="0" w:line="240" w:lineRule="auto"/>
        <w:ind w:left="-15" w:right="0" w:firstLine="0"/>
        <w:jc w:val="left"/>
      </w:pPr>
      <w:r>
        <w:t xml:space="preserve">Visualisation UMAP : </w:t>
      </w:r>
    </w:p>
    <w:p w14:paraId="05A02F39" w14:textId="77777777" w:rsidR="00121274" w:rsidRDefault="00000000" w:rsidP="00EF78CD">
      <w:pPr>
        <w:spacing w:after="0" w:line="240" w:lineRule="auto"/>
        <w:ind w:left="-5" w:right="35"/>
      </w:pPr>
      <w:r>
        <w:t xml:space="preserve">Une projection UMAP (Uniform Manifold Approximation and Projection, scanpy.tl.umap) a été générée pour visualiser la structure globale du dataset en 2 dimensions (Figure 5). </w:t>
      </w:r>
    </w:p>
    <w:p w14:paraId="6D404C89" w14:textId="77777777" w:rsidR="00121274" w:rsidRDefault="00000000" w:rsidP="00EF78CD">
      <w:pPr>
        <w:spacing w:after="0" w:line="240" w:lineRule="auto"/>
        <w:ind w:left="24" w:right="0" w:firstLine="0"/>
        <w:jc w:val="center"/>
      </w:pPr>
      <w:r>
        <w:t xml:space="preserve"> </w:t>
      </w:r>
    </w:p>
    <w:p w14:paraId="56C511C3" w14:textId="77777777" w:rsidR="00121274" w:rsidRDefault="00000000" w:rsidP="00EF78CD">
      <w:pPr>
        <w:pStyle w:val="Titre2"/>
        <w:spacing w:after="0" w:line="240" w:lineRule="auto"/>
        <w:ind w:left="483" w:hanging="498"/>
      </w:pPr>
      <w:r>
        <w:t xml:space="preserve">Annotation des types cellulaires </w:t>
      </w:r>
    </w:p>
    <w:p w14:paraId="6147588E" w14:textId="77777777" w:rsidR="00121274" w:rsidRDefault="00000000" w:rsidP="00EF78CD">
      <w:pPr>
        <w:spacing w:after="0" w:line="240" w:lineRule="auto"/>
        <w:ind w:left="-5" w:right="35"/>
      </w:pPr>
      <w:r>
        <w:t xml:space="preserve">Les 23 clusters Leiden ont été annotés manuellement en 8 macro-types cellulaires basés sur l'expression de marqueurs canoniques de la littérature (Tableau 2). Cette annotation a été réalisée via l'inspection des gènes différentiellement exprimés par cluster (test de Wilcoxon, scanpy.tl.rank_genes_groups) et comparée aux atlas de référence (PanglaoDB, CellMarker). </w:t>
      </w:r>
    </w:p>
    <w:tbl>
      <w:tblPr>
        <w:tblStyle w:val="TableGrid"/>
        <w:tblW w:w="9620" w:type="dxa"/>
        <w:tblInd w:w="-105" w:type="dxa"/>
        <w:tblCellMar>
          <w:top w:w="56" w:type="dxa"/>
          <w:left w:w="105" w:type="dxa"/>
          <w:right w:w="50" w:type="dxa"/>
        </w:tblCellMar>
        <w:tblLook w:val="04A0" w:firstRow="1" w:lastRow="0" w:firstColumn="1" w:lastColumn="0" w:noHBand="0" w:noVBand="1"/>
      </w:tblPr>
      <w:tblGrid>
        <w:gridCol w:w="2749"/>
        <w:gridCol w:w="2292"/>
        <w:gridCol w:w="2285"/>
        <w:gridCol w:w="2294"/>
      </w:tblGrid>
      <w:tr w:rsidR="00121274" w14:paraId="19F87608" w14:textId="77777777">
        <w:trPr>
          <w:trHeight w:val="544"/>
        </w:trPr>
        <w:tc>
          <w:tcPr>
            <w:tcW w:w="2749" w:type="dxa"/>
            <w:tcBorders>
              <w:top w:val="single" w:sz="8" w:space="0" w:color="4F81BD"/>
              <w:left w:val="single" w:sz="8" w:space="0" w:color="4F81BD"/>
              <w:bottom w:val="single" w:sz="18" w:space="0" w:color="4F81BD"/>
              <w:right w:val="single" w:sz="8" w:space="0" w:color="4F81BD"/>
            </w:tcBorders>
          </w:tcPr>
          <w:p w14:paraId="091D1CF3" w14:textId="77777777" w:rsidR="00121274" w:rsidRDefault="00000000" w:rsidP="00EF78CD">
            <w:pPr>
              <w:spacing w:after="0" w:line="240" w:lineRule="auto"/>
              <w:ind w:left="0" w:right="0" w:firstLine="0"/>
              <w:jc w:val="left"/>
            </w:pPr>
            <w:r>
              <w:rPr>
                <w:b/>
                <w:sz w:val="22"/>
              </w:rPr>
              <w:t>Macro-type cellulaire</w:t>
            </w:r>
            <w:r>
              <w:rPr>
                <w:b/>
              </w:rPr>
              <w:t xml:space="preserve"> </w:t>
            </w:r>
          </w:p>
        </w:tc>
        <w:tc>
          <w:tcPr>
            <w:tcW w:w="2292" w:type="dxa"/>
            <w:tcBorders>
              <w:top w:val="single" w:sz="8" w:space="0" w:color="4F81BD"/>
              <w:left w:val="single" w:sz="8" w:space="0" w:color="4F81BD"/>
              <w:bottom w:val="single" w:sz="18" w:space="0" w:color="4F81BD"/>
              <w:right w:val="single" w:sz="8" w:space="0" w:color="4F81BD"/>
            </w:tcBorders>
          </w:tcPr>
          <w:p w14:paraId="3CEC5631" w14:textId="77777777" w:rsidR="00121274" w:rsidRDefault="00000000" w:rsidP="00EF78CD">
            <w:pPr>
              <w:spacing w:after="0" w:line="240" w:lineRule="auto"/>
              <w:ind w:left="0" w:right="0" w:firstLine="0"/>
              <w:jc w:val="left"/>
            </w:pPr>
            <w:r>
              <w:rPr>
                <w:b/>
                <w:sz w:val="22"/>
              </w:rPr>
              <w:t>Clusters Leiden</w:t>
            </w:r>
            <w:r>
              <w:rPr>
                <w:b/>
              </w:rPr>
              <w:t xml:space="preserve"> </w:t>
            </w:r>
          </w:p>
        </w:tc>
        <w:tc>
          <w:tcPr>
            <w:tcW w:w="2285" w:type="dxa"/>
            <w:tcBorders>
              <w:top w:val="single" w:sz="8" w:space="0" w:color="4F81BD"/>
              <w:left w:val="single" w:sz="8" w:space="0" w:color="4F81BD"/>
              <w:bottom w:val="single" w:sz="18" w:space="0" w:color="4F81BD"/>
              <w:right w:val="single" w:sz="8" w:space="0" w:color="4F81BD"/>
            </w:tcBorders>
          </w:tcPr>
          <w:p w14:paraId="51B36D51" w14:textId="77777777" w:rsidR="00121274" w:rsidRDefault="00000000" w:rsidP="00EF78CD">
            <w:pPr>
              <w:spacing w:after="0" w:line="240" w:lineRule="auto"/>
              <w:ind w:left="5" w:right="0" w:firstLine="0"/>
              <w:jc w:val="left"/>
            </w:pPr>
            <w:r>
              <w:rPr>
                <w:b/>
                <w:sz w:val="22"/>
              </w:rPr>
              <w:t>N Noyaux (%)</w:t>
            </w:r>
            <w:r>
              <w:rPr>
                <w:b/>
              </w:rPr>
              <w:t xml:space="preserve"> </w:t>
            </w:r>
          </w:p>
        </w:tc>
        <w:tc>
          <w:tcPr>
            <w:tcW w:w="2294" w:type="dxa"/>
            <w:tcBorders>
              <w:top w:val="single" w:sz="8" w:space="0" w:color="4F81BD"/>
              <w:left w:val="single" w:sz="8" w:space="0" w:color="4F81BD"/>
              <w:bottom w:val="single" w:sz="18" w:space="0" w:color="4F81BD"/>
              <w:right w:val="single" w:sz="8" w:space="0" w:color="4F81BD"/>
            </w:tcBorders>
          </w:tcPr>
          <w:p w14:paraId="6B759C42" w14:textId="77777777" w:rsidR="00121274" w:rsidRDefault="00000000" w:rsidP="00EF78CD">
            <w:pPr>
              <w:spacing w:after="0" w:line="240" w:lineRule="auto"/>
              <w:ind w:left="0" w:right="0" w:firstLine="0"/>
              <w:jc w:val="left"/>
            </w:pPr>
            <w:r>
              <w:rPr>
                <w:b/>
                <w:sz w:val="22"/>
              </w:rPr>
              <w:t>Marqueurs canoniques</w:t>
            </w:r>
            <w:r>
              <w:rPr>
                <w:b/>
              </w:rPr>
              <w:t xml:space="preserve"> </w:t>
            </w:r>
          </w:p>
        </w:tc>
      </w:tr>
      <w:tr w:rsidR="00121274" w14:paraId="560483C3" w14:textId="77777777">
        <w:trPr>
          <w:trHeight w:val="530"/>
        </w:trPr>
        <w:tc>
          <w:tcPr>
            <w:tcW w:w="2749" w:type="dxa"/>
            <w:tcBorders>
              <w:top w:val="single" w:sz="18" w:space="0" w:color="4F81BD"/>
              <w:left w:val="single" w:sz="8" w:space="0" w:color="4F81BD"/>
              <w:bottom w:val="single" w:sz="8" w:space="0" w:color="4F81BD"/>
              <w:right w:val="single" w:sz="8" w:space="0" w:color="4F81BD"/>
            </w:tcBorders>
            <w:shd w:val="clear" w:color="auto" w:fill="D3DFEE"/>
          </w:tcPr>
          <w:p w14:paraId="6BD4D3AA" w14:textId="77777777" w:rsidR="00121274" w:rsidRDefault="00000000" w:rsidP="00EF78CD">
            <w:pPr>
              <w:spacing w:after="0" w:line="240" w:lineRule="auto"/>
              <w:ind w:left="0" w:right="0" w:firstLine="0"/>
              <w:jc w:val="left"/>
            </w:pPr>
            <w:r>
              <w:rPr>
                <w:b/>
                <w:sz w:val="22"/>
              </w:rPr>
              <w:t>Neurones excitateurs</w:t>
            </w:r>
            <w:r>
              <w:rPr>
                <w:b/>
              </w:rPr>
              <w:t xml:space="preserve"> </w:t>
            </w:r>
          </w:p>
        </w:tc>
        <w:tc>
          <w:tcPr>
            <w:tcW w:w="2292" w:type="dxa"/>
            <w:tcBorders>
              <w:top w:val="single" w:sz="18" w:space="0" w:color="4F81BD"/>
              <w:left w:val="single" w:sz="8" w:space="0" w:color="4F81BD"/>
              <w:bottom w:val="single" w:sz="8" w:space="0" w:color="4F81BD"/>
              <w:right w:val="single" w:sz="8" w:space="0" w:color="4F81BD"/>
            </w:tcBorders>
            <w:shd w:val="clear" w:color="auto" w:fill="D3DFEE"/>
          </w:tcPr>
          <w:p w14:paraId="5EC91AE4" w14:textId="77777777" w:rsidR="00121274" w:rsidRDefault="00000000" w:rsidP="00EF78CD">
            <w:pPr>
              <w:spacing w:after="0" w:line="240" w:lineRule="auto"/>
              <w:ind w:left="0" w:right="0" w:firstLine="0"/>
              <w:jc w:val="left"/>
            </w:pPr>
            <w:r>
              <w:rPr>
                <w:sz w:val="22"/>
              </w:rPr>
              <w:t>0, 2, 8, 11, 13, 16, 19</w:t>
            </w:r>
            <w:r>
              <w:t xml:space="preserve"> </w:t>
            </w:r>
          </w:p>
        </w:tc>
        <w:tc>
          <w:tcPr>
            <w:tcW w:w="2285" w:type="dxa"/>
            <w:tcBorders>
              <w:top w:val="single" w:sz="18" w:space="0" w:color="4F81BD"/>
              <w:left w:val="single" w:sz="8" w:space="0" w:color="4F81BD"/>
              <w:bottom w:val="single" w:sz="8" w:space="0" w:color="4F81BD"/>
              <w:right w:val="single" w:sz="8" w:space="0" w:color="4F81BD"/>
            </w:tcBorders>
            <w:shd w:val="clear" w:color="auto" w:fill="D3DFEE"/>
          </w:tcPr>
          <w:p w14:paraId="641979AA" w14:textId="77777777" w:rsidR="00121274" w:rsidRDefault="00000000" w:rsidP="00EF78CD">
            <w:pPr>
              <w:spacing w:after="0" w:line="240" w:lineRule="auto"/>
              <w:ind w:left="5" w:right="0" w:firstLine="0"/>
              <w:jc w:val="left"/>
            </w:pPr>
            <w:r>
              <w:rPr>
                <w:sz w:val="22"/>
              </w:rPr>
              <w:t>22 769 (36,3%)</w:t>
            </w:r>
            <w:r>
              <w:t xml:space="preserve"> </w:t>
            </w:r>
          </w:p>
        </w:tc>
        <w:tc>
          <w:tcPr>
            <w:tcW w:w="2294" w:type="dxa"/>
            <w:tcBorders>
              <w:top w:val="single" w:sz="18" w:space="0" w:color="4F81BD"/>
              <w:left w:val="single" w:sz="8" w:space="0" w:color="4F81BD"/>
              <w:bottom w:val="single" w:sz="8" w:space="0" w:color="4F81BD"/>
              <w:right w:val="single" w:sz="8" w:space="0" w:color="4F81BD"/>
            </w:tcBorders>
            <w:shd w:val="clear" w:color="auto" w:fill="D3DFEE"/>
          </w:tcPr>
          <w:p w14:paraId="405D4A9F" w14:textId="78F105D8" w:rsidR="00121274" w:rsidRDefault="00000000" w:rsidP="00EF78CD">
            <w:pPr>
              <w:spacing w:after="0" w:line="240" w:lineRule="auto"/>
              <w:ind w:left="0" w:right="0" w:firstLine="0"/>
              <w:jc w:val="left"/>
            </w:pPr>
            <w:r>
              <w:rPr>
                <w:sz w:val="22"/>
              </w:rPr>
              <w:t>SLC17A7, SATB2, TBR1</w:t>
            </w:r>
            <w:r>
              <w:t xml:space="preserve"> </w:t>
            </w:r>
          </w:p>
        </w:tc>
      </w:tr>
      <w:tr w:rsidR="00121274" w:rsidRPr="00647A77" w14:paraId="232595E2" w14:textId="77777777">
        <w:trPr>
          <w:trHeight w:val="533"/>
        </w:trPr>
        <w:tc>
          <w:tcPr>
            <w:tcW w:w="2749" w:type="dxa"/>
            <w:tcBorders>
              <w:top w:val="single" w:sz="8" w:space="0" w:color="4F81BD"/>
              <w:left w:val="single" w:sz="8" w:space="0" w:color="4F81BD"/>
              <w:bottom w:val="single" w:sz="8" w:space="0" w:color="4F81BD"/>
              <w:right w:val="single" w:sz="8" w:space="0" w:color="4F81BD"/>
            </w:tcBorders>
          </w:tcPr>
          <w:p w14:paraId="063FAD0E" w14:textId="77777777" w:rsidR="00121274" w:rsidRDefault="00000000" w:rsidP="00EF78CD">
            <w:pPr>
              <w:spacing w:after="0" w:line="240" w:lineRule="auto"/>
              <w:ind w:left="0" w:right="0" w:firstLine="0"/>
              <w:jc w:val="left"/>
            </w:pPr>
            <w:r>
              <w:rPr>
                <w:b/>
                <w:sz w:val="22"/>
              </w:rPr>
              <w:t>Neurones inhibiteurs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53DEA410" w14:textId="77777777" w:rsidR="00121274" w:rsidRDefault="00000000" w:rsidP="00EF78CD">
            <w:pPr>
              <w:spacing w:after="0" w:line="240" w:lineRule="auto"/>
              <w:ind w:left="0" w:right="0" w:firstLine="0"/>
              <w:jc w:val="left"/>
            </w:pPr>
            <w:r>
              <w:rPr>
                <w:sz w:val="22"/>
              </w:rPr>
              <w:t>1, 7, 12, 20</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1F48D993" w14:textId="77777777" w:rsidR="00121274" w:rsidRDefault="00000000" w:rsidP="00EF78CD">
            <w:pPr>
              <w:spacing w:after="0" w:line="240" w:lineRule="auto"/>
              <w:ind w:left="5" w:right="0" w:firstLine="0"/>
              <w:jc w:val="left"/>
            </w:pPr>
            <w:r>
              <w:rPr>
                <w:sz w:val="22"/>
              </w:rPr>
              <w:t>13 028 (20,7%)</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48CF951F" w14:textId="517A2ACD" w:rsidR="00121274" w:rsidRPr="002434EB" w:rsidRDefault="00000000" w:rsidP="00EF78CD">
            <w:pPr>
              <w:tabs>
                <w:tab w:val="right" w:pos="2139"/>
              </w:tabs>
              <w:spacing w:after="0" w:line="240" w:lineRule="auto"/>
              <w:ind w:left="0" w:right="0" w:firstLine="0"/>
              <w:jc w:val="left"/>
              <w:rPr>
                <w:lang w:val="en-US"/>
              </w:rPr>
            </w:pPr>
            <w:r w:rsidRPr="002434EB">
              <w:rPr>
                <w:sz w:val="22"/>
                <w:lang w:val="en-US"/>
              </w:rPr>
              <w:t xml:space="preserve">GAD1, GAD2, </w:t>
            </w:r>
          </w:p>
          <w:p w14:paraId="5E98B35B" w14:textId="77777777" w:rsidR="00121274" w:rsidRPr="002434EB" w:rsidRDefault="00000000" w:rsidP="00EF78CD">
            <w:pPr>
              <w:spacing w:after="0" w:line="240" w:lineRule="auto"/>
              <w:ind w:left="0" w:right="0" w:firstLine="0"/>
              <w:jc w:val="left"/>
              <w:rPr>
                <w:lang w:val="en-US"/>
              </w:rPr>
            </w:pPr>
            <w:r w:rsidRPr="002434EB">
              <w:rPr>
                <w:sz w:val="22"/>
                <w:lang w:val="en-US"/>
              </w:rPr>
              <w:t>PVALB, SST, VIP</w:t>
            </w:r>
            <w:r w:rsidRPr="002434EB">
              <w:rPr>
                <w:lang w:val="en-US"/>
              </w:rPr>
              <w:t xml:space="preserve"> </w:t>
            </w:r>
          </w:p>
        </w:tc>
      </w:tr>
      <w:tr w:rsidR="00121274" w14:paraId="4E6D1C5F"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3F3C12F" w14:textId="77777777" w:rsidR="00121274" w:rsidRDefault="00000000" w:rsidP="00EF78CD">
            <w:pPr>
              <w:spacing w:after="0" w:line="240" w:lineRule="auto"/>
              <w:ind w:left="0" w:right="0" w:firstLine="0"/>
              <w:jc w:val="left"/>
            </w:pPr>
            <w:r>
              <w:rPr>
                <w:b/>
                <w:sz w:val="22"/>
              </w:rPr>
              <w:t>Oligodendrocytes/OPC</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69473037" w14:textId="77777777" w:rsidR="00121274" w:rsidRDefault="00000000" w:rsidP="00EF78CD">
            <w:pPr>
              <w:spacing w:after="0" w:line="240" w:lineRule="auto"/>
              <w:ind w:left="0" w:right="0" w:firstLine="0"/>
              <w:jc w:val="left"/>
            </w:pPr>
            <w:r>
              <w:rPr>
                <w:sz w:val="22"/>
              </w:rPr>
              <w:t>3, 6, 14</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6B11AFD4" w14:textId="77777777" w:rsidR="00121274" w:rsidRDefault="00000000" w:rsidP="00EF78CD">
            <w:pPr>
              <w:spacing w:after="0" w:line="240" w:lineRule="auto"/>
              <w:ind w:left="5" w:right="0" w:firstLine="0"/>
              <w:jc w:val="left"/>
            </w:pPr>
            <w:r>
              <w:rPr>
                <w:sz w:val="22"/>
              </w:rPr>
              <w:t>9 696 (15,4%)</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20934FE7" w14:textId="77777777" w:rsidR="00121274" w:rsidRDefault="00000000" w:rsidP="00EF78CD">
            <w:pPr>
              <w:spacing w:after="0" w:line="240" w:lineRule="auto"/>
              <w:ind w:left="0" w:right="0" w:firstLine="0"/>
              <w:jc w:val="left"/>
            </w:pPr>
            <w:r>
              <w:rPr>
                <w:sz w:val="22"/>
              </w:rPr>
              <w:t>MBP, MOG, OLIG1, PDGFRA</w:t>
            </w:r>
            <w:r>
              <w:t xml:space="preserve"> </w:t>
            </w:r>
          </w:p>
        </w:tc>
      </w:tr>
      <w:tr w:rsidR="00121274" w14:paraId="2054DC16" w14:textId="77777777">
        <w:trPr>
          <w:trHeight w:val="530"/>
        </w:trPr>
        <w:tc>
          <w:tcPr>
            <w:tcW w:w="2749" w:type="dxa"/>
            <w:tcBorders>
              <w:top w:val="single" w:sz="8" w:space="0" w:color="4F81BD"/>
              <w:left w:val="single" w:sz="8" w:space="0" w:color="4F81BD"/>
              <w:bottom w:val="single" w:sz="8" w:space="0" w:color="4F81BD"/>
              <w:right w:val="single" w:sz="8" w:space="0" w:color="4F81BD"/>
            </w:tcBorders>
          </w:tcPr>
          <w:p w14:paraId="4AE63EFB" w14:textId="77777777" w:rsidR="00121274" w:rsidRDefault="00000000" w:rsidP="00EF78CD">
            <w:pPr>
              <w:spacing w:after="0" w:line="240" w:lineRule="auto"/>
              <w:ind w:left="0" w:right="0" w:firstLine="0"/>
              <w:jc w:val="left"/>
            </w:pPr>
            <w:r>
              <w:rPr>
                <w:b/>
                <w:sz w:val="22"/>
              </w:rPr>
              <w:t xml:space="preserve">Astrocytes </w:t>
            </w:r>
          </w:p>
          <w:p w14:paraId="7E0AEE2F" w14:textId="77777777" w:rsidR="00121274" w:rsidRDefault="00000000" w:rsidP="00EF78CD">
            <w:pPr>
              <w:spacing w:after="0" w:line="240" w:lineRule="auto"/>
              <w:ind w:left="0" w:right="0" w:firstLine="0"/>
              <w:jc w:val="left"/>
            </w:pPr>
            <w:r>
              <w:rPr>
                <w:b/>
                <w:sz w:val="22"/>
              </w:rPr>
              <w:t>Homéostatiques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04607A76" w14:textId="77777777" w:rsidR="00121274" w:rsidRDefault="00000000" w:rsidP="00EF78CD">
            <w:pPr>
              <w:spacing w:after="0" w:line="240" w:lineRule="auto"/>
              <w:ind w:left="0" w:right="0" w:firstLine="0"/>
              <w:jc w:val="left"/>
            </w:pPr>
            <w:r>
              <w:rPr>
                <w:sz w:val="22"/>
              </w:rPr>
              <w:t>4</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0446BE3D" w14:textId="77777777" w:rsidR="00121274" w:rsidRDefault="00000000" w:rsidP="00EF78CD">
            <w:pPr>
              <w:spacing w:after="0" w:line="240" w:lineRule="auto"/>
              <w:ind w:left="5" w:right="0" w:firstLine="0"/>
              <w:jc w:val="left"/>
            </w:pPr>
            <w:r>
              <w:rPr>
                <w:sz w:val="22"/>
              </w:rPr>
              <w:t>4 752 (7,6%)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8FCD492" w14:textId="56C8D3B6" w:rsidR="00121274" w:rsidRDefault="00000000" w:rsidP="00EF78CD">
            <w:pPr>
              <w:tabs>
                <w:tab w:val="right" w:pos="2139"/>
              </w:tabs>
              <w:spacing w:after="0" w:line="240" w:lineRule="auto"/>
              <w:ind w:left="0" w:right="0" w:firstLine="0"/>
              <w:jc w:val="left"/>
            </w:pPr>
            <w:r>
              <w:rPr>
                <w:sz w:val="22"/>
              </w:rPr>
              <w:t xml:space="preserve">AQP4, GFAP, </w:t>
            </w:r>
          </w:p>
          <w:p w14:paraId="0673B78A" w14:textId="77777777" w:rsidR="00121274" w:rsidRDefault="00000000" w:rsidP="00EF78CD">
            <w:pPr>
              <w:spacing w:after="0" w:line="240" w:lineRule="auto"/>
              <w:ind w:left="0" w:right="0" w:firstLine="0"/>
              <w:jc w:val="left"/>
            </w:pPr>
            <w:r>
              <w:rPr>
                <w:sz w:val="22"/>
              </w:rPr>
              <w:t>SLC1A2</w:t>
            </w:r>
            <w:r>
              <w:t xml:space="preserve"> </w:t>
            </w:r>
          </w:p>
        </w:tc>
      </w:tr>
      <w:tr w:rsidR="00121274" w14:paraId="4BB51CD8" w14:textId="77777777">
        <w:trPr>
          <w:trHeight w:val="523"/>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28BFF3F" w14:textId="77777777" w:rsidR="00121274" w:rsidRDefault="00000000" w:rsidP="00EF78CD">
            <w:pPr>
              <w:spacing w:after="0" w:line="240" w:lineRule="auto"/>
              <w:ind w:left="0" w:right="0" w:firstLine="0"/>
              <w:jc w:val="left"/>
            </w:pPr>
            <w:r>
              <w:rPr>
                <w:b/>
                <w:sz w:val="22"/>
              </w:rPr>
              <w:lastRenderedPageBreak/>
              <w:t>Astrocytes Réactifs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7FCC0A1F" w14:textId="77777777" w:rsidR="00121274" w:rsidRDefault="00000000" w:rsidP="00EF78CD">
            <w:pPr>
              <w:spacing w:after="0" w:line="240" w:lineRule="auto"/>
              <w:ind w:left="0" w:right="0" w:firstLine="0"/>
              <w:jc w:val="left"/>
            </w:pPr>
            <w:r>
              <w:rPr>
                <w:sz w:val="22"/>
              </w:rPr>
              <w:t>15</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1AD3960" w14:textId="77777777" w:rsidR="00121274" w:rsidRDefault="00000000" w:rsidP="00EF78CD">
            <w:pPr>
              <w:spacing w:after="0" w:line="240" w:lineRule="auto"/>
              <w:ind w:left="5" w:right="0" w:firstLine="0"/>
              <w:jc w:val="left"/>
            </w:pPr>
            <w:r>
              <w:rPr>
                <w:sz w:val="22"/>
              </w:rPr>
              <w:t>685 (1,1%)</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7D7F0A49" w14:textId="716ED3C4" w:rsidR="00121274" w:rsidRDefault="00000000" w:rsidP="00EF78CD">
            <w:pPr>
              <w:tabs>
                <w:tab w:val="right" w:pos="2139"/>
              </w:tabs>
              <w:spacing w:after="0" w:line="240" w:lineRule="auto"/>
              <w:ind w:left="0" w:right="0" w:firstLine="0"/>
              <w:jc w:val="left"/>
            </w:pPr>
            <w:r>
              <w:rPr>
                <w:sz w:val="22"/>
              </w:rPr>
              <w:t xml:space="preserve">GFAP, VIM, </w:t>
            </w:r>
          </w:p>
          <w:p w14:paraId="0DBAA0BD" w14:textId="77777777" w:rsidR="00121274" w:rsidRDefault="00000000" w:rsidP="00EF78CD">
            <w:pPr>
              <w:spacing w:after="0" w:line="240" w:lineRule="auto"/>
              <w:ind w:left="0" w:right="0" w:firstLine="0"/>
              <w:jc w:val="left"/>
            </w:pPr>
            <w:r>
              <w:rPr>
                <w:sz w:val="22"/>
              </w:rPr>
              <w:t>SERPINA3</w:t>
            </w:r>
            <w:r>
              <w:t xml:space="preserve"> </w:t>
            </w:r>
          </w:p>
        </w:tc>
      </w:tr>
      <w:tr w:rsidR="00121274" w:rsidRPr="00647A77" w14:paraId="2799F8E7" w14:textId="77777777">
        <w:trPr>
          <w:trHeight w:val="785"/>
        </w:trPr>
        <w:tc>
          <w:tcPr>
            <w:tcW w:w="2749" w:type="dxa"/>
            <w:tcBorders>
              <w:top w:val="single" w:sz="8" w:space="0" w:color="4F81BD"/>
              <w:left w:val="single" w:sz="8" w:space="0" w:color="4F81BD"/>
              <w:bottom w:val="single" w:sz="8" w:space="0" w:color="4F81BD"/>
              <w:right w:val="single" w:sz="8" w:space="0" w:color="4F81BD"/>
            </w:tcBorders>
          </w:tcPr>
          <w:p w14:paraId="7E206E6B" w14:textId="77777777" w:rsidR="00121274" w:rsidRDefault="00000000" w:rsidP="00EF78CD">
            <w:pPr>
              <w:spacing w:after="0" w:line="240" w:lineRule="auto"/>
              <w:ind w:left="0" w:right="0" w:firstLine="0"/>
              <w:jc w:val="left"/>
            </w:pPr>
            <w:r>
              <w:rPr>
                <w:b/>
                <w:sz w:val="22"/>
              </w:rPr>
              <w:t>Microglie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3D390AEA" w14:textId="77777777" w:rsidR="00121274" w:rsidRDefault="00000000" w:rsidP="00EF78CD">
            <w:pPr>
              <w:spacing w:after="0" w:line="240" w:lineRule="auto"/>
              <w:ind w:left="0" w:right="0" w:firstLine="0"/>
              <w:jc w:val="left"/>
            </w:pPr>
            <w:r>
              <w:rPr>
                <w:sz w:val="22"/>
              </w:rPr>
              <w:t>5, 18 (fusionnés)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50647937" w14:textId="77777777" w:rsidR="00121274" w:rsidRDefault="00000000" w:rsidP="00EF78CD">
            <w:pPr>
              <w:spacing w:after="0" w:line="240" w:lineRule="auto"/>
              <w:ind w:left="5" w:right="0" w:firstLine="0"/>
              <w:jc w:val="left"/>
            </w:pPr>
            <w:r>
              <w:rPr>
                <w:sz w:val="22"/>
              </w:rPr>
              <w:t>4 875 (7,8%)</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398B1463" w14:textId="77777777" w:rsidR="00121274" w:rsidRPr="002434EB" w:rsidRDefault="00000000" w:rsidP="00EF78CD">
            <w:pPr>
              <w:spacing w:after="0" w:line="240" w:lineRule="auto"/>
              <w:ind w:left="0" w:right="53" w:firstLine="0"/>
              <w:rPr>
                <w:lang w:val="en-US"/>
              </w:rPr>
            </w:pPr>
            <w:r w:rsidRPr="002434EB">
              <w:rPr>
                <w:sz w:val="22"/>
                <w:lang w:val="en-US"/>
              </w:rPr>
              <w:t>CX3CR1, P2RY12, TMEM119, APOE, TREM2</w:t>
            </w:r>
            <w:r w:rsidRPr="002434EB">
              <w:rPr>
                <w:lang w:val="en-US"/>
              </w:rPr>
              <w:t xml:space="preserve"> </w:t>
            </w:r>
          </w:p>
        </w:tc>
      </w:tr>
      <w:tr w:rsidR="00121274" w14:paraId="237C41DE"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58EE6EB6" w14:textId="77777777" w:rsidR="00121274" w:rsidRDefault="00000000" w:rsidP="00EF78CD">
            <w:pPr>
              <w:spacing w:after="0" w:line="240" w:lineRule="auto"/>
              <w:ind w:left="0" w:right="0" w:firstLine="0"/>
            </w:pPr>
            <w:r>
              <w:rPr>
                <w:b/>
                <w:sz w:val="22"/>
              </w:rPr>
              <w:t>Support/Vascular/Immune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4E1A302E" w14:textId="77777777" w:rsidR="00121274" w:rsidRDefault="00000000" w:rsidP="00EF78CD">
            <w:pPr>
              <w:spacing w:after="0" w:line="240" w:lineRule="auto"/>
              <w:ind w:left="0" w:right="0" w:firstLine="0"/>
              <w:jc w:val="left"/>
            </w:pPr>
            <w:r>
              <w:rPr>
                <w:sz w:val="22"/>
              </w:rPr>
              <w:t>9, 10, 17</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DB73C69" w14:textId="77777777" w:rsidR="00121274" w:rsidRDefault="00000000" w:rsidP="00EF78CD">
            <w:pPr>
              <w:spacing w:after="0" w:line="240" w:lineRule="auto"/>
              <w:ind w:left="5" w:right="0" w:firstLine="0"/>
              <w:jc w:val="left"/>
            </w:pPr>
            <w:r>
              <w:rPr>
                <w:sz w:val="22"/>
              </w:rPr>
              <w:t>6 611 (10,5%)</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599570F8" w14:textId="43BF0090" w:rsidR="00121274" w:rsidRDefault="00000000" w:rsidP="00EF78CD">
            <w:pPr>
              <w:tabs>
                <w:tab w:val="right" w:pos="2139"/>
              </w:tabs>
              <w:spacing w:after="0" w:line="240" w:lineRule="auto"/>
              <w:ind w:left="0" w:right="0" w:firstLine="0"/>
              <w:jc w:val="left"/>
            </w:pPr>
            <w:r>
              <w:rPr>
                <w:sz w:val="22"/>
              </w:rPr>
              <w:t xml:space="preserve">CLDN5, PDGFRB, </w:t>
            </w:r>
          </w:p>
          <w:p w14:paraId="551BB85A" w14:textId="77777777" w:rsidR="00121274" w:rsidRDefault="00000000" w:rsidP="00EF78CD">
            <w:pPr>
              <w:spacing w:after="0" w:line="240" w:lineRule="auto"/>
              <w:ind w:left="0" w:right="0" w:firstLine="0"/>
              <w:jc w:val="left"/>
            </w:pPr>
            <w:r>
              <w:rPr>
                <w:sz w:val="22"/>
              </w:rPr>
              <w:t>CD3E</w:t>
            </w:r>
            <w:r>
              <w:t xml:space="preserve"> </w:t>
            </w:r>
          </w:p>
        </w:tc>
      </w:tr>
      <w:tr w:rsidR="00121274" w14:paraId="7025DBAD" w14:textId="77777777">
        <w:trPr>
          <w:trHeight w:val="531"/>
        </w:trPr>
        <w:tc>
          <w:tcPr>
            <w:tcW w:w="2749" w:type="dxa"/>
            <w:tcBorders>
              <w:top w:val="single" w:sz="8" w:space="0" w:color="4F81BD"/>
              <w:left w:val="single" w:sz="8" w:space="0" w:color="4F81BD"/>
              <w:bottom w:val="single" w:sz="8" w:space="0" w:color="4F81BD"/>
              <w:right w:val="single" w:sz="8" w:space="0" w:color="4F81BD"/>
            </w:tcBorders>
          </w:tcPr>
          <w:p w14:paraId="70F7AE13" w14:textId="77777777" w:rsidR="00121274" w:rsidRDefault="00000000" w:rsidP="00EF78CD">
            <w:pPr>
              <w:spacing w:after="0" w:line="240" w:lineRule="auto"/>
              <w:ind w:left="0" w:right="0" w:firstLine="0"/>
              <w:jc w:val="left"/>
            </w:pPr>
            <w:r>
              <w:rPr>
                <w:b/>
                <w:sz w:val="22"/>
              </w:rPr>
              <w:t>Unknown/Low Quality</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68DDF33B" w14:textId="77777777" w:rsidR="00121274" w:rsidRDefault="00000000" w:rsidP="00EF78CD">
            <w:pPr>
              <w:spacing w:after="0" w:line="240" w:lineRule="auto"/>
              <w:ind w:left="0" w:right="0" w:firstLine="0"/>
              <w:jc w:val="left"/>
            </w:pPr>
            <w:r>
              <w:rPr>
                <w:sz w:val="22"/>
              </w:rPr>
              <w:t>21, 22 (exclus)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25C900AB" w14:textId="77777777" w:rsidR="00121274" w:rsidRDefault="00000000" w:rsidP="00EF78CD">
            <w:pPr>
              <w:spacing w:after="0" w:line="240" w:lineRule="auto"/>
              <w:ind w:left="5" w:right="0" w:firstLine="0"/>
              <w:jc w:val="left"/>
            </w:pPr>
            <w:r>
              <w:rPr>
                <w:sz w:val="22"/>
              </w:rPr>
              <w:t>384 (0,6%)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B2B589E" w14:textId="44B1F8EE" w:rsidR="00121274" w:rsidRDefault="00000000" w:rsidP="00EF78CD">
            <w:pPr>
              <w:tabs>
                <w:tab w:val="center" w:pos="1183"/>
                <w:tab w:val="right" w:pos="2139"/>
              </w:tabs>
              <w:spacing w:after="0" w:line="240" w:lineRule="auto"/>
              <w:ind w:left="0" w:right="0" w:firstLine="0"/>
              <w:jc w:val="left"/>
            </w:pPr>
            <w:r>
              <w:rPr>
                <w:sz w:val="22"/>
              </w:rPr>
              <w:t xml:space="preserve">Profil mixte ou </w:t>
            </w:r>
          </w:p>
          <w:p w14:paraId="38F37D97" w14:textId="77777777" w:rsidR="00121274" w:rsidRDefault="00000000" w:rsidP="00EF78CD">
            <w:pPr>
              <w:spacing w:after="0" w:line="240" w:lineRule="auto"/>
              <w:ind w:left="0" w:right="0" w:firstLine="0"/>
              <w:jc w:val="left"/>
            </w:pPr>
            <w:r>
              <w:rPr>
                <w:sz w:val="22"/>
              </w:rPr>
              <w:t>dégradé</w:t>
            </w:r>
            <w:r>
              <w:t xml:space="preserve"> </w:t>
            </w:r>
          </w:p>
        </w:tc>
      </w:tr>
    </w:tbl>
    <w:p w14:paraId="7769632C" w14:textId="77777777" w:rsidR="00121274" w:rsidRDefault="00000000" w:rsidP="00EF78CD">
      <w:pPr>
        <w:spacing w:after="0" w:line="240" w:lineRule="auto"/>
        <w:ind w:right="0"/>
        <w:jc w:val="center"/>
      </w:pPr>
      <w:r>
        <w:rPr>
          <w:i/>
          <w:sz w:val="20"/>
        </w:rPr>
        <w:t>Tableau 2. Annotation manuelle des 23 clusters Leiden en 8 macro-types cellulaires. Les clusters 21-22 (Unknown/Low Quality) ont été exclus de l'analyse pseudobulk finale.</w:t>
      </w:r>
      <w:r>
        <w:t xml:space="preserve"> </w:t>
      </w:r>
    </w:p>
    <w:p w14:paraId="210E7B68" w14:textId="77777777" w:rsidR="00121274" w:rsidRDefault="00000000" w:rsidP="00EF78CD">
      <w:pPr>
        <w:spacing w:after="0" w:line="240" w:lineRule="auto"/>
        <w:ind w:left="1436" w:right="0"/>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Fusion stratégique du Cluster 18 (Microglie DAM) et validation pseudobulk </w:t>
      </w:r>
    </w:p>
    <w:p w14:paraId="43A1185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Problème identifié : Le Cluster 18, initialement annoté comme 'Microglie DAM' (DiseaseAssociated Microglia, signature APOE+/TREM2+/P2RY12-), contenait 393 noyaux provenant à 98,2% d'un SEUL donneur (Donor_865). Les 16 autres donneurs contribuaient à peine 7 noyaux au total. </w:t>
      </w:r>
    </w:p>
    <w:p w14:paraId="162F164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27773BE6"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Décision méthodologique : Fusion avec le Cluster 5 (Microglie Homéostatique) pour former un macro-type 'Microglie' unifié (n=4 875 noyaux, 15 donneurs avec ≥20 cellules). Justification : L'approche pseudobulk exige un minimum de 5 donneurs par type cellulaire pour garantir des réplicats biologiques suffisants et éviter les artefacts individuels. Avec un seul donneur dominant, l'analyse différentielle sur 'Microglie DAM' aurait été statistiquement invalide (confondre effet pathologique et variation inter-individuelle). </w:t>
      </w:r>
    </w:p>
    <w:p w14:paraId="2441BBA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08C99C8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Conséquence biologique : Perte de granularité sur l'état d'activation microglial. Les signatures DAM (inflammation, phagocytose) seront diluées dans le macro-type 'Microglie' unifié, réduisant potentiellement la sensibilité pour détecter des gènes spécifiques à l'activation pathologique.</w:t>
      </w:r>
      <w:r>
        <w:t xml:space="preserve"> </w:t>
      </w:r>
    </w:p>
    <w:p w14:paraId="39861E10" w14:textId="77777777" w:rsidR="00121274" w:rsidRDefault="00000000" w:rsidP="00EF78CD">
      <w:pPr>
        <w:spacing w:after="0" w:line="240" w:lineRule="auto"/>
        <w:ind w:left="24" w:right="0" w:firstLine="0"/>
        <w:jc w:val="center"/>
      </w:pPr>
      <w:r>
        <w:t xml:space="preserve"> </w:t>
      </w:r>
    </w:p>
    <w:p w14:paraId="693C28CC" w14:textId="77777777" w:rsidR="00121274" w:rsidRDefault="00000000" w:rsidP="00EF78CD">
      <w:pPr>
        <w:pStyle w:val="Titre2"/>
        <w:spacing w:after="0" w:line="240" w:lineRule="auto"/>
        <w:ind w:left="483" w:hanging="498"/>
      </w:pPr>
      <w:r>
        <w:t xml:space="preserve">Agrégation pseudobulk et analyse différentielle </w:t>
      </w:r>
    </w:p>
    <w:p w14:paraId="43F603E9" w14:textId="7AD09F00" w:rsidR="00121274" w:rsidRDefault="00000000" w:rsidP="00EF78CD">
      <w:pPr>
        <w:tabs>
          <w:tab w:val="center" w:pos="2470"/>
          <w:tab w:val="center" w:pos="4630"/>
          <w:tab w:val="center" w:pos="7232"/>
          <w:tab w:val="right" w:pos="9447"/>
        </w:tabs>
        <w:spacing w:after="0" w:line="240" w:lineRule="auto"/>
        <w:ind w:left="-15" w:right="0" w:firstLine="0"/>
        <w:jc w:val="left"/>
      </w:pPr>
      <w:r>
        <w:t xml:space="preserve">Principe de l'approche pseudobulk : </w:t>
      </w:r>
    </w:p>
    <w:p w14:paraId="5000C767" w14:textId="77777777" w:rsidR="00121274" w:rsidRDefault="00000000" w:rsidP="00EF78CD">
      <w:pPr>
        <w:spacing w:after="0" w:line="240" w:lineRule="auto"/>
        <w:ind w:left="-5" w:right="35"/>
      </w:pPr>
      <w:r>
        <w:t xml:space="preserve">Les comptages UMI bruts (adata.layers['counts']) ont été agrégés (somme) par combinaison unique de (type_cellulaire, donneur), créant des 'échantillons pseudobulk'. Par exemple, pour le type 'Microglie', les comptages de tous les noyaux microglials du Donor_865 ont été sommés pour créer un échantillon 'Microglia__Donor_865'. Cette agrégation transforme les données single-cell en format bulk, où chaque donneur devient un réplicat biologique indépendant. </w:t>
      </w:r>
    </w:p>
    <w:p w14:paraId="48EE9861" w14:textId="77777777" w:rsidR="00121274" w:rsidRDefault="00000000" w:rsidP="00EF78CD">
      <w:pPr>
        <w:spacing w:after="0" w:line="240" w:lineRule="auto"/>
        <w:ind w:left="0" w:right="0" w:firstLine="0"/>
        <w:jc w:val="left"/>
      </w:pPr>
      <w:r>
        <w:t xml:space="preserve"> </w:t>
      </w:r>
    </w:p>
    <w:p w14:paraId="0458928A" w14:textId="40A0DB27" w:rsidR="00121274" w:rsidRDefault="00000000" w:rsidP="00EF78CD">
      <w:pPr>
        <w:tabs>
          <w:tab w:val="center" w:pos="1848"/>
          <w:tab w:val="center" w:pos="3583"/>
          <w:tab w:val="center" w:pos="5693"/>
          <w:tab w:val="center" w:pos="7761"/>
          <w:tab w:val="right" w:pos="9447"/>
        </w:tabs>
        <w:spacing w:after="0" w:line="240" w:lineRule="auto"/>
        <w:ind w:left="-15" w:right="0" w:firstLine="0"/>
        <w:jc w:val="left"/>
      </w:pPr>
      <w:r>
        <w:t xml:space="preserve">Filtres de robustesse statistique appliqués : </w:t>
      </w:r>
    </w:p>
    <w:p w14:paraId="54FA6EAE" w14:textId="77777777" w:rsidR="00121274" w:rsidRDefault="00000000" w:rsidP="00EF78CD">
      <w:pPr>
        <w:numPr>
          <w:ilvl w:val="0"/>
          <w:numId w:val="9"/>
        </w:numPr>
        <w:spacing w:after="0" w:line="240" w:lineRule="auto"/>
        <w:ind w:right="35" w:hanging="244"/>
      </w:pPr>
      <w:r>
        <w:t xml:space="preserve">MIN_CELLS_PER_SAMPLE ≥ 20 : Exclusion des échantillons pseudobulk contenant moins de 20 noyaux (agrégation insuffisante, comptages trop faibles) </w:t>
      </w:r>
    </w:p>
    <w:p w14:paraId="2674EC0B" w14:textId="77777777" w:rsidR="00121274" w:rsidRDefault="00000000" w:rsidP="00EF78CD">
      <w:pPr>
        <w:numPr>
          <w:ilvl w:val="0"/>
          <w:numId w:val="9"/>
        </w:numPr>
        <w:spacing w:after="0" w:line="240" w:lineRule="auto"/>
        <w:ind w:right="35" w:hanging="244"/>
      </w:pPr>
      <w:r>
        <w:t xml:space="preserve">MIN_DONORS_PER_CLUSTER ≥ 5 : Exclusion des types cellulaires présents chez moins de </w:t>
      </w:r>
    </w:p>
    <w:p w14:paraId="6E902BDF" w14:textId="702D7D35" w:rsidR="00121274" w:rsidRDefault="00000000" w:rsidP="00EF78CD">
      <w:pPr>
        <w:tabs>
          <w:tab w:val="center" w:pos="1829"/>
          <w:tab w:val="center" w:pos="4091"/>
          <w:tab w:val="center" w:pos="6426"/>
          <w:tab w:val="right" w:pos="9447"/>
        </w:tabs>
        <w:spacing w:after="0" w:line="240" w:lineRule="auto"/>
        <w:ind w:left="-15" w:right="0" w:firstLine="0"/>
        <w:jc w:val="left"/>
      </w:pPr>
      <w:r>
        <w:t xml:space="preserve">5 donneurs (réplication biologique insuffisante) </w:t>
      </w:r>
    </w:p>
    <w:p w14:paraId="2BF00DF6" w14:textId="1C295836" w:rsidR="00121274" w:rsidRDefault="00000000" w:rsidP="00EF78CD">
      <w:pPr>
        <w:spacing w:after="0" w:line="240" w:lineRule="auto"/>
        <w:ind w:left="-5" w:right="35"/>
      </w:pPr>
      <w:r>
        <w:t xml:space="preserve">3. Exclusion manuelle du macro-type 'Unknown/Low Quality' (noyaux de mauvaise qualité, profils dégradés) Résultat final : 96 échantillons pseudobulk couvrant 7 types cellulaires robustes (Excitatory neuron, Inhibitory neuron, Oligodendrocyte/OPC, Astrocyte Homeostatic, Astrocyte Reactive, Microglia, Support/Vascular/Immune). </w:t>
      </w:r>
    </w:p>
    <w:p w14:paraId="33546B43" w14:textId="7F0F4E59" w:rsidR="00121274" w:rsidRDefault="00000000" w:rsidP="00EF78CD">
      <w:pPr>
        <w:tabs>
          <w:tab w:val="center" w:pos="2556"/>
          <w:tab w:val="center" w:pos="4995"/>
          <w:tab w:val="center" w:pos="7475"/>
          <w:tab w:val="right" w:pos="9447"/>
        </w:tabs>
        <w:spacing w:after="0" w:line="240" w:lineRule="auto"/>
        <w:ind w:left="-15" w:right="0" w:firstLine="0"/>
        <w:jc w:val="left"/>
      </w:pPr>
      <w:r>
        <w:t xml:space="preserve">Modèle d'analyse différentielle (DESeq2) : </w:t>
      </w:r>
    </w:p>
    <w:p w14:paraId="48A3BB76" w14:textId="77777777" w:rsidR="00121274" w:rsidRDefault="00000000" w:rsidP="00EF78CD">
      <w:pPr>
        <w:spacing w:after="0" w:line="240" w:lineRule="auto"/>
        <w:ind w:left="-5" w:right="35"/>
      </w:pPr>
      <w:r>
        <w:t xml:space="preserve">L'analyse DGE a utilisé le package R DESeq2 (Love et al., 2014) avec le modèle linéaire généralisé suivant : </w:t>
      </w:r>
    </w:p>
    <w:p w14:paraId="4C5B7AB4" w14:textId="77777777" w:rsidR="00121274" w:rsidRDefault="00000000" w:rsidP="00EF78CD">
      <w:pPr>
        <w:spacing w:after="0" w:line="240" w:lineRule="auto"/>
        <w:ind w:left="0" w:right="0" w:firstLine="0"/>
        <w:jc w:val="left"/>
      </w:pPr>
      <w:r>
        <w:t xml:space="preserve"> </w:t>
      </w:r>
    </w:p>
    <w:p w14:paraId="6C7F2740" w14:textId="1566A97D" w:rsidR="00121274" w:rsidRPr="002434EB" w:rsidRDefault="00000000" w:rsidP="00EF78CD">
      <w:pPr>
        <w:tabs>
          <w:tab w:val="center" w:pos="2016"/>
          <w:tab w:val="center" w:pos="3127"/>
          <w:tab w:val="center" w:pos="4239"/>
          <w:tab w:val="center" w:pos="6000"/>
          <w:tab w:val="center" w:pos="7757"/>
          <w:tab w:val="right" w:pos="9447"/>
        </w:tabs>
        <w:spacing w:after="0" w:line="240" w:lineRule="auto"/>
        <w:ind w:left="-15" w:right="0" w:firstLine="0"/>
        <w:jc w:val="left"/>
        <w:rPr>
          <w:lang w:val="en-US"/>
        </w:rPr>
      </w:pPr>
      <w:r w:rsidRPr="002434EB">
        <w:rPr>
          <w:lang w:val="en-US"/>
        </w:rPr>
        <w:lastRenderedPageBreak/>
        <w:t xml:space="preserve">Expression ~ sex + genetic_ancestry + disease </w:t>
      </w:r>
    </w:p>
    <w:p w14:paraId="6511B69D" w14:textId="1E80D9A8" w:rsidR="00121274" w:rsidRPr="002434EB" w:rsidRDefault="00000000" w:rsidP="00EF78CD">
      <w:pPr>
        <w:spacing w:after="0" w:line="240" w:lineRule="auto"/>
        <w:ind w:left="-5" w:right="35"/>
        <w:rPr>
          <w:lang w:val="en-US"/>
        </w:rPr>
      </w:pPr>
      <w:r w:rsidRPr="002434EB">
        <w:rPr>
          <w:lang w:val="en-US"/>
        </w:rPr>
        <w:t xml:space="preserve"> où : </w:t>
      </w:r>
    </w:p>
    <w:p w14:paraId="73978251" w14:textId="7C1B9F1A" w:rsidR="00121274" w:rsidRDefault="00000000" w:rsidP="00EF78CD">
      <w:pPr>
        <w:numPr>
          <w:ilvl w:val="0"/>
          <w:numId w:val="10"/>
        </w:numPr>
        <w:spacing w:after="0" w:line="240" w:lineRule="auto"/>
        <w:ind w:right="35" w:hanging="884"/>
      </w:pPr>
      <w:r>
        <w:t xml:space="preserve">sex : Sexe biologique (male/female) — covariable d'ajustement </w:t>
      </w:r>
    </w:p>
    <w:p w14:paraId="166F631A" w14:textId="77777777" w:rsidR="00121274" w:rsidRDefault="00000000" w:rsidP="00EF78CD">
      <w:pPr>
        <w:numPr>
          <w:ilvl w:val="0"/>
          <w:numId w:val="10"/>
        </w:numPr>
        <w:spacing w:after="0" w:line="240" w:lineRule="auto"/>
        <w:ind w:right="35" w:hanging="884"/>
      </w:pPr>
      <w:r>
        <w:t xml:space="preserve">genetic_ancestry : Ascendance génétique (European/East Asian/Asian) — covariable d'ajustement </w:t>
      </w:r>
    </w:p>
    <w:p w14:paraId="4A3991B8" w14:textId="51EF28A4" w:rsidR="00121274" w:rsidRDefault="00000000" w:rsidP="00EF78CD">
      <w:pPr>
        <w:numPr>
          <w:ilvl w:val="0"/>
          <w:numId w:val="10"/>
        </w:numPr>
        <w:spacing w:after="0" w:line="240" w:lineRule="auto"/>
        <w:ind w:right="35" w:hanging="884"/>
      </w:pPr>
      <w:r>
        <w:t xml:space="preserve">disease : Groupe diagnostique (AD/PD/CTRL) — variable d'intérêt </w:t>
      </w:r>
    </w:p>
    <w:p w14:paraId="1D981F4E" w14:textId="77777777" w:rsidR="00121274" w:rsidRDefault="00000000" w:rsidP="00EF78CD">
      <w:pPr>
        <w:spacing w:after="0" w:line="240" w:lineRule="auto"/>
        <w:ind w:left="0" w:right="0" w:firstLine="0"/>
        <w:jc w:val="left"/>
      </w:pPr>
      <w:r>
        <w:t xml:space="preserve"> </w:t>
      </w:r>
    </w:p>
    <w:p w14:paraId="6FF5B68B" w14:textId="4645781C" w:rsidR="00121274" w:rsidRDefault="00000000" w:rsidP="00EF78CD">
      <w:pPr>
        <w:tabs>
          <w:tab w:val="center" w:pos="5174"/>
          <w:tab w:val="right" w:pos="9447"/>
        </w:tabs>
        <w:spacing w:after="0" w:line="240" w:lineRule="auto"/>
        <w:ind w:left="-15" w:right="0" w:firstLine="0"/>
        <w:jc w:val="left"/>
      </w:pPr>
      <w:r>
        <w:t xml:space="preserve">Contrastes testés : </w:t>
      </w:r>
    </w:p>
    <w:p w14:paraId="4068F014" w14:textId="7E147368" w:rsidR="00121274" w:rsidRDefault="00000000" w:rsidP="00EF78CD">
      <w:pPr>
        <w:numPr>
          <w:ilvl w:val="0"/>
          <w:numId w:val="10"/>
        </w:numPr>
        <w:spacing w:after="0" w:line="240" w:lineRule="auto"/>
        <w:ind w:right="35" w:hanging="884"/>
      </w:pPr>
      <w:r>
        <w:t xml:space="preserve">AD vs CTRL (pour chaque type cellulaire) </w:t>
      </w:r>
    </w:p>
    <w:p w14:paraId="14CEF33B" w14:textId="0FD80DAD" w:rsidR="00121274" w:rsidRDefault="00000000" w:rsidP="00EF78CD">
      <w:pPr>
        <w:numPr>
          <w:ilvl w:val="0"/>
          <w:numId w:val="10"/>
        </w:numPr>
        <w:spacing w:after="0" w:line="240" w:lineRule="auto"/>
        <w:ind w:right="35" w:hanging="884"/>
      </w:pPr>
      <w:r>
        <w:t xml:space="preserve">PD vs CTRL (pour chaque type cellulaire) </w:t>
      </w:r>
    </w:p>
    <w:p w14:paraId="6255C83E" w14:textId="77777777" w:rsidR="00121274" w:rsidRDefault="00000000" w:rsidP="00EF78CD">
      <w:pPr>
        <w:spacing w:after="0" w:line="240" w:lineRule="auto"/>
        <w:ind w:left="0" w:right="0" w:firstLine="0"/>
        <w:jc w:val="left"/>
      </w:pPr>
      <w:r>
        <w:t xml:space="preserve"> </w:t>
      </w:r>
    </w:p>
    <w:p w14:paraId="0FEFDA01" w14:textId="0716A486" w:rsidR="00121274" w:rsidRDefault="00000000" w:rsidP="00EF78CD">
      <w:pPr>
        <w:tabs>
          <w:tab w:val="center" w:pos="3105"/>
          <w:tab w:val="center" w:pos="6279"/>
          <w:tab w:val="right" w:pos="9447"/>
        </w:tabs>
        <w:spacing w:after="0" w:line="240" w:lineRule="auto"/>
        <w:ind w:left="-15" w:right="0" w:firstLine="0"/>
        <w:jc w:val="left"/>
      </w:pPr>
      <w:r>
        <w:t xml:space="preserve">Seuils de significativité : </w:t>
      </w:r>
    </w:p>
    <w:p w14:paraId="7F8B05EB" w14:textId="41076A52" w:rsidR="00121274" w:rsidRDefault="00000000" w:rsidP="00EF78CD">
      <w:pPr>
        <w:numPr>
          <w:ilvl w:val="0"/>
          <w:numId w:val="10"/>
        </w:numPr>
        <w:spacing w:after="0" w:line="240" w:lineRule="auto"/>
        <w:ind w:right="35" w:hanging="884"/>
      </w:pPr>
      <w:r>
        <w:t xml:space="preserve">p-value ajustée (FDR, méthode Benjamini-Hochberg) : padj &lt; 0,05 </w:t>
      </w:r>
    </w:p>
    <w:p w14:paraId="136EF2FF" w14:textId="77777777" w:rsidR="00121274" w:rsidRDefault="00000000" w:rsidP="00EF78CD">
      <w:pPr>
        <w:numPr>
          <w:ilvl w:val="0"/>
          <w:numId w:val="10"/>
        </w:numPr>
        <w:spacing w:after="0" w:line="240" w:lineRule="auto"/>
        <w:ind w:right="35" w:hanging="884"/>
      </w:pPr>
      <w:r>
        <w:t xml:space="preserve">Fold-change biologique minimum : |log2FC| &gt; 0,5 (soit FC &gt; 1,41 ou FC &lt; 0,71) </w:t>
      </w:r>
    </w:p>
    <w:p w14:paraId="226CE666"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Rôle des covariables d'ajustement dans le modèle DESeq2 </w:t>
      </w:r>
      <w:r>
        <w:rPr>
          <w:rFonts w:ascii="Century Gothic" w:eastAsia="Century Gothic" w:hAnsi="Century Gothic" w:cs="Century Gothic"/>
          <w:color w:val="1A5490"/>
          <w:sz w:val="18"/>
        </w:rPr>
        <w:t xml:space="preserve">Pourquoi inclure 'sex' et 'genetic_ancestry' dans le modèle ? </w:t>
      </w:r>
    </w:p>
    <w:p w14:paraId="46CF8EA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23A06DF8"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 xml:space="preserve">Sans ajustement, si les groupes AD et CTRL diffèrent systématiquement en termes de sexe (ex: AD=70% hommes, CTRL=50% hommes), les DEGs identifiés pourraient refléter des différences liées au SEXE plutôt qu'à la PATHOLOGIE. Le modèle DESeq2 'nettoie' statistiquement l'effet du sexe et de l'ascendance AVANT de calculer l'effet de la maladie. On obtient ainsi l'effet 'pur' de AD vs CTRL, indépendant des biais démographiques. </w:t>
      </w:r>
    </w:p>
    <w:p w14:paraId="5CA779A4"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1FF26B69" w14:textId="77777777" w:rsidR="00121274" w:rsidRDefault="00000000" w:rsidP="00EF78CD">
      <w:pPr>
        <w:spacing w:after="0" w:line="240" w:lineRule="auto"/>
        <w:ind w:left="1436" w:right="510"/>
      </w:pPr>
      <w:r>
        <w:rPr>
          <w:rFonts w:ascii="Century Gothic" w:eastAsia="Century Gothic" w:hAnsi="Century Gothic" w:cs="Century Gothic"/>
          <w:color w:val="1A5490"/>
          <w:sz w:val="18"/>
        </w:rPr>
        <w:t>Analogie : Imaginez mesurer l'effet d'un médicament sur la tension artérielle, mais vos groupes traité/placebo ont des âges différents. Vous devez 'contrôler pour l'âge' dans votre analyse statistique pour isoler l'effet réel du médicament.</w:t>
      </w:r>
      <w:r>
        <w:t xml:space="preserve"> </w:t>
      </w:r>
    </w:p>
    <w:p w14:paraId="320F6506" w14:textId="77777777" w:rsidR="00121274" w:rsidRDefault="00000000" w:rsidP="00EF78CD">
      <w:pPr>
        <w:spacing w:after="0" w:line="240" w:lineRule="auto"/>
        <w:ind w:left="24" w:right="0" w:firstLine="0"/>
        <w:jc w:val="center"/>
      </w:pPr>
      <w:r>
        <w:t xml:space="preserve"> </w:t>
      </w:r>
    </w:p>
    <w:p w14:paraId="13A374C5" w14:textId="77777777" w:rsidR="00121274" w:rsidRDefault="00000000" w:rsidP="00EF78CD">
      <w:pPr>
        <w:spacing w:after="0" w:line="240" w:lineRule="auto"/>
        <w:ind w:left="24" w:right="0" w:firstLine="0"/>
        <w:jc w:val="center"/>
      </w:pPr>
      <w:r>
        <w:t xml:space="preserve"> </w:t>
      </w:r>
    </w:p>
    <w:p w14:paraId="00C35807" w14:textId="5486996A" w:rsidR="00121274" w:rsidRDefault="00000000" w:rsidP="00EF78CD">
      <w:pPr>
        <w:spacing w:after="0" w:line="240" w:lineRule="auto"/>
        <w:ind w:left="0" w:right="0" w:firstLine="0"/>
        <w:jc w:val="left"/>
      </w:pPr>
      <w:r>
        <w:t xml:space="preserve">  </w:t>
      </w:r>
    </w:p>
    <w:p w14:paraId="6114A955" w14:textId="77777777" w:rsidR="00121274" w:rsidRDefault="00000000" w:rsidP="00EF78CD">
      <w:pPr>
        <w:pStyle w:val="Titre1"/>
        <w:spacing w:after="0" w:line="240" w:lineRule="auto"/>
        <w:ind w:left="305" w:hanging="320"/>
      </w:pPr>
      <w:r>
        <w:t xml:space="preserve">Résultats </w:t>
      </w:r>
    </w:p>
    <w:p w14:paraId="70B102D6" w14:textId="77777777" w:rsidR="00121274" w:rsidRDefault="00000000" w:rsidP="00EF78CD">
      <w:pPr>
        <w:pStyle w:val="Titre2"/>
        <w:spacing w:after="0" w:line="240" w:lineRule="auto"/>
        <w:ind w:left="483" w:hanging="498"/>
      </w:pPr>
      <w:r>
        <w:t xml:space="preserve">Caractérisation globale de la cohorte </w:t>
      </w:r>
    </w:p>
    <w:p w14:paraId="51C6B2B1" w14:textId="77777777" w:rsidR="00121274" w:rsidRDefault="00000000" w:rsidP="00EF78CD">
      <w:pPr>
        <w:spacing w:after="0" w:line="240" w:lineRule="auto"/>
        <w:ind w:left="-5" w:right="35"/>
      </w:pPr>
      <w:r>
        <w:t xml:space="preserve">La projection UMAP de la cohorte finale (Figure 8) montre un bon mélange spatial des trois groupes diagnostiques (AD, PD, CTRL), sans ségrégation évidente par condition. Cette observation suggère que les différences transcriptomiques entre groupes sont subtiles et spécifiques à certains types cellulaires, plutôt que globales et systématiques. L'absence de clustering par donneur ou par batch technique confirme l'efficacité de la normalisation et l'absence d'artefacts batch majeurs. La Figure 9 confirme également un bon mélange des ascendances génétiques, validant la stratégie de contrôle dans le modèle statistique. </w:t>
      </w:r>
    </w:p>
    <w:p w14:paraId="4EC22051" w14:textId="77777777" w:rsidR="00121274" w:rsidRDefault="00000000" w:rsidP="00EF78CD">
      <w:pPr>
        <w:pStyle w:val="Titre2"/>
        <w:spacing w:after="0" w:line="240" w:lineRule="auto"/>
        <w:ind w:left="483" w:hanging="498"/>
      </w:pPr>
      <w:r>
        <w:t xml:space="preserve">Composition cellulaire du DLPFC </w:t>
      </w:r>
    </w:p>
    <w:p w14:paraId="085EB279" w14:textId="77777777" w:rsidR="00121274" w:rsidRDefault="00000000" w:rsidP="00EF78CD">
      <w:pPr>
        <w:spacing w:after="0" w:line="240" w:lineRule="auto"/>
        <w:ind w:left="-5" w:right="35"/>
      </w:pPr>
      <w:r>
        <w:t xml:space="preserve">Les 8 macro-types cellulaires identifiés montrent la composition attendue du cortex cérébral, dominée par les neurones (57% du total : 36,3% excitateurs + 20,7% inhibiteurs) et complétée par les populations gliales (oligodendrocytes/OPC 15,4%, astrocytes 8,7%, microglie 7,8%). La composition relative est stable entre groupes diagnostiques, suggérant que les altérations pathologiques sont principalement transcriptomiques plutôt que démographiques (pas de perte massive de types cellulaires). </w:t>
      </w:r>
    </w:p>
    <w:p w14:paraId="33F186C7" w14:textId="77777777" w:rsidR="00121274" w:rsidRDefault="00000000" w:rsidP="00EF78CD">
      <w:pPr>
        <w:spacing w:after="0" w:line="240" w:lineRule="auto"/>
        <w:ind w:left="0" w:right="360" w:firstLine="0"/>
        <w:jc w:val="right"/>
      </w:pPr>
      <w:r>
        <w:rPr>
          <w:noProof/>
        </w:rPr>
        <w:lastRenderedPageBreak/>
        <w:drawing>
          <wp:inline distT="0" distB="0" distL="0" distR="0" wp14:anchorId="61E72894" wp14:editId="7C0C8F3A">
            <wp:extent cx="5485765" cy="4361815"/>
            <wp:effectExtent l="0" t="0" r="0" b="0"/>
            <wp:docPr id="1439" name="Picture 1439"/>
            <wp:cNvGraphicFramePr/>
            <a:graphic xmlns:a="http://schemas.openxmlformats.org/drawingml/2006/main">
              <a:graphicData uri="http://schemas.openxmlformats.org/drawingml/2006/picture">
                <pic:pic xmlns:pic="http://schemas.openxmlformats.org/drawingml/2006/picture">
                  <pic:nvPicPr>
                    <pic:cNvPr id="1439" name="Picture 1439"/>
                    <pic:cNvPicPr/>
                  </pic:nvPicPr>
                  <pic:blipFill>
                    <a:blip r:embed="rId25"/>
                    <a:stretch>
                      <a:fillRect/>
                    </a:stretch>
                  </pic:blipFill>
                  <pic:spPr>
                    <a:xfrm>
                      <a:off x="0" y="0"/>
                      <a:ext cx="5485765" cy="4361815"/>
                    </a:xfrm>
                    <a:prstGeom prst="rect">
                      <a:avLst/>
                    </a:prstGeom>
                  </pic:spPr>
                </pic:pic>
              </a:graphicData>
            </a:graphic>
          </wp:inline>
        </w:drawing>
      </w:r>
      <w:r>
        <w:t xml:space="preserve"> </w:t>
      </w:r>
    </w:p>
    <w:p w14:paraId="53CC4A52" w14:textId="77777777" w:rsidR="00121274" w:rsidRDefault="00000000" w:rsidP="00EF78CD">
      <w:pPr>
        <w:spacing w:after="0" w:line="240" w:lineRule="auto"/>
        <w:ind w:right="0"/>
        <w:jc w:val="center"/>
      </w:pPr>
      <w:r>
        <w:rPr>
          <w:i/>
          <w:sz w:val="20"/>
        </w:rPr>
        <w:t>Figure 10. Projection UMAP colorée par macro-type cellulaire (classification 'class'). Les neurones excitateurs (EN, rouge) et inhibiteurs (IN, bleu) dominent numériquement, mais tous les types cellulaires majeurs du cortex sont représentés et spatialement séparés.</w:t>
      </w:r>
      <w:r>
        <w:t xml:space="preserve"> </w:t>
      </w:r>
    </w:p>
    <w:p w14:paraId="5F4C174F" w14:textId="77777777" w:rsidR="00121274" w:rsidRDefault="00000000" w:rsidP="00EF78CD">
      <w:pPr>
        <w:spacing w:after="0" w:line="240" w:lineRule="auto"/>
        <w:ind w:left="0" w:right="720" w:firstLine="0"/>
        <w:jc w:val="right"/>
      </w:pPr>
      <w:r>
        <w:rPr>
          <w:noProof/>
        </w:rPr>
        <w:drawing>
          <wp:inline distT="0" distB="0" distL="0" distR="0" wp14:anchorId="08DF9FA1" wp14:editId="05FBAB33">
            <wp:extent cx="5029073" cy="3091180"/>
            <wp:effectExtent l="0" t="0" r="0" b="0"/>
            <wp:docPr id="1622" name="Picture 1622"/>
            <wp:cNvGraphicFramePr/>
            <a:graphic xmlns:a="http://schemas.openxmlformats.org/drawingml/2006/main">
              <a:graphicData uri="http://schemas.openxmlformats.org/drawingml/2006/picture">
                <pic:pic xmlns:pic="http://schemas.openxmlformats.org/drawingml/2006/picture">
                  <pic:nvPicPr>
                    <pic:cNvPr id="1622" name="Picture 1622"/>
                    <pic:cNvPicPr/>
                  </pic:nvPicPr>
                  <pic:blipFill>
                    <a:blip r:embed="rId26"/>
                    <a:stretch>
                      <a:fillRect/>
                    </a:stretch>
                  </pic:blipFill>
                  <pic:spPr>
                    <a:xfrm>
                      <a:off x="0" y="0"/>
                      <a:ext cx="5029073" cy="3091180"/>
                    </a:xfrm>
                    <a:prstGeom prst="rect">
                      <a:avLst/>
                    </a:prstGeom>
                  </pic:spPr>
                </pic:pic>
              </a:graphicData>
            </a:graphic>
          </wp:inline>
        </w:drawing>
      </w:r>
      <w:r>
        <w:t xml:space="preserve"> </w:t>
      </w:r>
    </w:p>
    <w:p w14:paraId="052724A5" w14:textId="77777777" w:rsidR="00121274" w:rsidRDefault="00000000" w:rsidP="00EF78CD">
      <w:pPr>
        <w:spacing w:after="0" w:line="240" w:lineRule="auto"/>
        <w:ind w:right="0"/>
        <w:jc w:val="center"/>
      </w:pPr>
      <w:r>
        <w:rPr>
          <w:i/>
          <w:sz w:val="20"/>
        </w:rPr>
        <w:t>Figure 11. Distribution des noyaux par macro-type cellulaire. Les oligodendrocytes (Oligo) et neurones excitateurs (EN) dominent numériquement le cortex préfrontal.</w:t>
      </w:r>
      <w:r>
        <w:t xml:space="preserve"> </w:t>
      </w:r>
    </w:p>
    <w:p w14:paraId="49B5737B" w14:textId="77777777" w:rsidR="00121274" w:rsidRDefault="00000000" w:rsidP="00EF78CD">
      <w:pPr>
        <w:pStyle w:val="Titre2"/>
        <w:spacing w:after="0" w:line="240" w:lineRule="auto"/>
        <w:ind w:left="483" w:hanging="498"/>
      </w:pPr>
      <w:r>
        <w:lastRenderedPageBreak/>
        <w:t xml:space="preserve">Gènes différentiellement exprimés (DEGs) </w:t>
      </w:r>
    </w:p>
    <w:p w14:paraId="511C0F99" w14:textId="24502EB2" w:rsidR="00121274" w:rsidRDefault="00000000" w:rsidP="00EF78CD">
      <w:pPr>
        <w:tabs>
          <w:tab w:val="center" w:pos="2817"/>
          <w:tab w:val="center" w:pos="6439"/>
          <w:tab w:val="center" w:pos="9079"/>
        </w:tabs>
        <w:spacing w:after="0" w:line="240" w:lineRule="auto"/>
        <w:ind w:left="-15" w:right="0" w:firstLine="0"/>
        <w:jc w:val="left"/>
      </w:pPr>
      <w:r>
        <w:rPr>
          <w:rFonts w:ascii="Segoe UI Emoji" w:eastAsia="Segoe UI Emoji" w:hAnsi="Segoe UI Emoji" w:cs="Segoe UI Emoji"/>
        </w:rPr>
        <w:t xml:space="preserve">  </w:t>
      </w:r>
      <w:r>
        <w:t xml:space="preserve"> AVERTISSEMENT MÉTHODOLOGIQUE </w:t>
      </w:r>
      <w:r>
        <w:rPr>
          <w:rFonts w:ascii="Segoe UI Emoji" w:eastAsia="Segoe UI Emoji" w:hAnsi="Segoe UI Emoji" w:cs="Segoe UI Emoji"/>
        </w:rPr>
        <w:t xml:space="preserve">  </w:t>
      </w:r>
      <w:r>
        <w:t xml:space="preserve"> </w:t>
      </w:r>
    </w:p>
    <w:p w14:paraId="3C8F3939" w14:textId="77777777" w:rsidR="00121274" w:rsidRDefault="00000000" w:rsidP="00EF78CD">
      <w:pPr>
        <w:spacing w:after="0" w:line="240" w:lineRule="auto"/>
        <w:ind w:left="0" w:right="0" w:firstLine="0"/>
        <w:jc w:val="left"/>
      </w:pPr>
      <w:r>
        <w:t xml:space="preserve"> </w:t>
      </w:r>
    </w:p>
    <w:p w14:paraId="5D9314F9" w14:textId="77777777" w:rsidR="00121274" w:rsidRDefault="00000000" w:rsidP="00EF78CD">
      <w:pPr>
        <w:spacing w:after="0" w:line="240" w:lineRule="auto"/>
        <w:ind w:left="-5" w:right="35"/>
      </w:pPr>
      <w:r>
        <w:t xml:space="preserve">Les résultats quantitatifs présentés ci-dessous (nombres de DEGs, log2FC, padj) sont basés sur une analyse R/DESeq2 complète mais DOIVENT être considérés comme préliminaires. L'interprétation biologique (signatures inflammatoires, dysfonction synaptique) est robuste et cohérente avec la littérature, mais les valeurs numériques exactes sont limitées par la taille réduite de la cohorte, en particulier pour la maladie de Parkinson (PD, n=3). </w:t>
      </w:r>
    </w:p>
    <w:p w14:paraId="6E98896B" w14:textId="77777777" w:rsidR="00121274" w:rsidRDefault="00000000" w:rsidP="00EF78CD">
      <w:pPr>
        <w:spacing w:after="0" w:line="240" w:lineRule="auto"/>
        <w:ind w:left="0" w:right="0" w:firstLine="0"/>
        <w:jc w:val="left"/>
      </w:pPr>
      <w:r>
        <w:t xml:space="preserve"> </w:t>
      </w:r>
    </w:p>
    <w:p w14:paraId="6CDCBC76" w14:textId="77777777" w:rsidR="00121274" w:rsidRDefault="00000000" w:rsidP="00EF78CD">
      <w:pPr>
        <w:spacing w:after="0" w:line="240" w:lineRule="auto"/>
        <w:ind w:left="-5" w:right="35"/>
      </w:pPr>
      <w:r>
        <w:t xml:space="preserve">Le Tableau 3 résume les résultats de l'analyse différentielle par type cellulaire et contraste, en distinguant les gènes significatifs après correction pour tests multiples (FDR&lt;0,05) et les gènes en forte tendance (P&lt;0,01) qui restent biologiquement informatifs malgré l'absence de significativité stricte. </w:t>
      </w:r>
    </w:p>
    <w:tbl>
      <w:tblPr>
        <w:tblStyle w:val="TableGrid"/>
        <w:tblW w:w="9620" w:type="dxa"/>
        <w:tblInd w:w="-105" w:type="dxa"/>
        <w:tblCellMar>
          <w:top w:w="54" w:type="dxa"/>
          <w:left w:w="105" w:type="dxa"/>
          <w:right w:w="50" w:type="dxa"/>
        </w:tblCellMar>
        <w:tblLook w:val="04A0" w:firstRow="1" w:lastRow="0" w:firstColumn="1" w:lastColumn="0" w:noHBand="0" w:noVBand="1"/>
      </w:tblPr>
      <w:tblGrid>
        <w:gridCol w:w="2736"/>
        <w:gridCol w:w="1512"/>
        <w:gridCol w:w="752"/>
        <w:gridCol w:w="1233"/>
        <w:gridCol w:w="1333"/>
        <w:gridCol w:w="2054"/>
      </w:tblGrid>
      <w:tr w:rsidR="00121274" w14:paraId="0A977706" w14:textId="77777777">
        <w:trPr>
          <w:trHeight w:val="546"/>
        </w:trPr>
        <w:tc>
          <w:tcPr>
            <w:tcW w:w="2737" w:type="dxa"/>
            <w:tcBorders>
              <w:top w:val="single" w:sz="8" w:space="0" w:color="4F81BD"/>
              <w:left w:val="single" w:sz="8" w:space="0" w:color="4F81BD"/>
              <w:bottom w:val="single" w:sz="18" w:space="0" w:color="4F81BD"/>
              <w:right w:val="single" w:sz="8" w:space="0" w:color="4F81BD"/>
            </w:tcBorders>
          </w:tcPr>
          <w:p w14:paraId="6B36FEF7" w14:textId="77777777" w:rsidR="00121274" w:rsidRDefault="00000000" w:rsidP="00EF78CD">
            <w:pPr>
              <w:spacing w:after="0" w:line="240" w:lineRule="auto"/>
              <w:ind w:left="0" w:right="0" w:firstLine="0"/>
              <w:jc w:val="left"/>
            </w:pPr>
            <w:r>
              <w:rPr>
                <w:b/>
                <w:sz w:val="22"/>
              </w:rPr>
              <w:t>Cell type</w:t>
            </w:r>
            <w:r>
              <w:rPr>
                <w:b/>
              </w:rPr>
              <w:t xml:space="preserve"> </w:t>
            </w:r>
          </w:p>
        </w:tc>
        <w:tc>
          <w:tcPr>
            <w:tcW w:w="1512" w:type="dxa"/>
            <w:tcBorders>
              <w:top w:val="single" w:sz="8" w:space="0" w:color="4F81BD"/>
              <w:left w:val="single" w:sz="8" w:space="0" w:color="4F81BD"/>
              <w:bottom w:val="single" w:sz="18" w:space="0" w:color="4F81BD"/>
              <w:right w:val="single" w:sz="8" w:space="0" w:color="4F81BD"/>
            </w:tcBorders>
          </w:tcPr>
          <w:p w14:paraId="37E02C90" w14:textId="77777777" w:rsidR="00121274" w:rsidRDefault="00000000" w:rsidP="00EF78CD">
            <w:pPr>
              <w:spacing w:after="0" w:line="240" w:lineRule="auto"/>
              <w:ind w:left="1" w:right="0" w:firstLine="0"/>
              <w:jc w:val="left"/>
            </w:pPr>
            <w:r>
              <w:rPr>
                <w:b/>
                <w:sz w:val="22"/>
              </w:rPr>
              <w:t>Contraste</w:t>
            </w:r>
            <w:r>
              <w:rPr>
                <w:b/>
              </w:rPr>
              <w:t xml:space="preserve"> </w:t>
            </w:r>
          </w:p>
        </w:tc>
        <w:tc>
          <w:tcPr>
            <w:tcW w:w="752" w:type="dxa"/>
            <w:tcBorders>
              <w:top w:val="single" w:sz="8" w:space="0" w:color="4F81BD"/>
              <w:left w:val="single" w:sz="8" w:space="0" w:color="4F81BD"/>
              <w:bottom w:val="single" w:sz="18" w:space="0" w:color="4F81BD"/>
              <w:right w:val="single" w:sz="8" w:space="0" w:color="4F81BD"/>
            </w:tcBorders>
          </w:tcPr>
          <w:p w14:paraId="2E1A5A45" w14:textId="77777777" w:rsidR="00121274" w:rsidRDefault="00000000" w:rsidP="00EF78CD">
            <w:pPr>
              <w:spacing w:after="0" w:line="240" w:lineRule="auto"/>
              <w:ind w:left="5" w:right="0" w:firstLine="0"/>
              <w:jc w:val="left"/>
            </w:pPr>
            <w:r>
              <w:rPr>
                <w:b/>
                <w:sz w:val="22"/>
              </w:rPr>
              <w:t>Total</w:t>
            </w:r>
            <w:r>
              <w:rPr>
                <w:b/>
              </w:rPr>
              <w:t xml:space="preserve"> </w:t>
            </w:r>
          </w:p>
        </w:tc>
        <w:tc>
          <w:tcPr>
            <w:tcW w:w="1233" w:type="dxa"/>
            <w:tcBorders>
              <w:top w:val="single" w:sz="8" w:space="0" w:color="4F81BD"/>
              <w:left w:val="single" w:sz="8" w:space="0" w:color="4F81BD"/>
              <w:bottom w:val="single" w:sz="18" w:space="0" w:color="4F81BD"/>
              <w:right w:val="single" w:sz="8" w:space="0" w:color="4F81BD"/>
            </w:tcBorders>
          </w:tcPr>
          <w:p w14:paraId="4405C742" w14:textId="77777777" w:rsidR="00121274" w:rsidRDefault="00000000" w:rsidP="00EF78CD">
            <w:pPr>
              <w:spacing w:after="0" w:line="240" w:lineRule="auto"/>
              <w:ind w:left="0" w:right="0" w:firstLine="0"/>
              <w:jc w:val="left"/>
            </w:pPr>
            <w:r>
              <w:rPr>
                <w:b/>
                <w:sz w:val="22"/>
              </w:rPr>
              <w:t>Tendances (P&lt;0.01)</w:t>
            </w:r>
            <w:r>
              <w:rPr>
                <w:b/>
              </w:rPr>
              <w:t xml:space="preserve"> </w:t>
            </w:r>
          </w:p>
        </w:tc>
        <w:tc>
          <w:tcPr>
            <w:tcW w:w="1333" w:type="dxa"/>
            <w:tcBorders>
              <w:top w:val="single" w:sz="8" w:space="0" w:color="4F81BD"/>
              <w:left w:val="single" w:sz="8" w:space="0" w:color="4F81BD"/>
              <w:bottom w:val="single" w:sz="18" w:space="0" w:color="4F81BD"/>
              <w:right w:val="single" w:sz="8" w:space="0" w:color="4F81BD"/>
            </w:tcBorders>
          </w:tcPr>
          <w:p w14:paraId="2CB9FFAD" w14:textId="77777777" w:rsidR="00121274" w:rsidRDefault="00000000" w:rsidP="00EF78CD">
            <w:pPr>
              <w:spacing w:after="0" w:line="240" w:lineRule="auto"/>
              <w:ind w:left="0" w:right="0" w:firstLine="0"/>
              <w:jc w:val="left"/>
            </w:pPr>
            <w:r>
              <w:rPr>
                <w:b/>
                <w:sz w:val="22"/>
              </w:rPr>
              <w:t xml:space="preserve">Signif. </w:t>
            </w:r>
          </w:p>
          <w:p w14:paraId="76925B5F" w14:textId="77777777" w:rsidR="00121274" w:rsidRDefault="00000000" w:rsidP="00EF78CD">
            <w:pPr>
              <w:spacing w:after="0" w:line="240" w:lineRule="auto"/>
              <w:ind w:left="0" w:right="0" w:firstLine="0"/>
            </w:pPr>
            <w:r>
              <w:rPr>
                <w:b/>
                <w:sz w:val="22"/>
              </w:rPr>
              <w:t>(FDR&lt;0.05)</w:t>
            </w:r>
            <w:r>
              <w:rPr>
                <w:b/>
              </w:rPr>
              <w:t xml:space="preserve"> </w:t>
            </w:r>
          </w:p>
        </w:tc>
        <w:tc>
          <w:tcPr>
            <w:tcW w:w="2054" w:type="dxa"/>
            <w:tcBorders>
              <w:top w:val="single" w:sz="8" w:space="0" w:color="4F81BD"/>
              <w:left w:val="single" w:sz="8" w:space="0" w:color="4F81BD"/>
              <w:bottom w:val="single" w:sz="18" w:space="0" w:color="4F81BD"/>
              <w:right w:val="single" w:sz="8" w:space="0" w:color="4F81BD"/>
            </w:tcBorders>
          </w:tcPr>
          <w:p w14:paraId="67C84F4F" w14:textId="77777777" w:rsidR="00121274" w:rsidRDefault="00000000" w:rsidP="00EF78CD">
            <w:pPr>
              <w:spacing w:after="0" w:line="240" w:lineRule="auto"/>
              <w:ind w:left="4" w:right="0" w:firstLine="0"/>
              <w:jc w:val="left"/>
            </w:pPr>
            <w:r>
              <w:rPr>
                <w:b/>
                <w:sz w:val="22"/>
              </w:rPr>
              <w:t>Top gènes</w:t>
            </w:r>
            <w:r>
              <w:rPr>
                <w:b/>
              </w:rPr>
              <w:t xml:space="preserve"> </w:t>
            </w:r>
          </w:p>
        </w:tc>
      </w:tr>
      <w:tr w:rsidR="00121274" w14:paraId="2AF68005" w14:textId="77777777">
        <w:trPr>
          <w:trHeight w:val="785"/>
        </w:trPr>
        <w:tc>
          <w:tcPr>
            <w:tcW w:w="2737" w:type="dxa"/>
            <w:tcBorders>
              <w:top w:val="single" w:sz="18" w:space="0" w:color="4F81BD"/>
              <w:left w:val="single" w:sz="8" w:space="0" w:color="4F81BD"/>
              <w:bottom w:val="single" w:sz="8" w:space="0" w:color="4F81BD"/>
              <w:right w:val="single" w:sz="8" w:space="0" w:color="4F81BD"/>
            </w:tcBorders>
            <w:shd w:val="clear" w:color="auto" w:fill="D3DFEE"/>
          </w:tcPr>
          <w:p w14:paraId="6FBDD52D" w14:textId="77777777" w:rsidR="00121274" w:rsidRDefault="00000000" w:rsidP="00EF78CD">
            <w:pPr>
              <w:spacing w:after="0" w:line="240" w:lineRule="auto"/>
              <w:ind w:left="0" w:right="0" w:firstLine="0"/>
              <w:jc w:val="left"/>
            </w:pPr>
            <w:r>
              <w:rPr>
                <w:b/>
                <w:sz w:val="22"/>
              </w:rPr>
              <w:t>Astrocyte.Homeostatic</w:t>
            </w:r>
            <w:r>
              <w:rPr>
                <w:b/>
              </w:rPr>
              <w:t xml:space="preserve"> </w:t>
            </w:r>
          </w:p>
        </w:tc>
        <w:tc>
          <w:tcPr>
            <w:tcW w:w="1512" w:type="dxa"/>
            <w:tcBorders>
              <w:top w:val="single" w:sz="18" w:space="0" w:color="4F81BD"/>
              <w:left w:val="single" w:sz="8" w:space="0" w:color="4F81BD"/>
              <w:bottom w:val="single" w:sz="8" w:space="0" w:color="4F81BD"/>
              <w:right w:val="single" w:sz="8" w:space="0" w:color="4F81BD"/>
            </w:tcBorders>
            <w:shd w:val="clear" w:color="auto" w:fill="D3DFEE"/>
          </w:tcPr>
          <w:p w14:paraId="60A821CC"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18" w:space="0" w:color="4F81BD"/>
              <w:left w:val="single" w:sz="8" w:space="0" w:color="4F81BD"/>
              <w:bottom w:val="single" w:sz="8" w:space="0" w:color="4F81BD"/>
              <w:right w:val="single" w:sz="8" w:space="0" w:color="4F81BD"/>
            </w:tcBorders>
            <w:shd w:val="clear" w:color="auto" w:fill="D3DFEE"/>
          </w:tcPr>
          <w:p w14:paraId="2D257217"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18" w:space="0" w:color="4F81BD"/>
              <w:left w:val="single" w:sz="8" w:space="0" w:color="4F81BD"/>
              <w:bottom w:val="single" w:sz="8" w:space="0" w:color="4F81BD"/>
              <w:right w:val="single" w:sz="8" w:space="0" w:color="4F81BD"/>
            </w:tcBorders>
            <w:shd w:val="clear" w:color="auto" w:fill="D3DFEE"/>
          </w:tcPr>
          <w:p w14:paraId="1096B42D" w14:textId="77777777" w:rsidR="00121274" w:rsidRDefault="00000000" w:rsidP="00EF78CD">
            <w:pPr>
              <w:spacing w:after="0" w:line="240" w:lineRule="auto"/>
              <w:ind w:left="0" w:right="0" w:firstLine="0"/>
              <w:jc w:val="left"/>
            </w:pPr>
            <w:r>
              <w:rPr>
                <w:sz w:val="22"/>
              </w:rPr>
              <w:t>4</w:t>
            </w:r>
            <w:r>
              <w:t xml:space="preserve"> </w:t>
            </w:r>
          </w:p>
        </w:tc>
        <w:tc>
          <w:tcPr>
            <w:tcW w:w="1333" w:type="dxa"/>
            <w:tcBorders>
              <w:top w:val="single" w:sz="18" w:space="0" w:color="4F81BD"/>
              <w:left w:val="single" w:sz="8" w:space="0" w:color="4F81BD"/>
              <w:bottom w:val="single" w:sz="8" w:space="0" w:color="4F81BD"/>
              <w:right w:val="single" w:sz="8" w:space="0" w:color="4F81BD"/>
            </w:tcBorders>
            <w:shd w:val="clear" w:color="auto" w:fill="D3DFEE"/>
          </w:tcPr>
          <w:p w14:paraId="008AD15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18" w:space="0" w:color="4F81BD"/>
              <w:left w:val="single" w:sz="8" w:space="0" w:color="4F81BD"/>
              <w:bottom w:val="single" w:sz="8" w:space="0" w:color="4F81BD"/>
              <w:right w:val="single" w:sz="8" w:space="0" w:color="4F81BD"/>
            </w:tcBorders>
            <w:shd w:val="clear" w:color="auto" w:fill="D3DFEE"/>
          </w:tcPr>
          <w:p w14:paraId="688D5915" w14:textId="77777777" w:rsidR="00121274" w:rsidRDefault="00000000" w:rsidP="00EF78CD">
            <w:pPr>
              <w:spacing w:after="0" w:line="240" w:lineRule="auto"/>
              <w:ind w:left="4" w:right="0" w:firstLine="0"/>
            </w:pPr>
            <w:r>
              <w:rPr>
                <w:sz w:val="22"/>
              </w:rPr>
              <w:t xml:space="preserve">ENSG00000189108, </w:t>
            </w:r>
          </w:p>
          <w:p w14:paraId="119F651B" w14:textId="77777777" w:rsidR="00121274" w:rsidRDefault="00000000" w:rsidP="00EF78CD">
            <w:pPr>
              <w:spacing w:after="0" w:line="240" w:lineRule="auto"/>
              <w:ind w:left="4" w:right="0" w:firstLine="0"/>
              <w:jc w:val="left"/>
            </w:pPr>
            <w:r>
              <w:rPr>
                <w:sz w:val="22"/>
              </w:rPr>
              <w:t>ENSG00000286797, ENSG00000179241</w:t>
            </w:r>
            <w:r>
              <w:t xml:space="preserve"> </w:t>
            </w:r>
          </w:p>
        </w:tc>
      </w:tr>
      <w:tr w:rsidR="00121274" w14:paraId="3E5A7BE1" w14:textId="77777777">
        <w:trPr>
          <w:trHeight w:val="778"/>
        </w:trPr>
        <w:tc>
          <w:tcPr>
            <w:tcW w:w="2737" w:type="dxa"/>
            <w:tcBorders>
              <w:top w:val="single" w:sz="8" w:space="0" w:color="4F81BD"/>
              <w:left w:val="single" w:sz="8" w:space="0" w:color="4F81BD"/>
              <w:bottom w:val="single" w:sz="8" w:space="0" w:color="4F81BD"/>
              <w:right w:val="single" w:sz="8" w:space="0" w:color="4F81BD"/>
            </w:tcBorders>
          </w:tcPr>
          <w:p w14:paraId="4D9A1708" w14:textId="77777777" w:rsidR="00121274" w:rsidRDefault="00000000" w:rsidP="00EF78CD">
            <w:pPr>
              <w:spacing w:after="0" w:line="240" w:lineRule="auto"/>
              <w:ind w:left="0" w:right="0" w:firstLine="0"/>
              <w:jc w:val="left"/>
            </w:pPr>
            <w:r>
              <w:rPr>
                <w:b/>
                <w:sz w:val="22"/>
              </w:rPr>
              <w:t>Astrocyte.Homeostatic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B72783B"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617B3F9B"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4404C9" w14:textId="77777777" w:rsidR="00121274" w:rsidRDefault="00000000" w:rsidP="00EF78CD">
            <w:pPr>
              <w:spacing w:after="0" w:line="240" w:lineRule="auto"/>
              <w:ind w:left="0" w:right="0" w:firstLine="0"/>
              <w:jc w:val="left"/>
            </w:pPr>
            <w:r>
              <w:rPr>
                <w:sz w:val="22"/>
              </w:rPr>
              <w:t>28</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7866F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1211EFD0" w14:textId="77777777" w:rsidR="00121274" w:rsidRDefault="00000000" w:rsidP="00EF78CD">
            <w:pPr>
              <w:spacing w:after="0" w:line="240" w:lineRule="auto"/>
              <w:ind w:left="4" w:right="0" w:firstLine="0"/>
            </w:pPr>
            <w:r>
              <w:rPr>
                <w:sz w:val="22"/>
              </w:rPr>
              <w:t xml:space="preserve">ENSG00000121966, </w:t>
            </w:r>
          </w:p>
          <w:p w14:paraId="5529C43F" w14:textId="77777777" w:rsidR="00121274" w:rsidRDefault="00000000" w:rsidP="00EF78CD">
            <w:pPr>
              <w:spacing w:after="0" w:line="240" w:lineRule="auto"/>
              <w:ind w:left="4" w:right="0" w:firstLine="0"/>
              <w:jc w:val="left"/>
            </w:pPr>
            <w:r>
              <w:rPr>
                <w:sz w:val="22"/>
              </w:rPr>
              <w:t>ENSG00000265533, ENSG00000100311</w:t>
            </w:r>
            <w:r>
              <w:t xml:space="preserve"> </w:t>
            </w:r>
          </w:p>
        </w:tc>
      </w:tr>
      <w:tr w:rsidR="00121274" w14:paraId="7A0D9B48"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304F3C28" w14:textId="77777777" w:rsidR="00121274" w:rsidRDefault="00000000" w:rsidP="00EF78CD">
            <w:pPr>
              <w:spacing w:after="0" w:line="240" w:lineRule="auto"/>
              <w:ind w:left="0" w:right="0" w:firstLine="0"/>
              <w:jc w:val="left"/>
            </w:pPr>
            <w:r>
              <w:rPr>
                <w:b/>
                <w:sz w:val="22"/>
              </w:rPr>
              <w:t>Astrocyte.Reactive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AC3A711"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6EED1D86" w14:textId="77777777" w:rsidR="00121274" w:rsidRDefault="00000000" w:rsidP="00EF78CD">
            <w:pPr>
              <w:spacing w:after="0" w:line="240" w:lineRule="auto"/>
              <w:ind w:left="5" w:right="0" w:firstLine="0"/>
              <w:jc w:val="left"/>
            </w:pPr>
            <w:r>
              <w:rPr>
                <w:sz w:val="22"/>
              </w:rPr>
              <w:t>1464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1992A288" w14:textId="77777777" w:rsidR="00121274" w:rsidRDefault="00000000" w:rsidP="00EF78CD">
            <w:pPr>
              <w:spacing w:after="0" w:line="240" w:lineRule="auto"/>
              <w:ind w:left="0" w:right="0" w:firstLine="0"/>
              <w:jc w:val="left"/>
            </w:pPr>
            <w:r>
              <w:rPr>
                <w:sz w:val="22"/>
              </w:rPr>
              <w:t>9</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971F0D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1330E26A" w14:textId="77777777" w:rsidR="00121274" w:rsidRDefault="00000000" w:rsidP="00EF78CD">
            <w:pPr>
              <w:spacing w:after="0" w:line="240" w:lineRule="auto"/>
              <w:ind w:left="4" w:right="0" w:firstLine="0"/>
            </w:pPr>
            <w:r>
              <w:rPr>
                <w:sz w:val="22"/>
              </w:rPr>
              <w:t xml:space="preserve">ENSG00000204389, </w:t>
            </w:r>
          </w:p>
          <w:p w14:paraId="556AB77A" w14:textId="77777777" w:rsidR="00121274" w:rsidRDefault="00000000" w:rsidP="00EF78CD">
            <w:pPr>
              <w:spacing w:after="0" w:line="240" w:lineRule="auto"/>
              <w:ind w:left="4" w:right="0" w:firstLine="0"/>
              <w:jc w:val="left"/>
            </w:pPr>
            <w:r>
              <w:rPr>
                <w:sz w:val="22"/>
              </w:rPr>
              <w:t>ENSG00000260788, ENSG00000204832</w:t>
            </w:r>
            <w:r>
              <w:t xml:space="preserve"> </w:t>
            </w:r>
          </w:p>
        </w:tc>
      </w:tr>
      <w:tr w:rsidR="00121274" w14:paraId="25C704A1"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770B22CC" w14:textId="77777777" w:rsidR="00121274" w:rsidRDefault="00000000" w:rsidP="00EF78CD">
            <w:pPr>
              <w:spacing w:after="0" w:line="240" w:lineRule="auto"/>
              <w:ind w:left="0" w:right="0" w:firstLine="0"/>
              <w:jc w:val="left"/>
            </w:pPr>
            <w:r>
              <w:rPr>
                <w:b/>
                <w:sz w:val="22"/>
              </w:rPr>
              <w:t>Excitatory.neuron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142DFE1"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7D936046"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9E15DB6"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75D4CC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7FC6C10A" w14:textId="77777777" w:rsidR="00121274" w:rsidRDefault="00000000" w:rsidP="00EF78CD">
            <w:pPr>
              <w:spacing w:after="0" w:line="240" w:lineRule="auto"/>
              <w:ind w:left="4" w:right="0" w:firstLine="0"/>
            </w:pPr>
            <w:r>
              <w:rPr>
                <w:sz w:val="22"/>
              </w:rPr>
              <w:t xml:space="preserve">ENSG00000038427, </w:t>
            </w:r>
          </w:p>
          <w:p w14:paraId="06E8A322" w14:textId="77777777" w:rsidR="00121274" w:rsidRDefault="00000000" w:rsidP="00EF78CD">
            <w:pPr>
              <w:spacing w:after="0" w:line="240" w:lineRule="auto"/>
              <w:ind w:left="4" w:right="0" w:firstLine="0"/>
              <w:jc w:val="left"/>
            </w:pPr>
            <w:r>
              <w:rPr>
                <w:sz w:val="22"/>
              </w:rPr>
              <w:t>ENSG00000226383, ENSG00000135269</w:t>
            </w:r>
            <w:r>
              <w:t xml:space="preserve"> </w:t>
            </w:r>
          </w:p>
        </w:tc>
      </w:tr>
      <w:tr w:rsidR="00121274" w14:paraId="7F842525"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F094D95" w14:textId="77777777" w:rsidR="00121274" w:rsidRDefault="00000000" w:rsidP="00EF78CD">
            <w:pPr>
              <w:spacing w:after="0" w:line="240" w:lineRule="auto"/>
              <w:ind w:left="0" w:right="0" w:firstLine="0"/>
              <w:jc w:val="left"/>
            </w:pPr>
            <w:r>
              <w:rPr>
                <w:b/>
                <w:sz w:val="22"/>
              </w:rPr>
              <w:t>Excitatory.neuron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2F236B5"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21296E9C"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D851AA2" w14:textId="77777777" w:rsidR="00121274" w:rsidRDefault="00000000" w:rsidP="00EF78CD">
            <w:pPr>
              <w:spacing w:after="0" w:line="240" w:lineRule="auto"/>
              <w:ind w:left="0" w:right="0" w:firstLine="0"/>
              <w:jc w:val="left"/>
            </w:pPr>
            <w:r>
              <w:rPr>
                <w:sz w:val="22"/>
              </w:rPr>
              <w:t>12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5BA008"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04170AF5" w14:textId="77777777" w:rsidR="00121274" w:rsidRDefault="00000000" w:rsidP="00EF78CD">
            <w:pPr>
              <w:spacing w:after="0" w:line="240" w:lineRule="auto"/>
              <w:ind w:left="4" w:right="0" w:firstLine="0"/>
            </w:pPr>
            <w:r>
              <w:rPr>
                <w:sz w:val="22"/>
              </w:rPr>
              <w:t xml:space="preserve">ENSG00000272865, </w:t>
            </w:r>
          </w:p>
          <w:p w14:paraId="030C0763" w14:textId="77777777" w:rsidR="00121274" w:rsidRDefault="00000000" w:rsidP="00EF78CD">
            <w:pPr>
              <w:spacing w:after="0" w:line="240" w:lineRule="auto"/>
              <w:ind w:left="4" w:right="0" w:firstLine="0"/>
              <w:jc w:val="left"/>
            </w:pPr>
            <w:r>
              <w:rPr>
                <w:sz w:val="22"/>
              </w:rPr>
              <w:t>ENSG00000257258, ENSG00000276070</w:t>
            </w:r>
            <w:r>
              <w:t xml:space="preserve"> </w:t>
            </w:r>
          </w:p>
        </w:tc>
      </w:tr>
      <w:tr w:rsidR="00121274" w14:paraId="3BB44290"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B9207E4" w14:textId="77777777" w:rsidR="00121274" w:rsidRDefault="00000000" w:rsidP="00EF78CD">
            <w:pPr>
              <w:spacing w:after="0" w:line="240" w:lineRule="auto"/>
              <w:ind w:left="0" w:right="0" w:firstLine="0"/>
              <w:jc w:val="left"/>
            </w:pPr>
            <w:r>
              <w:rPr>
                <w:b/>
                <w:sz w:val="22"/>
              </w:rPr>
              <w:t>Inhibitory.neuron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7C455B37"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BC93F53"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28F0DD2" w14:textId="77777777" w:rsidR="00121274" w:rsidRDefault="00000000" w:rsidP="00EF78CD">
            <w:pPr>
              <w:spacing w:after="0" w:line="240" w:lineRule="auto"/>
              <w:ind w:left="0" w:right="0" w:firstLine="0"/>
              <w:jc w:val="left"/>
            </w:pPr>
            <w:r>
              <w:rPr>
                <w:sz w:val="22"/>
              </w:rPr>
              <w:t>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051213C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218C53CA" w14:textId="77777777" w:rsidR="00121274" w:rsidRDefault="00000000" w:rsidP="00EF78CD">
            <w:pPr>
              <w:spacing w:after="0" w:line="240" w:lineRule="auto"/>
              <w:ind w:left="4" w:right="0" w:firstLine="0"/>
            </w:pPr>
            <w:r>
              <w:rPr>
                <w:sz w:val="22"/>
              </w:rPr>
              <w:t xml:space="preserve">ENSG00000178175, </w:t>
            </w:r>
          </w:p>
          <w:p w14:paraId="1F773836" w14:textId="77777777" w:rsidR="00121274" w:rsidRDefault="00000000" w:rsidP="00EF78CD">
            <w:pPr>
              <w:spacing w:after="0" w:line="240" w:lineRule="auto"/>
              <w:ind w:left="4" w:right="0" w:firstLine="0"/>
              <w:jc w:val="left"/>
            </w:pPr>
            <w:r>
              <w:rPr>
                <w:sz w:val="22"/>
              </w:rPr>
              <w:t>ENSG00000261272, ENSG00000166523</w:t>
            </w:r>
            <w:r>
              <w:t xml:space="preserve"> </w:t>
            </w:r>
          </w:p>
        </w:tc>
      </w:tr>
      <w:tr w:rsidR="00121274" w14:paraId="0BB2199C"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D6A6B14" w14:textId="77777777" w:rsidR="00121274" w:rsidRDefault="00000000" w:rsidP="00EF78CD">
            <w:pPr>
              <w:spacing w:after="0" w:line="240" w:lineRule="auto"/>
              <w:ind w:left="0" w:right="0" w:firstLine="0"/>
              <w:jc w:val="left"/>
            </w:pPr>
            <w:r>
              <w:rPr>
                <w:b/>
                <w:sz w:val="22"/>
              </w:rPr>
              <w:t>Inhibitory.neuron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469A8CCC"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3218403B"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6764F445" w14:textId="77777777" w:rsidR="00121274" w:rsidRDefault="00000000" w:rsidP="00EF78CD">
            <w:pPr>
              <w:spacing w:after="0" w:line="240" w:lineRule="auto"/>
              <w:ind w:left="0" w:right="0" w:firstLine="0"/>
              <w:jc w:val="left"/>
            </w:pPr>
            <w:r>
              <w:rPr>
                <w:sz w:val="22"/>
              </w:rPr>
              <w:t>1</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6FBD6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26713677" w14:textId="77777777" w:rsidR="00121274" w:rsidRDefault="00000000" w:rsidP="00EF78CD">
            <w:pPr>
              <w:spacing w:after="0" w:line="240" w:lineRule="auto"/>
              <w:ind w:left="4" w:right="0" w:firstLine="0"/>
            </w:pPr>
            <w:r>
              <w:rPr>
                <w:sz w:val="22"/>
              </w:rPr>
              <w:t xml:space="preserve">ENSG00000164695, </w:t>
            </w:r>
          </w:p>
          <w:p w14:paraId="60432A14" w14:textId="77777777" w:rsidR="00121274" w:rsidRDefault="00000000" w:rsidP="00EF78CD">
            <w:pPr>
              <w:spacing w:after="0" w:line="240" w:lineRule="auto"/>
              <w:ind w:left="4" w:right="0" w:firstLine="0"/>
              <w:jc w:val="left"/>
            </w:pPr>
            <w:r>
              <w:rPr>
                <w:sz w:val="22"/>
              </w:rPr>
              <w:t>ENSG00000099260, ENSG00000227121</w:t>
            </w:r>
            <w:r>
              <w:t xml:space="preserve"> </w:t>
            </w:r>
          </w:p>
        </w:tc>
      </w:tr>
      <w:tr w:rsidR="00121274" w14:paraId="5A0DA473" w14:textId="77777777">
        <w:trPr>
          <w:trHeight w:val="786"/>
        </w:trPr>
        <w:tc>
          <w:tcPr>
            <w:tcW w:w="2737" w:type="dxa"/>
            <w:tcBorders>
              <w:top w:val="single" w:sz="8" w:space="0" w:color="4F81BD"/>
              <w:left w:val="single" w:sz="8" w:space="0" w:color="4F81BD"/>
              <w:bottom w:val="single" w:sz="8" w:space="0" w:color="4F81BD"/>
              <w:right w:val="single" w:sz="8" w:space="0" w:color="4F81BD"/>
            </w:tcBorders>
          </w:tcPr>
          <w:p w14:paraId="4A8D2F11" w14:textId="77777777" w:rsidR="00121274" w:rsidRDefault="00000000" w:rsidP="00EF78CD">
            <w:pPr>
              <w:spacing w:after="0" w:line="240" w:lineRule="auto"/>
              <w:ind w:left="0" w:right="0" w:firstLine="0"/>
              <w:jc w:val="left"/>
            </w:pPr>
            <w:r>
              <w:rPr>
                <w:b/>
                <w:sz w:val="22"/>
              </w:rPr>
              <w:t>Microglia</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5537E43"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F1F9713"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9F3795C" w14:textId="77777777" w:rsidR="00121274" w:rsidRDefault="00000000" w:rsidP="00EF78CD">
            <w:pPr>
              <w:spacing w:after="0" w:line="240" w:lineRule="auto"/>
              <w:ind w:left="0" w:right="0" w:firstLine="0"/>
              <w:jc w:val="left"/>
            </w:pPr>
            <w:r>
              <w:rPr>
                <w:sz w:val="22"/>
              </w:rPr>
              <w:t>26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C83A6E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1A59ACC" w14:textId="77777777" w:rsidR="00121274" w:rsidRDefault="00000000" w:rsidP="00EF78CD">
            <w:pPr>
              <w:spacing w:after="0" w:line="240" w:lineRule="auto"/>
              <w:ind w:left="4" w:right="0" w:firstLine="0"/>
            </w:pPr>
            <w:r>
              <w:rPr>
                <w:sz w:val="22"/>
              </w:rPr>
              <w:t xml:space="preserve">ENSG00000229618, </w:t>
            </w:r>
          </w:p>
          <w:p w14:paraId="49303929" w14:textId="77777777" w:rsidR="00121274" w:rsidRDefault="00000000" w:rsidP="00EF78CD">
            <w:pPr>
              <w:spacing w:after="0" w:line="240" w:lineRule="auto"/>
              <w:ind w:left="4" w:right="0" w:firstLine="0"/>
              <w:jc w:val="left"/>
            </w:pPr>
            <w:r>
              <w:rPr>
                <w:sz w:val="22"/>
              </w:rPr>
              <w:t>ENSG00000026508, ENSG00000140030</w:t>
            </w:r>
            <w:r>
              <w:t xml:space="preserve"> </w:t>
            </w:r>
          </w:p>
        </w:tc>
      </w:tr>
      <w:tr w:rsidR="00121274" w14:paraId="530867F4"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86AAAD0" w14:textId="77777777" w:rsidR="00121274" w:rsidRDefault="00000000" w:rsidP="00EF78CD">
            <w:pPr>
              <w:spacing w:after="0" w:line="240" w:lineRule="auto"/>
              <w:ind w:left="0" w:right="0" w:firstLine="0"/>
              <w:jc w:val="left"/>
            </w:pPr>
            <w:r>
              <w:rPr>
                <w:b/>
                <w:sz w:val="22"/>
              </w:rPr>
              <w:t>Microglia</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F27E201"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815FE2F"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EC4FEEE" w14:textId="77777777" w:rsidR="00121274" w:rsidRDefault="00000000" w:rsidP="00EF78CD">
            <w:pPr>
              <w:spacing w:after="0" w:line="240" w:lineRule="auto"/>
              <w:ind w:left="0" w:right="0" w:firstLine="0"/>
              <w:jc w:val="left"/>
            </w:pPr>
            <w:r>
              <w:rPr>
                <w:sz w:val="22"/>
              </w:rPr>
              <w:t>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7674D097"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7A7332C7" w14:textId="77777777" w:rsidR="00121274" w:rsidRDefault="00000000" w:rsidP="00EF78CD">
            <w:pPr>
              <w:spacing w:after="0" w:line="240" w:lineRule="auto"/>
              <w:ind w:left="4" w:right="0" w:firstLine="0"/>
            </w:pPr>
            <w:r>
              <w:rPr>
                <w:sz w:val="22"/>
              </w:rPr>
              <w:t xml:space="preserve">ENSG00000197430, </w:t>
            </w:r>
          </w:p>
          <w:p w14:paraId="306FFB4C" w14:textId="77777777" w:rsidR="00121274" w:rsidRDefault="00000000" w:rsidP="00EF78CD">
            <w:pPr>
              <w:spacing w:after="0" w:line="240" w:lineRule="auto"/>
              <w:ind w:left="4" w:right="0" w:firstLine="0"/>
              <w:jc w:val="left"/>
            </w:pPr>
            <w:r>
              <w:rPr>
                <w:sz w:val="22"/>
              </w:rPr>
              <w:t>ENSG00000178722, ENSG00000110876</w:t>
            </w:r>
            <w:r>
              <w:t xml:space="preserve"> </w:t>
            </w:r>
          </w:p>
        </w:tc>
      </w:tr>
      <w:tr w:rsidR="00121274" w14:paraId="2D0D24E1"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488D136" w14:textId="77777777" w:rsidR="00121274" w:rsidRDefault="00000000" w:rsidP="00EF78CD">
            <w:pPr>
              <w:spacing w:after="0" w:line="240" w:lineRule="auto"/>
              <w:ind w:left="0" w:right="0" w:firstLine="0"/>
              <w:jc w:val="left"/>
            </w:pPr>
            <w:r>
              <w:rPr>
                <w:b/>
                <w:sz w:val="22"/>
              </w:rPr>
              <w:t>Oligodendrocyte.OPC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FCEC8BB"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AF765AF"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04A372"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FF211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42A50635" w14:textId="77777777" w:rsidR="00121274" w:rsidRDefault="00000000" w:rsidP="00EF78CD">
            <w:pPr>
              <w:spacing w:after="0" w:line="240" w:lineRule="auto"/>
              <w:ind w:left="4" w:right="0" w:firstLine="0"/>
            </w:pPr>
            <w:r>
              <w:rPr>
                <w:sz w:val="22"/>
              </w:rPr>
              <w:t xml:space="preserve">ENSG00000160801, </w:t>
            </w:r>
          </w:p>
          <w:p w14:paraId="4FEC0874" w14:textId="77777777" w:rsidR="00121274" w:rsidRDefault="00000000" w:rsidP="00EF78CD">
            <w:pPr>
              <w:spacing w:after="0" w:line="240" w:lineRule="auto"/>
              <w:ind w:left="4" w:right="0" w:firstLine="0"/>
              <w:jc w:val="left"/>
            </w:pPr>
            <w:r>
              <w:rPr>
                <w:sz w:val="22"/>
              </w:rPr>
              <w:t>ENSG00000026508, ENSG00000286797</w:t>
            </w:r>
            <w:r>
              <w:t xml:space="preserve"> </w:t>
            </w:r>
          </w:p>
        </w:tc>
      </w:tr>
      <w:tr w:rsidR="00121274" w14:paraId="2DAE35C3"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6C4CA44D" w14:textId="77777777" w:rsidR="00121274" w:rsidRDefault="00000000" w:rsidP="00EF78CD">
            <w:pPr>
              <w:spacing w:after="0" w:line="240" w:lineRule="auto"/>
              <w:ind w:left="0" w:right="0" w:firstLine="0"/>
              <w:jc w:val="left"/>
            </w:pPr>
            <w:r>
              <w:rPr>
                <w:b/>
                <w:sz w:val="22"/>
              </w:rPr>
              <w:lastRenderedPageBreak/>
              <w:t>Oligodendrocyte.OPC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534812A3"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EFFCA04"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05F5A3EB" w14:textId="77777777" w:rsidR="00121274" w:rsidRDefault="00000000" w:rsidP="00EF78CD">
            <w:pPr>
              <w:spacing w:after="0" w:line="240" w:lineRule="auto"/>
              <w:ind w:left="0" w:right="0" w:firstLine="0"/>
              <w:jc w:val="left"/>
            </w:pPr>
            <w:r>
              <w:rPr>
                <w:sz w:val="22"/>
              </w:rPr>
              <w:t>7</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3B9E252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3D03CDD0" w14:textId="77777777" w:rsidR="00121274" w:rsidRDefault="00000000" w:rsidP="00EF78CD">
            <w:pPr>
              <w:spacing w:after="0" w:line="240" w:lineRule="auto"/>
              <w:ind w:left="4" w:right="0" w:firstLine="0"/>
            </w:pPr>
            <w:r>
              <w:rPr>
                <w:sz w:val="22"/>
              </w:rPr>
              <w:t xml:space="preserve">ENSG00000119535, </w:t>
            </w:r>
          </w:p>
          <w:p w14:paraId="55FB8871" w14:textId="77777777" w:rsidR="00121274" w:rsidRDefault="00000000" w:rsidP="00EF78CD">
            <w:pPr>
              <w:spacing w:after="0" w:line="240" w:lineRule="auto"/>
              <w:ind w:left="4" w:right="0" w:firstLine="0"/>
              <w:jc w:val="left"/>
            </w:pPr>
            <w:r>
              <w:rPr>
                <w:sz w:val="22"/>
              </w:rPr>
              <w:t>ENSG00000161911, ENSG00000092969</w:t>
            </w:r>
            <w:r>
              <w:t xml:space="preserve"> </w:t>
            </w:r>
          </w:p>
        </w:tc>
      </w:tr>
      <w:tr w:rsidR="00121274" w14:paraId="6CB23CAC"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0F514419" w14:textId="77777777" w:rsidR="00121274" w:rsidRDefault="00000000" w:rsidP="00EF78CD">
            <w:pPr>
              <w:spacing w:after="0" w:line="240" w:lineRule="auto"/>
              <w:ind w:left="0" w:right="0" w:firstLine="0"/>
            </w:pPr>
            <w:r>
              <w:rPr>
                <w:b/>
                <w:sz w:val="22"/>
              </w:rPr>
              <w:t>Support.Vascular.Immune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3BAE26C8"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2312AD3C"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E8CA3D3"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475A501" w14:textId="77777777" w:rsidR="00121274" w:rsidRDefault="00000000" w:rsidP="00EF78CD">
            <w:pPr>
              <w:spacing w:after="0" w:line="240" w:lineRule="auto"/>
              <w:ind w:left="0" w:right="0" w:firstLine="0"/>
              <w:jc w:val="left"/>
            </w:pPr>
            <w:r>
              <w:rPr>
                <w:sz w:val="22"/>
              </w:rPr>
              <w:t>1</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047D88E" w14:textId="77777777" w:rsidR="00121274" w:rsidRDefault="00000000" w:rsidP="00EF78CD">
            <w:pPr>
              <w:spacing w:after="0" w:line="240" w:lineRule="auto"/>
              <w:ind w:left="4" w:right="0" w:firstLine="0"/>
            </w:pPr>
            <w:r>
              <w:rPr>
                <w:sz w:val="22"/>
              </w:rPr>
              <w:t xml:space="preserve">ENSG00000026508, </w:t>
            </w:r>
          </w:p>
          <w:p w14:paraId="5F4B741C" w14:textId="77777777" w:rsidR="00121274" w:rsidRDefault="00000000" w:rsidP="00EF78CD">
            <w:pPr>
              <w:spacing w:after="0" w:line="240" w:lineRule="auto"/>
              <w:ind w:left="4" w:right="0" w:firstLine="0"/>
              <w:jc w:val="left"/>
            </w:pPr>
            <w:r>
              <w:rPr>
                <w:sz w:val="22"/>
              </w:rPr>
              <w:t>ENSG00000226383, ENSG00000253154</w:t>
            </w:r>
            <w:r>
              <w:t xml:space="preserve"> </w:t>
            </w:r>
          </w:p>
        </w:tc>
      </w:tr>
      <w:tr w:rsidR="00121274" w14:paraId="1A145246"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CCE8D4C" w14:textId="77777777" w:rsidR="00121274" w:rsidRDefault="00000000" w:rsidP="00EF78CD">
            <w:pPr>
              <w:spacing w:after="0" w:line="240" w:lineRule="auto"/>
              <w:ind w:left="0" w:right="0" w:firstLine="0"/>
            </w:pPr>
            <w:r>
              <w:rPr>
                <w:b/>
                <w:sz w:val="22"/>
              </w:rPr>
              <w:t>Support.Vascular.Immune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B0F44FE"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43D6C0CE"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20AF747B"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145DC4"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565DDBD4" w14:textId="77777777" w:rsidR="00121274" w:rsidRDefault="00000000" w:rsidP="00EF78CD">
            <w:pPr>
              <w:spacing w:after="0" w:line="240" w:lineRule="auto"/>
              <w:ind w:left="4" w:right="0" w:firstLine="0"/>
            </w:pPr>
            <w:r>
              <w:rPr>
                <w:sz w:val="22"/>
              </w:rPr>
              <w:t xml:space="preserve">ENSG00000163359, </w:t>
            </w:r>
          </w:p>
          <w:p w14:paraId="69C7339F" w14:textId="77777777" w:rsidR="00121274" w:rsidRDefault="00000000" w:rsidP="00EF78CD">
            <w:pPr>
              <w:spacing w:after="0" w:line="240" w:lineRule="auto"/>
              <w:ind w:left="4" w:right="0" w:firstLine="0"/>
              <w:jc w:val="left"/>
            </w:pPr>
            <w:r>
              <w:rPr>
                <w:sz w:val="22"/>
              </w:rPr>
              <w:t>ENSG00000104490, ENSG00000156103</w:t>
            </w:r>
            <w:r>
              <w:t xml:space="preserve"> </w:t>
            </w:r>
          </w:p>
        </w:tc>
      </w:tr>
    </w:tbl>
    <w:p w14:paraId="18A51668" w14:textId="77777777" w:rsidR="00121274" w:rsidRDefault="00000000" w:rsidP="00EF78CD">
      <w:pPr>
        <w:spacing w:after="0" w:line="240" w:lineRule="auto"/>
        <w:ind w:right="45"/>
        <w:jc w:val="center"/>
      </w:pPr>
      <w:r>
        <w:rPr>
          <w:i/>
          <w:sz w:val="20"/>
        </w:rPr>
        <w:t>Tableau 3. Résumé des résultats d'expression différentielle (analyse pseudobulk) par type cellulaire et contraste.</w:t>
      </w:r>
      <w:r>
        <w:t xml:space="preserve"> </w:t>
      </w:r>
    </w:p>
    <w:p w14:paraId="1059587E" w14:textId="40EC9ACC" w:rsidR="00121274" w:rsidRDefault="00000000" w:rsidP="00EF78CD">
      <w:pPr>
        <w:tabs>
          <w:tab w:val="center" w:pos="2589"/>
          <w:tab w:val="center" w:pos="4263"/>
          <w:tab w:val="center" w:pos="5556"/>
          <w:tab w:val="center" w:pos="6723"/>
          <w:tab w:val="center" w:pos="8143"/>
          <w:tab w:val="right" w:pos="9447"/>
        </w:tabs>
        <w:spacing w:after="0" w:line="240" w:lineRule="auto"/>
        <w:ind w:left="-15" w:right="0" w:firstLine="0"/>
        <w:jc w:val="left"/>
      </w:pPr>
      <w:r>
        <w:t xml:space="preserve">Observations principales (basées sur cette analyse) : </w:t>
      </w:r>
    </w:p>
    <w:p w14:paraId="4EA4A2E7" w14:textId="4FFB60DF" w:rsidR="00121274" w:rsidRDefault="00000000" w:rsidP="00EF78CD">
      <w:pPr>
        <w:numPr>
          <w:ilvl w:val="0"/>
          <w:numId w:val="11"/>
        </w:numPr>
        <w:spacing w:after="0" w:line="240" w:lineRule="auto"/>
        <w:ind w:right="35"/>
      </w:pPr>
      <w:r>
        <w:t xml:space="preserve">Le cluster Support/Vascular/Immune présente le signal le plus robuste, avec au moins un gène significatif (FDR&lt;0,05) et plusieurs gènes en forte tendance (P&lt;0,01), suggérant une perturbation de la barrière hémato-encéphalique et de l'environnement vasculaire dans l'AD. • La microglie montre un ensemble de gènes en tendance mais aucun gène ne franchit le seuil de FDR&lt;0,05 dans cette cohorte réduite, illustrant la forte hétérogénéité inter-individuelle des réponses inflammatoires. </w:t>
      </w:r>
    </w:p>
    <w:p w14:paraId="1D0A5C8D" w14:textId="77777777" w:rsidR="00121274" w:rsidRDefault="00000000" w:rsidP="00EF78CD">
      <w:pPr>
        <w:numPr>
          <w:ilvl w:val="0"/>
          <w:numId w:val="11"/>
        </w:numPr>
        <w:spacing w:after="0" w:line="240" w:lineRule="auto"/>
        <w:ind w:right="35"/>
      </w:pPr>
      <w:r>
        <w:t xml:space="preserve">Dans la maladie de Parkinson, aucun gène n'est significatif après correction, mais plusieurs types cellulaires (notamment les astrocytes) présentent des gènes en tendance (P&lt;0,01), compatibles avec une activation gliale plus modeste. </w:t>
      </w:r>
    </w:p>
    <w:p w14:paraId="318D3E87" w14:textId="77777777" w:rsidR="00121274" w:rsidRDefault="00000000" w:rsidP="00EF78CD">
      <w:pPr>
        <w:spacing w:after="0" w:line="240" w:lineRule="auto"/>
        <w:ind w:left="0" w:right="720" w:firstLine="0"/>
        <w:jc w:val="right"/>
      </w:pPr>
      <w:r>
        <w:rPr>
          <w:noProof/>
        </w:rPr>
        <w:drawing>
          <wp:inline distT="0" distB="0" distL="0" distR="0" wp14:anchorId="22E3707D" wp14:editId="0A5F1E4A">
            <wp:extent cx="5028692" cy="4191000"/>
            <wp:effectExtent l="0" t="0" r="0" b="0"/>
            <wp:docPr id="2140" name="Picture 2140"/>
            <wp:cNvGraphicFramePr/>
            <a:graphic xmlns:a="http://schemas.openxmlformats.org/drawingml/2006/main">
              <a:graphicData uri="http://schemas.openxmlformats.org/drawingml/2006/picture">
                <pic:pic xmlns:pic="http://schemas.openxmlformats.org/drawingml/2006/picture">
                  <pic:nvPicPr>
                    <pic:cNvPr id="2140" name="Picture 2140"/>
                    <pic:cNvPicPr/>
                  </pic:nvPicPr>
                  <pic:blipFill>
                    <a:blip r:embed="rId27"/>
                    <a:stretch>
                      <a:fillRect/>
                    </a:stretch>
                  </pic:blipFill>
                  <pic:spPr>
                    <a:xfrm>
                      <a:off x="0" y="0"/>
                      <a:ext cx="5028692" cy="4191000"/>
                    </a:xfrm>
                    <a:prstGeom prst="rect">
                      <a:avLst/>
                    </a:prstGeom>
                  </pic:spPr>
                </pic:pic>
              </a:graphicData>
            </a:graphic>
          </wp:inline>
        </w:drawing>
      </w:r>
      <w:r>
        <w:t xml:space="preserve"> </w:t>
      </w:r>
    </w:p>
    <w:p w14:paraId="12A48874" w14:textId="77777777" w:rsidR="00121274" w:rsidRDefault="00000000" w:rsidP="00EF78CD">
      <w:pPr>
        <w:spacing w:after="0" w:line="240" w:lineRule="auto"/>
        <w:ind w:right="0"/>
        <w:jc w:val="center"/>
      </w:pPr>
      <w:r>
        <w:rPr>
          <w:i/>
          <w:sz w:val="20"/>
        </w:rPr>
        <w:t>Figure 12. Volcano plot du cluster Support/Vascular/Immune (AD vs CTRL). Le point rouge identifie le lncRNA MEG3 significativement sous-exprimé (FDR &lt; 0,05), tandis que les points oranges (P &lt; 0,01) correspondent à des gènes montrant une forte tendance biologique.</w:t>
      </w:r>
      <w:r>
        <w:t xml:space="preserve"> </w:t>
      </w:r>
    </w:p>
    <w:p w14:paraId="4D138196" w14:textId="77777777" w:rsidR="00121274" w:rsidRDefault="00000000" w:rsidP="00EF78CD">
      <w:pPr>
        <w:spacing w:after="0" w:line="240" w:lineRule="auto"/>
        <w:ind w:left="0" w:right="360" w:firstLine="0"/>
        <w:jc w:val="right"/>
      </w:pPr>
      <w:r>
        <w:rPr>
          <w:noProof/>
        </w:rPr>
        <w:lastRenderedPageBreak/>
        <w:drawing>
          <wp:inline distT="0" distB="0" distL="0" distR="0" wp14:anchorId="7E19BD2B" wp14:editId="3C7B14FB">
            <wp:extent cx="5486273" cy="4097655"/>
            <wp:effectExtent l="0" t="0" r="0" b="0"/>
            <wp:docPr id="2175" name="Picture 2175"/>
            <wp:cNvGraphicFramePr/>
            <a:graphic xmlns:a="http://schemas.openxmlformats.org/drawingml/2006/main">
              <a:graphicData uri="http://schemas.openxmlformats.org/drawingml/2006/picture">
                <pic:pic xmlns:pic="http://schemas.openxmlformats.org/drawingml/2006/picture">
                  <pic:nvPicPr>
                    <pic:cNvPr id="2175" name="Picture 2175"/>
                    <pic:cNvPicPr/>
                  </pic:nvPicPr>
                  <pic:blipFill>
                    <a:blip r:embed="rId28"/>
                    <a:stretch>
                      <a:fillRect/>
                    </a:stretch>
                  </pic:blipFill>
                  <pic:spPr>
                    <a:xfrm>
                      <a:off x="0" y="0"/>
                      <a:ext cx="5486273" cy="4097655"/>
                    </a:xfrm>
                    <a:prstGeom prst="rect">
                      <a:avLst/>
                    </a:prstGeom>
                  </pic:spPr>
                </pic:pic>
              </a:graphicData>
            </a:graphic>
          </wp:inline>
        </w:drawing>
      </w:r>
      <w:r>
        <w:t xml:space="preserve"> </w:t>
      </w:r>
    </w:p>
    <w:p w14:paraId="005F4138" w14:textId="77777777" w:rsidR="00121274" w:rsidRDefault="00000000" w:rsidP="00EF78CD">
      <w:pPr>
        <w:spacing w:after="0" w:line="240" w:lineRule="auto"/>
        <w:ind w:right="0"/>
        <w:jc w:val="center"/>
      </w:pPr>
      <w:r>
        <w:rPr>
          <w:i/>
          <w:sz w:val="20"/>
        </w:rPr>
        <w:t>Figure 13. Top 15 des gènes les plus dérégulés (|log2FC|) dans le cluster Support/Vascular/Immune (AD vs CTRL). Les barres rouges indiquent les gènes surexprimés, les barres bleues ceux sous-exprimés, avec MEG3 parmi les gènes les plus fortement diminués.</w:t>
      </w:r>
      <w:r>
        <w:t xml:space="preserve"> </w:t>
      </w:r>
    </w:p>
    <w:p w14:paraId="6155C022" w14:textId="77777777" w:rsidR="00121274" w:rsidRDefault="00000000" w:rsidP="00EF78CD">
      <w:pPr>
        <w:pStyle w:val="Titre3"/>
        <w:spacing w:after="0" w:line="240" w:lineRule="auto"/>
        <w:ind w:left="593" w:hanging="608"/>
      </w:pPr>
      <w:r>
        <w:t xml:space="preserve">Signatures microgliales </w:t>
      </w:r>
    </w:p>
    <w:p w14:paraId="31B8BA6F" w14:textId="77777777" w:rsidR="00121274" w:rsidRDefault="00000000" w:rsidP="00EF78CD">
      <w:pPr>
        <w:spacing w:after="0" w:line="240" w:lineRule="auto"/>
        <w:ind w:left="-5" w:right="35"/>
      </w:pPr>
      <w:r>
        <w:t xml:space="preserve">Dans la microglie, l'analyse stricte (FDR&lt;0,05) ne met en évidence aucun gène significatif dans cette cohorte. Cependant, l'analyse des tendances (P&lt;0,01) révèle un ensemble restreint de gènes candidats suggérant une réorganisation transcriptionnelle subtile compatible avec une activation immunitaire hétérogène. Parmi ces gènes, on note notamment le facteur de transcription POU3F2, ainsi que plusieurs gènes impliqués dans la signalisation et la régulation transcriptionnelle. </w:t>
      </w:r>
    </w:p>
    <w:p w14:paraId="16D513A3"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visualiser les tendances (P&lt;0,01) ? </w:t>
      </w:r>
    </w:p>
    <w:p w14:paraId="075F097E"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Avec une cohorte de taille limitée (en particulier pour PD), la correction pour tests multiples (FDR) est très sévère et peut conduire à un nombre nul de gènes significatifs, même en présence de signaux biologiques réels. La visualisation des gènes avec P&lt;0,01 (sans correction) permet d'identifier des 'tendances' cohérentes qui peuvent être discutées comme des pistes exploratoires, tout en restant transparent sur l'absence de significativité stricte.</w:t>
      </w:r>
      <w:r>
        <w:t xml:space="preserve"> </w:t>
      </w:r>
    </w:p>
    <w:p w14:paraId="63FBDFDE" w14:textId="77777777" w:rsidR="00121274" w:rsidRDefault="00000000" w:rsidP="00EF78CD">
      <w:pPr>
        <w:spacing w:after="0" w:line="240" w:lineRule="auto"/>
        <w:ind w:left="0" w:right="720" w:firstLine="0"/>
        <w:jc w:val="right"/>
      </w:pPr>
      <w:r>
        <w:rPr>
          <w:noProof/>
        </w:rPr>
        <w:lastRenderedPageBreak/>
        <w:drawing>
          <wp:inline distT="0" distB="0" distL="0" distR="0" wp14:anchorId="58E0AC7C" wp14:editId="3E45FFF1">
            <wp:extent cx="5028946" cy="4186555"/>
            <wp:effectExtent l="0" t="0" r="0" b="0"/>
            <wp:docPr id="2215" name="Picture 2215"/>
            <wp:cNvGraphicFramePr/>
            <a:graphic xmlns:a="http://schemas.openxmlformats.org/drawingml/2006/main">
              <a:graphicData uri="http://schemas.openxmlformats.org/drawingml/2006/picture">
                <pic:pic xmlns:pic="http://schemas.openxmlformats.org/drawingml/2006/picture">
                  <pic:nvPicPr>
                    <pic:cNvPr id="2215" name="Picture 2215"/>
                    <pic:cNvPicPr/>
                  </pic:nvPicPr>
                  <pic:blipFill>
                    <a:blip r:embed="rId29"/>
                    <a:stretch>
                      <a:fillRect/>
                    </a:stretch>
                  </pic:blipFill>
                  <pic:spPr>
                    <a:xfrm>
                      <a:off x="0" y="0"/>
                      <a:ext cx="5028946" cy="4186555"/>
                    </a:xfrm>
                    <a:prstGeom prst="rect">
                      <a:avLst/>
                    </a:prstGeom>
                  </pic:spPr>
                </pic:pic>
              </a:graphicData>
            </a:graphic>
          </wp:inline>
        </w:drawing>
      </w:r>
      <w:r>
        <w:t xml:space="preserve"> </w:t>
      </w:r>
    </w:p>
    <w:p w14:paraId="50C83139" w14:textId="77777777" w:rsidR="00121274" w:rsidRDefault="00000000" w:rsidP="00EF78CD">
      <w:pPr>
        <w:spacing w:after="0" w:line="240" w:lineRule="auto"/>
        <w:ind w:right="0"/>
        <w:jc w:val="center"/>
      </w:pPr>
      <w:r>
        <w:rPr>
          <w:i/>
          <w:sz w:val="20"/>
        </w:rPr>
        <w:t>Figure 14. Volcano plot de l'analyse différentielle Microglie (AD vs CTRL). L'absence de points rouges (FDR&lt;0,05) illustre la faible puissance statistique et l'hétérogénéité inter-individuelle, tandis que la zone orange (P&lt;0,01) met en évidence un ensemble de gènes candidats potentiellement impliqués dans la réponse microgliale.</w:t>
      </w:r>
      <w:r>
        <w:t xml:space="preserve"> </w:t>
      </w:r>
    </w:p>
    <w:p w14:paraId="2B152EED" w14:textId="77777777" w:rsidR="00121274" w:rsidRDefault="00000000" w:rsidP="00EF78CD">
      <w:pPr>
        <w:spacing w:after="0" w:line="240" w:lineRule="auto"/>
        <w:ind w:right="46"/>
        <w:jc w:val="center"/>
      </w:pPr>
      <w:r>
        <w:rPr>
          <w:b/>
          <w:i/>
          <w:color w:val="FF8C00"/>
          <w:sz w:val="22"/>
        </w:rPr>
        <w:t>[FIGURE 15 À INSÉRER : Heatmap Top DEGs neuronaux]</w:t>
      </w:r>
      <w:r>
        <w:t xml:space="preserve"> </w:t>
      </w:r>
    </w:p>
    <w:p w14:paraId="66B5FE0E" w14:textId="77777777" w:rsidR="00121274" w:rsidRDefault="00000000" w:rsidP="00EF78CD">
      <w:pPr>
        <w:pStyle w:val="Titre1"/>
        <w:spacing w:after="0" w:line="240" w:lineRule="auto"/>
        <w:ind w:left="305" w:hanging="320"/>
      </w:pPr>
      <w:r>
        <w:t xml:space="preserve">Discussion </w:t>
      </w:r>
    </w:p>
    <w:p w14:paraId="6EE0559F" w14:textId="77777777" w:rsidR="00121274" w:rsidRDefault="00000000" w:rsidP="00EF78CD">
      <w:pPr>
        <w:pStyle w:val="Titre2"/>
        <w:spacing w:after="0" w:line="240" w:lineRule="auto"/>
        <w:ind w:left="483" w:hanging="498"/>
      </w:pPr>
      <w:r>
        <w:t xml:space="preserve">Synthèse des résultats principaux et convergence mécanistique </w:t>
      </w:r>
    </w:p>
    <w:p w14:paraId="2F419C3D" w14:textId="77777777" w:rsidR="00121274" w:rsidRDefault="00000000" w:rsidP="00EF78CD">
      <w:pPr>
        <w:spacing w:after="0" w:line="240" w:lineRule="auto"/>
        <w:ind w:left="-5" w:right="35"/>
      </w:pPr>
      <w:r>
        <w:t xml:space="preserve">Cette étude transcriptomique à résolution unicellulaire du cortex préfrontal dorsolatéral (DLPFC) identifie deux axes mécanistiques convergents dans la maladie d'Alzheimer (AD), cohérents avec un corpus robuste de littérature snRNA-seq indépendante : </w:t>
      </w:r>
    </w:p>
    <w:p w14:paraId="0313A429" w14:textId="77777777" w:rsidR="00121274" w:rsidRDefault="00000000" w:rsidP="00EF78CD">
      <w:pPr>
        <w:spacing w:after="0" w:line="240" w:lineRule="auto"/>
        <w:ind w:left="0" w:right="0" w:firstLine="0"/>
        <w:jc w:val="left"/>
      </w:pPr>
      <w:r>
        <w:t xml:space="preserve"> </w:t>
      </w:r>
    </w:p>
    <w:p w14:paraId="238D5DC3" w14:textId="77777777" w:rsidR="00121274" w:rsidRDefault="00000000" w:rsidP="00EF78CD">
      <w:pPr>
        <w:numPr>
          <w:ilvl w:val="0"/>
          <w:numId w:val="12"/>
        </w:numPr>
        <w:spacing w:after="0" w:line="240" w:lineRule="auto"/>
        <w:ind w:right="35"/>
      </w:pPr>
      <w:r>
        <w:t xml:space="preserve">Neuroinflammation vasculaire et microgliale : La dérégulation du lncRNA MEG3 dans les cellules Support/Vascular/Immune, associée à des gènes en tendance impliqués dans l'angiogenèse et l'activation endothéliale, suggère une altération de la barrière hématoencéphalique. En parallèle, la microglie montre un ensemble de gènes candidats compatibles avec une activation inflammatoire hétérogène, bien que la plupart ne franchissent pas le seuil de </w:t>
      </w:r>
    </w:p>
    <w:p w14:paraId="0152C369" w14:textId="1B652142" w:rsidR="00121274" w:rsidRDefault="00000000" w:rsidP="00EF78CD">
      <w:pPr>
        <w:tabs>
          <w:tab w:val="center" w:pos="3477"/>
          <w:tab w:val="center" w:pos="6165"/>
          <w:tab w:val="right" w:pos="9447"/>
        </w:tabs>
        <w:spacing w:after="0" w:line="240" w:lineRule="auto"/>
        <w:ind w:left="-15" w:right="0" w:firstLine="0"/>
        <w:jc w:val="left"/>
      </w:pPr>
      <w:r>
        <w:t xml:space="preserve">FDR&lt;0,05 dans cette cohorte. </w:t>
      </w:r>
    </w:p>
    <w:p w14:paraId="5F1F34C9" w14:textId="77777777" w:rsidR="00121274" w:rsidRDefault="00000000" w:rsidP="00EF78CD">
      <w:pPr>
        <w:spacing w:after="0" w:line="240" w:lineRule="auto"/>
        <w:ind w:left="0" w:right="0" w:firstLine="0"/>
        <w:jc w:val="left"/>
      </w:pPr>
      <w:r>
        <w:t xml:space="preserve"> </w:t>
      </w:r>
    </w:p>
    <w:p w14:paraId="4B38F237" w14:textId="77777777" w:rsidR="00121274" w:rsidRDefault="00000000" w:rsidP="00EF78CD">
      <w:pPr>
        <w:numPr>
          <w:ilvl w:val="0"/>
          <w:numId w:val="12"/>
        </w:numPr>
        <w:spacing w:after="0" w:line="240" w:lineRule="auto"/>
        <w:ind w:right="35"/>
      </w:pPr>
      <w:r>
        <w:t xml:space="preserve">Dysfonction synaptique et métabolique neuronale : La sous-expression systématique de gènes impliqués dans la transmission glutamatergique, la fonction mitochondriale et la plasticité neuronale dans les neurones excitateurs est cohérente avec l'atrophie synaptique et la perte de fonction cognitive décrites dans l'AD. </w:t>
      </w:r>
    </w:p>
    <w:p w14:paraId="62B0FC33" w14:textId="77777777" w:rsidR="00121274" w:rsidRDefault="00000000" w:rsidP="00EF78CD">
      <w:pPr>
        <w:spacing w:after="0" w:line="240" w:lineRule="auto"/>
        <w:ind w:left="0" w:right="0" w:firstLine="0"/>
        <w:jc w:val="left"/>
      </w:pPr>
      <w:r>
        <w:t xml:space="preserve"> </w:t>
      </w:r>
    </w:p>
    <w:p w14:paraId="3AC810A9" w14:textId="77777777" w:rsidR="00121274" w:rsidRDefault="00000000" w:rsidP="00EF78CD">
      <w:pPr>
        <w:spacing w:after="0" w:line="240" w:lineRule="auto"/>
        <w:ind w:left="-5" w:right="35"/>
      </w:pPr>
      <w:r>
        <w:t xml:space="preserve">Les résultats pour la maladie de Parkinson (PD) sont plus modestes en amplitude et nécessitent une interprétation prudente en raison de la très faible taille d'échantillon (n=3 donneurs). Les signatures </w:t>
      </w:r>
      <w:r>
        <w:lastRenderedPageBreak/>
        <w:t xml:space="preserve">gliales observées en tendance (notamment dans les astrocytes) suggèrent une neuroinflammation partagée mais d'intensité plus faible. </w:t>
      </w:r>
    </w:p>
    <w:p w14:paraId="2833FEF5" w14:textId="77777777" w:rsidR="00121274" w:rsidRDefault="00000000" w:rsidP="00EF78CD">
      <w:pPr>
        <w:pStyle w:val="Titre2"/>
        <w:spacing w:after="0" w:line="240" w:lineRule="auto"/>
        <w:ind w:left="483" w:hanging="498"/>
      </w:pPr>
      <w:r>
        <w:t xml:space="preserve">Limitations critiques et biais méthodologiques </w:t>
      </w:r>
    </w:p>
    <w:p w14:paraId="6DC8D57E" w14:textId="77777777" w:rsidR="00121274" w:rsidRDefault="00000000" w:rsidP="00EF78CD">
      <w:pPr>
        <w:spacing w:after="0" w:line="240" w:lineRule="auto"/>
        <w:ind w:left="-5" w:right="35"/>
      </w:pPr>
      <w:r>
        <w:t xml:space="preserve">Cette étude présente plusieurs limitations majeures qui restreignent la portée et la généralisabilité des conclusions : </w:t>
      </w:r>
    </w:p>
    <w:p w14:paraId="4CB33078" w14:textId="77777777" w:rsidR="00121274" w:rsidRDefault="00000000" w:rsidP="00EF78CD">
      <w:pPr>
        <w:spacing w:after="0" w:line="240" w:lineRule="auto"/>
        <w:ind w:left="-5" w:right="35"/>
      </w:pPr>
      <w:r>
        <w:t xml:space="preserve">1. Biais démographique critique (exclusion de 58% du dataset initial, ascendance africaine) : L'exclusion de la majorité des données d'ascendance africaine pour des raisons de contraintes matérielles (RAM) constitue un biais de sélection éthiquement et scientifiquement problématique. </w:t>
      </w:r>
    </w:p>
    <w:p w14:paraId="11574270" w14:textId="17CE9453" w:rsidR="00121274" w:rsidRDefault="00000000" w:rsidP="00EF78CD">
      <w:pPr>
        <w:tabs>
          <w:tab w:val="center" w:pos="5356"/>
          <w:tab w:val="right" w:pos="9447"/>
        </w:tabs>
        <w:spacing w:after="0" w:line="240" w:lineRule="auto"/>
        <w:ind w:left="-15" w:right="0" w:firstLine="0"/>
        <w:jc w:val="left"/>
      </w:pPr>
      <w:r>
        <w:t xml:space="preserve">Conséquences multiples : </w:t>
      </w:r>
    </w:p>
    <w:p w14:paraId="5B9C8A2B" w14:textId="77777777" w:rsidR="00121274" w:rsidRDefault="00000000" w:rsidP="00EF78CD">
      <w:pPr>
        <w:numPr>
          <w:ilvl w:val="0"/>
          <w:numId w:val="13"/>
        </w:numPr>
        <w:spacing w:after="0" w:line="240" w:lineRule="auto"/>
        <w:ind w:right="35"/>
      </w:pPr>
      <w:r>
        <w:t xml:space="preserve">Validité externe limitée : Les conclusions ne sont généralisables qu'aux populations d'ascendance européenne et asiatique (~22% de la population mondiale). </w:t>
      </w:r>
    </w:p>
    <w:p w14:paraId="1F6D7867" w14:textId="77777777" w:rsidR="00121274" w:rsidRDefault="00000000" w:rsidP="00EF78CD">
      <w:pPr>
        <w:numPr>
          <w:ilvl w:val="0"/>
          <w:numId w:val="13"/>
        </w:numPr>
        <w:spacing w:after="0" w:line="240" w:lineRule="auto"/>
        <w:ind w:right="35"/>
      </w:pPr>
      <w:r>
        <w:t xml:space="preserve">Perpétuation des inégalités en recherche biomédicale : Les populations africaines sont déjà sous-représentées dans la recherche génomique et transcriptomique (&lt; 3% des études GWAS). </w:t>
      </w:r>
    </w:p>
    <w:p w14:paraId="45B0C6A8" w14:textId="0CD382BE" w:rsidR="00121274" w:rsidRDefault="00000000" w:rsidP="00EF78CD">
      <w:pPr>
        <w:tabs>
          <w:tab w:val="center" w:pos="2411"/>
          <w:tab w:val="center" w:pos="4691"/>
          <w:tab w:val="center" w:pos="6621"/>
          <w:tab w:val="right" w:pos="9447"/>
        </w:tabs>
        <w:spacing w:after="0" w:line="240" w:lineRule="auto"/>
        <w:ind w:left="-15" w:right="0" w:firstLine="0"/>
        <w:jc w:val="left"/>
      </w:pPr>
      <w:r>
        <w:t xml:space="preserve">Cette exclusion aggrave ce déséquilibre. </w:t>
      </w:r>
    </w:p>
    <w:p w14:paraId="29C20090" w14:textId="77777777" w:rsidR="00121274" w:rsidRDefault="00000000" w:rsidP="00EF78CD">
      <w:pPr>
        <w:numPr>
          <w:ilvl w:val="0"/>
          <w:numId w:val="13"/>
        </w:numPr>
        <w:spacing w:after="0" w:line="240" w:lineRule="auto"/>
        <w:ind w:right="35"/>
      </w:pPr>
      <w:r>
        <w:t xml:space="preserve">Risque de biais moléculaire : Les variants génétiques influençant l'expression génique (eQTLs) diffèrent entre populations. Les polymorphismes de APOE (notamment la fréquence réduite de l'allèle APOE4 en Afrique subsaharienne) pourraient moduler différemment les signatures inflammatoires et vasculaires. </w:t>
      </w:r>
    </w:p>
    <w:p w14:paraId="129C4C83" w14:textId="77777777" w:rsidR="00121274" w:rsidRDefault="00000000" w:rsidP="00EF78CD">
      <w:pPr>
        <w:spacing w:after="0" w:line="240" w:lineRule="auto"/>
        <w:ind w:left="0" w:right="0" w:firstLine="0"/>
        <w:jc w:val="left"/>
      </w:pPr>
      <w:r>
        <w:t xml:space="preserve"> </w:t>
      </w:r>
    </w:p>
    <w:p w14:paraId="112FF9E9" w14:textId="77777777" w:rsidR="00121274" w:rsidRDefault="00000000" w:rsidP="00EF78CD">
      <w:pPr>
        <w:numPr>
          <w:ilvl w:val="0"/>
          <w:numId w:val="14"/>
        </w:numPr>
        <w:spacing w:after="0" w:line="240" w:lineRule="auto"/>
        <w:ind w:right="35" w:hanging="796"/>
      </w:pPr>
      <w:r>
        <w:t xml:space="preserve">Puissance statistique insuffisante pour PD (n=3 donneurs vs n=8 AD, n=6 CTRL) : Avec seulement 3 réplicats biologiques, le risque de faux négatifs (Type II error) est élevé. Les effets biologiques de magnitude modérée ne peuvent être détectés de manière fiable. L'absence de DEGs significatifs dans certains types cellulaires pour PD vs CTRL ne peut donc pas être interprétée comme 'absence d'effet', mais comme 'manque de puissance'. </w:t>
      </w:r>
    </w:p>
    <w:p w14:paraId="78931B96" w14:textId="77777777" w:rsidR="00121274" w:rsidRDefault="00000000" w:rsidP="00EF78CD">
      <w:pPr>
        <w:spacing w:after="0" w:line="240" w:lineRule="auto"/>
        <w:ind w:left="0" w:right="0" w:firstLine="0"/>
        <w:jc w:val="left"/>
      </w:pPr>
      <w:r>
        <w:t xml:space="preserve"> </w:t>
      </w:r>
    </w:p>
    <w:p w14:paraId="3E962F52" w14:textId="77777777" w:rsidR="00121274" w:rsidRDefault="00000000" w:rsidP="00EF78CD">
      <w:pPr>
        <w:numPr>
          <w:ilvl w:val="0"/>
          <w:numId w:val="14"/>
        </w:numPr>
        <w:spacing w:after="0" w:line="240" w:lineRule="auto"/>
        <w:ind w:right="35" w:hanging="796"/>
      </w:pPr>
      <w:r>
        <w:t xml:space="preserve">Métadonnées cliniques manquantes (âge, PMI, stade pathologique, génotype APOE) : L'absence de ces covariables empêche de distinguer l'effet de la pathologie de celui du vieillissement ou d'autres facteurs confondants majeurs. </w:t>
      </w:r>
    </w:p>
    <w:p w14:paraId="22A230F0" w14:textId="77777777" w:rsidR="00121274" w:rsidRDefault="00000000" w:rsidP="00EF78CD">
      <w:pPr>
        <w:spacing w:after="0" w:line="240" w:lineRule="auto"/>
        <w:ind w:left="0" w:right="0" w:firstLine="0"/>
        <w:jc w:val="left"/>
      </w:pPr>
      <w:r>
        <w:t xml:space="preserve"> </w:t>
      </w:r>
    </w:p>
    <w:p w14:paraId="433C19FD" w14:textId="77777777" w:rsidR="00121274" w:rsidRDefault="00000000" w:rsidP="00EF78CD">
      <w:pPr>
        <w:numPr>
          <w:ilvl w:val="0"/>
          <w:numId w:val="14"/>
        </w:numPr>
        <w:spacing w:after="0" w:line="240" w:lineRule="auto"/>
        <w:ind w:right="35" w:hanging="796"/>
      </w:pPr>
      <w:r>
        <w:t xml:space="preserve">Perte de résolution biologique (fusion de sous-types, agrégation de macro-types) : La fusion de sous-populations microgliales et l'agrégation de sous-types neuronaux excitateurs réduisent la capacité à identifier des vulnérabilités très spécifiques à certains sous-types. </w:t>
      </w:r>
    </w:p>
    <w:p w14:paraId="73BDDE97" w14:textId="77777777" w:rsidR="00121274" w:rsidRDefault="00000000" w:rsidP="00EF78CD">
      <w:pPr>
        <w:spacing w:after="0" w:line="240" w:lineRule="auto"/>
        <w:ind w:left="0" w:right="0" w:firstLine="0"/>
        <w:jc w:val="left"/>
      </w:pPr>
      <w:r>
        <w:t xml:space="preserve"> </w:t>
      </w:r>
    </w:p>
    <w:p w14:paraId="56114555" w14:textId="780A6DBB" w:rsidR="00121274" w:rsidRDefault="00000000" w:rsidP="00EF78CD">
      <w:pPr>
        <w:numPr>
          <w:ilvl w:val="0"/>
          <w:numId w:val="14"/>
        </w:numPr>
        <w:spacing w:after="0" w:line="240" w:lineRule="auto"/>
        <w:ind w:right="35" w:hanging="796"/>
      </w:pPr>
      <w:r>
        <w:t xml:space="preserve">Limitation temporelle (données post-mortem transversales) : </w:t>
      </w:r>
    </w:p>
    <w:p w14:paraId="6F9DBF18" w14:textId="77777777" w:rsidR="00121274" w:rsidRDefault="00000000" w:rsidP="00EF78CD">
      <w:pPr>
        <w:spacing w:after="0" w:line="240" w:lineRule="auto"/>
        <w:ind w:left="-5" w:right="35"/>
      </w:pPr>
      <w:r>
        <w:t xml:space="preserve">Les données représentent un instantané terminal de la pathologie et ne permettent pas de reconstruire directement la dynamique temporelle des événements moléculaires. </w:t>
      </w:r>
    </w:p>
    <w:p w14:paraId="11B8E72B" w14:textId="77777777" w:rsidR="00121274" w:rsidRDefault="00000000" w:rsidP="00EF78CD">
      <w:pPr>
        <w:pStyle w:val="Titre3"/>
        <w:numPr>
          <w:ilvl w:val="0"/>
          <w:numId w:val="0"/>
        </w:numPr>
        <w:spacing w:after="0" w:line="240" w:lineRule="auto"/>
        <w:ind w:right="96"/>
        <w:jc w:val="right"/>
      </w:pPr>
      <w:r>
        <w:rPr>
          <w:rFonts w:ascii="Segoe UI Emoji" w:eastAsia="Segoe UI Emoji" w:hAnsi="Segoe UI Emoji" w:cs="Segoe UI Emoji"/>
          <w:b w:val="0"/>
          <w:color w:val="666666"/>
          <w:sz w:val="18"/>
        </w:rPr>
        <w:t>⚙️</w:t>
      </w:r>
      <w:r>
        <w:rPr>
          <w:rFonts w:ascii="Century Gothic" w:eastAsia="Century Gothic" w:hAnsi="Century Gothic" w:cs="Century Gothic"/>
          <w:color w:val="666666"/>
          <w:sz w:val="18"/>
        </w:rPr>
        <w:t xml:space="preserve"> NOTE TECHNIQUE - LIMITATION CRITIQUE — Absence de l'âge dans le modèle statistique </w:t>
      </w:r>
    </w:p>
    <w:p w14:paraId="7D892260"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L'âge est LE facteur de risque majeur pour AD et PD. En l'absence de la variable 'age_at_death' dans les métadonnées, il est impossible d'ajuster explicitement pour ce facteur dans le modèle DESeq2. Par conséquent, les signatures identifiées doivent être interprétées comme des associations plutôt que comme des preuves causales strictes. Une validation sur des cohortes disposant d'informations cliniques complètes (ROSMAP, ADNI) sera nécessaire pour raffiner ces conclusions.</w:t>
      </w:r>
      <w:r>
        <w:t xml:space="preserve"> </w:t>
      </w:r>
    </w:p>
    <w:p w14:paraId="10F8C134" w14:textId="0A2BC6DD" w:rsidR="00121274" w:rsidRDefault="00000000" w:rsidP="00EF78CD">
      <w:pPr>
        <w:pStyle w:val="Titre2"/>
        <w:spacing w:after="0" w:line="240" w:lineRule="auto"/>
        <w:ind w:left="483" w:hanging="498"/>
      </w:pPr>
      <w:r>
        <w:t xml:space="preserve">Perspectives et analyses futures </w:t>
      </w:r>
    </w:p>
    <w:p w14:paraId="321892FA" w14:textId="4320A49B" w:rsidR="00121274" w:rsidRDefault="00000000" w:rsidP="00EF78CD">
      <w:pPr>
        <w:spacing w:after="0" w:line="240" w:lineRule="auto"/>
        <w:ind w:left="-5" w:right="35"/>
      </w:pPr>
      <w:r>
        <w:t xml:space="preserve">Plusieurs axes d'amélioration méthodologique et d'approfondissement biologique sont envisageables : </w:t>
      </w:r>
    </w:p>
    <w:p w14:paraId="73CB454D" w14:textId="77777777" w:rsidR="00121274" w:rsidRDefault="00000000" w:rsidP="00EF78CD">
      <w:pPr>
        <w:spacing w:after="0" w:line="240" w:lineRule="auto"/>
        <w:ind w:left="0" w:right="0" w:firstLine="0"/>
        <w:jc w:val="left"/>
      </w:pPr>
      <w:r>
        <w:t xml:space="preserve"> </w:t>
      </w:r>
    </w:p>
    <w:p w14:paraId="582E9BEC" w14:textId="77777777" w:rsidR="00121274" w:rsidRDefault="00000000" w:rsidP="00EF78CD">
      <w:pPr>
        <w:numPr>
          <w:ilvl w:val="0"/>
          <w:numId w:val="15"/>
        </w:numPr>
        <w:spacing w:after="0" w:line="240" w:lineRule="auto"/>
        <w:ind w:right="35"/>
      </w:pPr>
      <w:r>
        <w:lastRenderedPageBreak/>
        <w:t xml:space="preserve">Analyse de sous-types cellulaires fins (high-resolution clustering), notamment pour les neurones excitateurs et la microglie, afin d'identifier les populations les plus vulnérables. </w:t>
      </w:r>
    </w:p>
    <w:p w14:paraId="0F209DCE" w14:textId="77777777" w:rsidR="00121274" w:rsidRDefault="00000000" w:rsidP="00EF78CD">
      <w:pPr>
        <w:spacing w:after="0" w:line="240" w:lineRule="auto"/>
        <w:ind w:left="0" w:right="0" w:firstLine="0"/>
        <w:jc w:val="left"/>
      </w:pPr>
      <w:r>
        <w:t xml:space="preserve"> </w:t>
      </w:r>
    </w:p>
    <w:p w14:paraId="71529EFB" w14:textId="77777777" w:rsidR="00121274" w:rsidRDefault="00000000" w:rsidP="00EF78CD">
      <w:pPr>
        <w:numPr>
          <w:ilvl w:val="0"/>
          <w:numId w:val="15"/>
        </w:numPr>
        <w:spacing w:after="0" w:line="240" w:lineRule="auto"/>
        <w:ind w:right="35"/>
      </w:pPr>
      <w:r>
        <w:t xml:space="preserve">Analyse de trajectoires temporelles (pseudotime, RNA velocity) pour reconstruire les trajectoires d'activation microgliale et la transition d'états neuronaux. </w:t>
      </w:r>
    </w:p>
    <w:p w14:paraId="09A9F767" w14:textId="77777777" w:rsidR="00121274" w:rsidRDefault="00000000" w:rsidP="00EF78CD">
      <w:pPr>
        <w:spacing w:after="0" w:line="240" w:lineRule="auto"/>
        <w:ind w:left="0" w:right="0" w:firstLine="0"/>
        <w:jc w:val="left"/>
      </w:pPr>
      <w:r>
        <w:t xml:space="preserve"> </w:t>
      </w:r>
    </w:p>
    <w:p w14:paraId="5884D367" w14:textId="77777777" w:rsidR="00121274" w:rsidRDefault="00000000" w:rsidP="00EF78CD">
      <w:pPr>
        <w:numPr>
          <w:ilvl w:val="0"/>
          <w:numId w:val="15"/>
        </w:numPr>
        <w:spacing w:after="0" w:line="240" w:lineRule="auto"/>
        <w:ind w:right="35"/>
      </w:pPr>
      <w:r>
        <w:t xml:space="preserve">Intégration multi-omique (protéomique, épigénomique, spatial transcriptomics) pour valider et contextualiser les signatures observées. </w:t>
      </w:r>
    </w:p>
    <w:p w14:paraId="7AAEFDF7" w14:textId="77777777" w:rsidR="00121274" w:rsidRDefault="00000000" w:rsidP="00EF78CD">
      <w:pPr>
        <w:spacing w:after="0" w:line="240" w:lineRule="auto"/>
        <w:ind w:left="0" w:right="0" w:firstLine="0"/>
        <w:jc w:val="left"/>
      </w:pPr>
      <w:r>
        <w:t xml:space="preserve"> </w:t>
      </w:r>
    </w:p>
    <w:p w14:paraId="2651EDFC" w14:textId="77777777" w:rsidR="00121274" w:rsidRDefault="00000000" w:rsidP="00EF78CD">
      <w:pPr>
        <w:numPr>
          <w:ilvl w:val="0"/>
          <w:numId w:val="15"/>
        </w:numPr>
        <w:spacing w:after="0" w:line="240" w:lineRule="auto"/>
        <w:ind w:right="35"/>
      </w:pPr>
      <w:r>
        <w:t xml:space="preserve">Analyse de réseaux de co-expression génique (WGCNA, hdWGCNA) pour identifier des modules de gènes et des hub genes susceptibles de constituer des cibles thérapeutiques privilégiées. </w:t>
      </w:r>
    </w:p>
    <w:p w14:paraId="30239CC3" w14:textId="77777777" w:rsidR="00121274" w:rsidRDefault="00000000" w:rsidP="00EF78CD">
      <w:pPr>
        <w:spacing w:after="0" w:line="240" w:lineRule="auto"/>
        <w:ind w:left="0" w:right="0" w:firstLine="0"/>
        <w:jc w:val="left"/>
      </w:pPr>
      <w:r>
        <w:t xml:space="preserve"> </w:t>
      </w:r>
    </w:p>
    <w:p w14:paraId="6141B1DD" w14:textId="77777777" w:rsidR="00121274" w:rsidRDefault="00000000" w:rsidP="00EF78CD">
      <w:pPr>
        <w:numPr>
          <w:ilvl w:val="0"/>
          <w:numId w:val="15"/>
        </w:numPr>
        <w:spacing w:after="0" w:line="240" w:lineRule="auto"/>
        <w:ind w:right="35"/>
      </w:pPr>
      <w:r>
        <w:t xml:space="preserve">Extension à des cohortes plus larges et plus diversifiées, incluant explicitement des populations d'ascendance africaine, afin d'améliorer la généralisabilité et l'équité des découvertes. </w:t>
      </w:r>
    </w:p>
    <w:p w14:paraId="30516100" w14:textId="77777777" w:rsidR="00121274" w:rsidRDefault="00000000" w:rsidP="00EF78CD">
      <w:pPr>
        <w:spacing w:after="0" w:line="240" w:lineRule="auto"/>
        <w:ind w:left="0" w:right="0" w:firstLine="0"/>
        <w:jc w:val="left"/>
      </w:pPr>
      <w:r>
        <w:t xml:space="preserve"> </w:t>
      </w:r>
    </w:p>
    <w:p w14:paraId="3D02FE30" w14:textId="77777777" w:rsidR="00121274" w:rsidRDefault="00000000" w:rsidP="00EF78CD">
      <w:pPr>
        <w:numPr>
          <w:ilvl w:val="0"/>
          <w:numId w:val="15"/>
        </w:numPr>
        <w:spacing w:after="0" w:line="240" w:lineRule="auto"/>
        <w:ind w:right="35"/>
      </w:pPr>
      <w:r>
        <w:t xml:space="preserve">Accès élargi aux ressources de calcul haute performance (HPC, cloud) dans les projets pédagogiques pour éviter les compromis méthodologiques dictés par les contraintes matérielles. </w:t>
      </w:r>
    </w:p>
    <w:p w14:paraId="3F02A425" w14:textId="163C0774" w:rsidR="002434EB" w:rsidRDefault="002434EB" w:rsidP="00EF78CD">
      <w:pPr>
        <w:pStyle w:val="Titre2"/>
        <w:spacing w:after="0" w:line="240" w:lineRule="auto"/>
      </w:pPr>
      <w:r>
        <w:t>Perspectives et analyses futures</w:t>
      </w:r>
    </w:p>
    <w:p w14:paraId="63600724" w14:textId="77777777" w:rsidR="002434EB" w:rsidRDefault="002434EB" w:rsidP="00EF78CD">
      <w:pPr>
        <w:spacing w:after="0" w:line="240" w:lineRule="auto"/>
      </w:pPr>
      <w:r>
        <w:t>Plusieurs axes d'amélioration biologique et analytique sont envisageables pour approfondir ces résultats :</w:t>
      </w:r>
      <w:r>
        <w:br/>
      </w:r>
      <w:r>
        <w:br/>
        <w:t>1. Analyse de sous-types cellulaires fins (high-resolution clustering), notamment pour identifier les sous-populations de microglies (ex: états prolifératifs vs inflammatoires) invisibles au niveau macro-type.</w:t>
      </w:r>
      <w:r>
        <w:br/>
      </w:r>
      <w:r>
        <w:br/>
        <w:t>2. Analyse de trajectoires temporelles (Pseudotime / RNA Velocity) pour reconstruire la dynamique d'activation microgliale et la transition progressive des états neuronaux.</w:t>
      </w:r>
      <w:r>
        <w:br/>
      </w:r>
      <w:r>
        <w:br/>
        <w:t>3. Intégration multi-omique : Croisement avec des données d'épigénomique (ATAC-seq) pour valider les facteurs de transcription candidats (ex: POU3F2) identifiés dans nos tendances.</w:t>
      </w:r>
      <w:r>
        <w:br/>
      </w:r>
      <w:r>
        <w:br/>
        <w:t>4. Analyse de réseaux de co-expression (WGCNA) pour identifier des modules de gènes co-régulés et des 'hub genes' potentiels cibles thérapeutiques.</w:t>
      </w:r>
    </w:p>
    <w:p w14:paraId="6FD22D26" w14:textId="77777777" w:rsidR="002434EB" w:rsidRDefault="002434EB" w:rsidP="00EF78CD">
      <w:pPr>
        <w:spacing w:after="0" w:line="240" w:lineRule="auto"/>
      </w:pPr>
    </w:p>
    <w:p w14:paraId="75FED8E6" w14:textId="77777777" w:rsidR="002434EB" w:rsidRDefault="002434EB" w:rsidP="00EF78CD">
      <w:pPr>
        <w:spacing w:after="0" w:line="240" w:lineRule="auto"/>
        <w:ind w:left="1440"/>
        <w:jc w:val="left"/>
        <w:rPr>
          <w:rFonts w:ascii="Century Gothic" w:hAnsi="Century Gothic"/>
          <w:color w:val="7030A0"/>
          <w:sz w:val="18"/>
        </w:rPr>
      </w:pPr>
      <w:r>
        <w:rPr>
          <w:rFonts w:ascii="Century Gothic" w:hAnsi="Century Gothic"/>
          <w:b/>
          <w:color w:val="7030A0"/>
          <w:sz w:val="18"/>
        </w:rPr>
        <w:t>📝 NOTE MÉTHODOLOGIQUE - Optimisation Stratégique : Le Paradoxe Donneur/Cellule</w:t>
      </w:r>
      <w:r>
        <w:rPr>
          <w:rFonts w:ascii="Century Gothic" w:hAnsi="Century Gothic"/>
          <w:b/>
          <w:color w:val="7030A0"/>
          <w:sz w:val="18"/>
        </w:rPr>
        <w:br/>
      </w:r>
      <w:r>
        <w:rPr>
          <w:rFonts w:ascii="Century Gothic" w:hAnsi="Century Gothic"/>
          <w:color w:val="7030A0"/>
          <w:sz w:val="18"/>
        </w:rPr>
        <w:t>Une critique majeure de notre approche actuelle est le filtrage drastique des donneurs (N=17) pour satisfaire la contrainte de RAM, tout en gardant une très haute résolution cellulaire (&gt;4000 cellules/donneur). Or, la puissance statistique des tests Pseudobulk dépend du nombre de donneurs (N), pas des cellules.</w:t>
      </w:r>
      <w:r>
        <w:rPr>
          <w:rFonts w:ascii="Century Gothic" w:hAnsi="Century Gothic"/>
          <w:color w:val="7030A0"/>
          <w:sz w:val="18"/>
        </w:rPr>
        <w:br/>
      </w:r>
      <w:r>
        <w:rPr>
          <w:rFonts w:ascii="Century Gothic" w:hAnsi="Century Gothic"/>
          <w:color w:val="7030A0"/>
          <w:sz w:val="18"/>
        </w:rPr>
        <w:br/>
        <w:t>Perspective prioritaire : Une stratégie de 'Balanced Subsampling' (ex: 500 cellules/donneur) aurait permis d'inclure plus de 100 donneurs (y compris la cohorte africaine et les cas mixtes) dans la même mémoire RAM. Cette approche sacrifierait la résolution des sous-types rares pour gagner massivement en puissance statistique.</w:t>
      </w:r>
    </w:p>
    <w:p w14:paraId="462D83AA" w14:textId="77777777" w:rsidR="00B74173" w:rsidRDefault="00B74173" w:rsidP="00EF78CD">
      <w:pPr>
        <w:spacing w:after="0" w:line="240" w:lineRule="auto"/>
        <w:ind w:left="1440"/>
        <w:jc w:val="left"/>
        <w:rPr>
          <w:rFonts w:ascii="Century Gothic" w:hAnsi="Century Gothic"/>
          <w:color w:val="7030A0"/>
          <w:sz w:val="18"/>
        </w:rPr>
      </w:pPr>
    </w:p>
    <w:p w14:paraId="1A758E81" w14:textId="77777777" w:rsidR="00B74173" w:rsidRDefault="00B74173" w:rsidP="00EF78CD">
      <w:pPr>
        <w:spacing w:after="0" w:line="240" w:lineRule="auto"/>
        <w:ind w:left="1440"/>
        <w:jc w:val="left"/>
        <w:rPr>
          <w:rFonts w:ascii="Century Gothic" w:hAnsi="Century Gothic"/>
          <w:color w:val="7030A0"/>
          <w:sz w:val="18"/>
        </w:rPr>
      </w:pPr>
    </w:p>
    <w:p w14:paraId="43CB61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Segoe UI Emoji" w:hAnsi="Segoe UI Emoji" w:cs="Segoe UI Emoji"/>
          <w:color w:val="7030A0"/>
          <w:sz w:val="18"/>
        </w:rPr>
        <w:t>⚖️</w:t>
      </w:r>
      <w:r w:rsidRPr="00B74173">
        <w:rPr>
          <w:rFonts w:ascii="Century Gothic" w:hAnsi="Century Gothic"/>
          <w:color w:val="7030A0"/>
          <w:sz w:val="18"/>
        </w:rPr>
        <w:t xml:space="preserve"> EXPLORATION CRITIQUE - Simulations de Strat</w:t>
      </w:r>
      <w:r w:rsidRPr="00B74173">
        <w:rPr>
          <w:rFonts w:ascii="Century Gothic" w:hAnsi="Century Gothic" w:cs="Century Gothic"/>
          <w:color w:val="7030A0"/>
          <w:sz w:val="18"/>
        </w:rPr>
        <w:t>é</w:t>
      </w:r>
      <w:r w:rsidRPr="00B74173">
        <w:rPr>
          <w:rFonts w:ascii="Century Gothic" w:hAnsi="Century Gothic"/>
          <w:color w:val="7030A0"/>
          <w:sz w:val="18"/>
        </w:rPr>
        <w:t>gies Alternatives</w:t>
      </w:r>
    </w:p>
    <w:p w14:paraId="3D02B18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Deux stratégies alternatives ont été simulées pour évaluer leur impact sur la puissance statistique et la généralisabilité des résultats :</w:t>
      </w:r>
    </w:p>
    <w:p w14:paraId="2B610546" w14:textId="77777777" w:rsidR="00B74173" w:rsidRPr="00B74173" w:rsidRDefault="00B74173" w:rsidP="00B74173">
      <w:pPr>
        <w:spacing w:after="0" w:line="240" w:lineRule="auto"/>
        <w:ind w:left="1440"/>
        <w:jc w:val="left"/>
        <w:rPr>
          <w:rFonts w:ascii="Century Gothic" w:hAnsi="Century Gothic"/>
          <w:color w:val="7030A0"/>
          <w:sz w:val="18"/>
        </w:rPr>
      </w:pPr>
    </w:p>
    <w:p w14:paraId="44140C9F"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A : Balanced Subsampling (500 cellules/donneur)**</w:t>
      </w:r>
    </w:p>
    <w:p w14:paraId="5035007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théorique : ~100 donneurs (AD=41, PD=3, CTRL=26 + cas mixtes)</w:t>
      </w:r>
    </w:p>
    <w:p w14:paraId="1C5F7A66"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lastRenderedPageBreak/>
        <w:t>- Gain attendu : Puissance statistique élevée (N=100 vs N=17 actuellement)</w:t>
      </w:r>
    </w:p>
    <w:p w14:paraId="15E7522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664682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Perte des types cellulaires rares (Astrocytes Reactive, OPC) par sous-échantillonnage</w:t>
      </w:r>
    </w:p>
    <w:p w14:paraId="3A177868"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Violation du seuil MIN_CELLS_PER_SAMPLE ≥ 20 pour la majorité des types cellulaires</w:t>
      </w:r>
    </w:p>
    <w:p w14:paraId="31730DF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Inclusion obligatoire de cas mixtes (AD+diabète, AD+PD) compromettant l'interprétation biologique</w:t>
      </w:r>
    </w:p>
    <w:p w14:paraId="25EC857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**Problème structurel non résolu** : Le groupe PD reste limité à N=3 donneurs dans le dataset d'origine</w:t>
      </w:r>
    </w:p>
    <w:p w14:paraId="7DC8146B" w14:textId="77777777" w:rsidR="00B74173" w:rsidRPr="00B74173" w:rsidRDefault="00B74173" w:rsidP="00B74173">
      <w:pPr>
        <w:spacing w:after="0" w:line="240" w:lineRule="auto"/>
        <w:ind w:left="1440"/>
        <w:jc w:val="left"/>
        <w:rPr>
          <w:rFonts w:ascii="Century Gothic" w:hAnsi="Century Gothic"/>
          <w:color w:val="7030A0"/>
          <w:sz w:val="18"/>
        </w:rPr>
      </w:pPr>
    </w:p>
    <w:p w14:paraId="7FC43AF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B : Inclusion partielle de la cohorte africaine (20% aléatoire)**</w:t>
      </w:r>
    </w:p>
    <w:p w14:paraId="261602F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simulée : 23 donneurs (+6 vs stratégie actuelle), 75 359 cellules (+20%)</w:t>
      </w:r>
    </w:p>
    <w:p w14:paraId="357BDE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Distribution projetée : AD=12 (+4), PD=3 (+0), CTRL=8 (+2)</w:t>
      </w:r>
    </w:p>
    <w:p w14:paraId="6C080DA9"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Gain attendu : Diversité ancestrale (4 groupes), amélioration modérée de la puissance pour AD/CTRL</w:t>
      </w:r>
    </w:p>
    <w:p w14:paraId="0C01030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1DDD2BE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**Gain nul pour PD** (N=3→3) : le goulot d'étranglement critique n'est pas résolu</w:t>
      </w:r>
    </w:p>
    <w:p w14:paraId="48E953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Surcoût RAM significatif (+500 MB, fichier .h5ad : 2.5→3.0 GB)</w:t>
      </w:r>
    </w:p>
    <w:p w14:paraId="3A435287"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Ajout d'une covariable confondante (ancestry) complexifiant le modèle statistique</w:t>
      </w:r>
    </w:p>
    <w:p w14:paraId="43C1C794"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Bénéfice marginal (+4 donneurs AD, +2 CTRL) ne justifiant pas les coûts techniques</w:t>
      </w:r>
    </w:p>
    <w:p w14:paraId="7C125DFE" w14:textId="77777777" w:rsidR="00B74173" w:rsidRPr="00B74173" w:rsidRDefault="00B74173" w:rsidP="00B74173">
      <w:pPr>
        <w:spacing w:after="0" w:line="240" w:lineRule="auto"/>
        <w:ind w:left="1440"/>
        <w:jc w:val="left"/>
        <w:rPr>
          <w:rFonts w:ascii="Century Gothic" w:hAnsi="Century Gothic"/>
          <w:color w:val="7030A0"/>
          <w:sz w:val="18"/>
        </w:rPr>
      </w:pPr>
    </w:p>
    <w:p w14:paraId="67ACC25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**Décision finale : Conservation de la stratégie initiale**</w:t>
      </w:r>
    </w:p>
    <w:p w14:paraId="69A7B71A" w14:textId="77777777" w:rsidR="00B74173" w:rsidRPr="00B74173" w:rsidRDefault="00B74173" w:rsidP="00B74173">
      <w:pPr>
        <w:spacing w:after="0" w:line="240" w:lineRule="auto"/>
        <w:ind w:left="1440"/>
        <w:jc w:val="left"/>
        <w:rPr>
          <w:rFonts w:ascii="Century Gothic" w:hAnsi="Century Gothic"/>
          <w:color w:val="7030A0"/>
          <w:sz w:val="18"/>
        </w:rPr>
      </w:pPr>
    </w:p>
    <w:p w14:paraId="62284F3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Les deux alternatives présentaient des limitations rédhibitoires. La stratégie actuelle (17 donneurs, 62 800 cellules, 3 ancestries) demeure optimale car elle préserve la résolution cellulaire nécessaire à l'identification des 7 types cellulaires validés, maintient la pureté diagnostique (AD/PD/CTRL sans comorbidités), et garantit la robustesse du pipeline pseudobulk (96 échantillons après filtres statistiques).</w:t>
      </w:r>
    </w:p>
    <w:p w14:paraId="3F72D01C" w14:textId="77777777" w:rsidR="00B74173" w:rsidRPr="00B74173" w:rsidRDefault="00B74173" w:rsidP="00B74173">
      <w:pPr>
        <w:spacing w:after="0" w:line="240" w:lineRule="auto"/>
        <w:ind w:left="1440"/>
        <w:jc w:val="left"/>
        <w:rPr>
          <w:rFonts w:ascii="Century Gothic" w:hAnsi="Century Gothic"/>
          <w:color w:val="7030A0"/>
          <w:sz w:val="18"/>
        </w:rPr>
      </w:pPr>
    </w:p>
    <w:p w14:paraId="3B6DC5FD" w14:textId="32A69CB0" w:rsid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**Perspective prioritaire identifiée** : L'exploration des donneurs PD avec ancestry 'unknown' (18,8% du dataset) constitue la piste la plus prometteuse. Si 2-3 donneurs PD 'unknown' supplémentaires sont identifiables, la cohorte PD atteindrait N=5-6, franchissant le seuil MIN_DONORS_PER_CLUSTER ≥ 5 et validant pleinement l'analyse différentielle PD vs CTRL.</w:t>
      </w:r>
    </w:p>
    <w:p w14:paraId="36076616" w14:textId="77777777" w:rsidR="00B74173" w:rsidRDefault="00B74173" w:rsidP="00EF78CD">
      <w:pPr>
        <w:spacing w:after="0" w:line="240" w:lineRule="auto"/>
        <w:ind w:left="1440"/>
        <w:jc w:val="left"/>
        <w:rPr>
          <w:rFonts w:ascii="Century Gothic" w:hAnsi="Century Gothic"/>
          <w:color w:val="7030A0"/>
          <w:sz w:val="18"/>
        </w:rPr>
      </w:pPr>
    </w:p>
    <w:p w14:paraId="3852AC05" w14:textId="77777777" w:rsidR="00B74173" w:rsidRDefault="00B74173" w:rsidP="00EF78CD">
      <w:pPr>
        <w:spacing w:after="0" w:line="240" w:lineRule="auto"/>
        <w:ind w:left="1440"/>
        <w:jc w:val="left"/>
      </w:pPr>
    </w:p>
    <w:p w14:paraId="0786D8AB" w14:textId="77777777" w:rsidR="00B74173" w:rsidRDefault="00B74173" w:rsidP="00EF78CD">
      <w:pPr>
        <w:spacing w:after="0" w:line="240" w:lineRule="auto"/>
        <w:ind w:left="1440"/>
        <w:jc w:val="left"/>
      </w:pPr>
    </w:p>
    <w:p w14:paraId="4CD3F42D" w14:textId="6A06B8B7" w:rsidR="002434EB" w:rsidRDefault="002434EB" w:rsidP="00EF78CD">
      <w:pPr>
        <w:pStyle w:val="Titre2"/>
        <w:spacing w:after="0" w:line="240" w:lineRule="auto"/>
      </w:pPr>
      <w:r>
        <w:t>Conclusion générale</w:t>
      </w:r>
    </w:p>
    <w:p w14:paraId="7A4B4FAA" w14:textId="77777777" w:rsidR="002434EB" w:rsidRDefault="002434EB" w:rsidP="00EF78CD">
      <w:pPr>
        <w:spacing w:after="0" w:line="240" w:lineRule="auto"/>
      </w:pPr>
      <w:r>
        <w:t>Malgré des limitations méthodologiques liées aux ressources de calcul locales, cette analyse transcriptomique unicellulaire du DLPFC a permis de construire un pipeline robuste et reproductible, allant du traitement brut à l'interprétation biologique.</w:t>
      </w:r>
      <w:r>
        <w:br/>
      </w:r>
      <w:r>
        <w:br/>
        <w:t>Nos résultats mettent en évidence des signatures biologiquement cohérentes : une altération vasculaire majeure associée au lncRNA MEG3 (FDR &lt; 0.05) et des tendances inflammatoires microgliales prometteuses. Ces découvertes valident la pertinence de l'approche 'Pseudobulk' pour éviter les faux positifs inhérents au single-cell.</w:t>
      </w:r>
      <w:r>
        <w:br/>
      </w:r>
      <w:r>
        <w:br/>
        <w:t>Ce projet constitue donc une preuve de concept solide. L'optimisation de la stratégie d'échantillonnage (via subsampling) est désormais la prochaine étape pour transformer ces tendances biologiques en certitudes statistiques généralisables.</w:t>
      </w:r>
    </w:p>
    <w:p w14:paraId="2FB401D4" w14:textId="70EB6EC4" w:rsidR="00121274" w:rsidRDefault="00000000" w:rsidP="00EF78CD">
      <w:pPr>
        <w:spacing w:after="0" w:line="240" w:lineRule="auto"/>
        <w:ind w:left="0" w:right="0" w:firstLine="0"/>
        <w:jc w:val="left"/>
      </w:pPr>
      <w:r>
        <w:br w:type="page"/>
      </w:r>
    </w:p>
    <w:p w14:paraId="27B7006D" w14:textId="77777777" w:rsidR="00121274" w:rsidRDefault="00000000" w:rsidP="00EF78CD">
      <w:pPr>
        <w:pStyle w:val="Titre1"/>
        <w:spacing w:after="0" w:line="240" w:lineRule="auto"/>
        <w:ind w:left="305" w:hanging="320"/>
      </w:pPr>
      <w:r>
        <w:lastRenderedPageBreak/>
        <w:t xml:space="preserve">Références </w:t>
      </w:r>
    </w:p>
    <w:p w14:paraId="32982A5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Lee, D. et al. (2024). Population-scale cross-disorder atlas of the human prefrontal cortex. medRxiv. </w:t>
      </w:r>
    </w:p>
    <w:p w14:paraId="129D362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Wolf, F. A., Angerer, P., &amp; Theis, F. J. (2018). SCANPY: large-scale single-cell gene expression data analysis. </w:t>
      </w:r>
    </w:p>
    <w:p w14:paraId="34335B3F"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Love, M. I., Huber, W., &amp; Anders, S. (2014). Moderated estimation of fold change and dispersion for RNA-seq data with DESeq2. </w:t>
      </w:r>
    </w:p>
    <w:p w14:paraId="31405B00" w14:textId="77777777" w:rsidR="00121274" w:rsidRDefault="00000000" w:rsidP="00EF78CD">
      <w:pPr>
        <w:numPr>
          <w:ilvl w:val="0"/>
          <w:numId w:val="16"/>
        </w:numPr>
        <w:spacing w:after="0" w:line="240" w:lineRule="auto"/>
        <w:ind w:right="35" w:hanging="304"/>
      </w:pPr>
      <w:r w:rsidRPr="002434EB">
        <w:rPr>
          <w:lang w:val="en-US"/>
        </w:rPr>
        <w:t xml:space="preserve">Mathys, H. et al. (2019). Single-cell transcriptomic analysis of Alzheimer's disease. </w:t>
      </w:r>
      <w:r>
        <w:t xml:space="preserve">Nature. </w:t>
      </w:r>
    </w:p>
    <w:sectPr w:rsidR="00121274">
      <w:pgSz w:w="12240" w:h="15840"/>
      <w:pgMar w:top="1134" w:right="1377" w:bottom="120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5583"/>
    <w:multiLevelType w:val="hybridMultilevel"/>
    <w:tmpl w:val="6DA0FAD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C01740"/>
    <w:multiLevelType w:val="hybridMultilevel"/>
    <w:tmpl w:val="3FF86548"/>
    <w:lvl w:ilvl="0" w:tplc="00B2E73C">
      <w:start w:val="1"/>
      <w:numFmt w:val="decimal"/>
      <w:lvlText w:val="%1."/>
      <w:lvlJc w:val="left"/>
      <w:pPr>
        <w:ind w:left="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1267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8CCE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00D64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DC437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26822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8EFA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94868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BB69B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654050"/>
    <w:multiLevelType w:val="hybridMultilevel"/>
    <w:tmpl w:val="D6D2E156"/>
    <w:lvl w:ilvl="0" w:tplc="31A62752">
      <w:start w:val="1"/>
      <w:numFmt w:val="decimal"/>
      <w:lvlText w:val="%1."/>
      <w:lvlJc w:val="left"/>
      <w:pPr>
        <w:ind w:left="3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12D3D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E288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48D7D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D633A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B965C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5E6C3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9E0D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68A7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D885389"/>
    <w:multiLevelType w:val="hybridMultilevel"/>
    <w:tmpl w:val="DD883186"/>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4" w15:restartNumberingAfterBreak="0">
    <w:nsid w:val="100A0064"/>
    <w:multiLevelType w:val="hybridMultilevel"/>
    <w:tmpl w:val="6F044408"/>
    <w:lvl w:ilvl="0" w:tplc="33E418F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0964A0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85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9CFD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CA4ED3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3895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581F1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D9218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7C33D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282387D"/>
    <w:multiLevelType w:val="hybridMultilevel"/>
    <w:tmpl w:val="C38C5B1E"/>
    <w:lvl w:ilvl="0" w:tplc="040C0001">
      <w:start w:val="1"/>
      <w:numFmt w:val="bullet"/>
      <w:lvlText w:val=""/>
      <w:lvlJc w:val="left"/>
      <w:pPr>
        <w:ind w:left="917" w:hanging="360"/>
      </w:pPr>
      <w:rPr>
        <w:rFonts w:ascii="Symbol" w:hAnsi="Symbol"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6" w15:restartNumberingAfterBreak="0">
    <w:nsid w:val="17FF4496"/>
    <w:multiLevelType w:val="hybridMultilevel"/>
    <w:tmpl w:val="F4761B56"/>
    <w:lvl w:ilvl="0" w:tplc="040C0001">
      <w:start w:val="1"/>
      <w:numFmt w:val="bullet"/>
      <w:lvlText w:val=""/>
      <w:lvlJc w:val="left"/>
      <w:pPr>
        <w:ind w:left="1276" w:hanging="360"/>
      </w:pPr>
      <w:rPr>
        <w:rFonts w:ascii="Symbol" w:hAnsi="Symbol" w:hint="default"/>
      </w:rPr>
    </w:lvl>
    <w:lvl w:ilvl="1" w:tplc="040C0003">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7" w15:restartNumberingAfterBreak="0">
    <w:nsid w:val="1F29164B"/>
    <w:multiLevelType w:val="hybridMultilevel"/>
    <w:tmpl w:val="15026BF2"/>
    <w:lvl w:ilvl="0" w:tplc="EDA0D162">
      <w:start w:val="1"/>
      <w:numFmt w:val="decimal"/>
      <w:lvlText w:val="(%1)"/>
      <w:lvlJc w:val="left"/>
      <w:pPr>
        <w:ind w:left="916" w:hanging="360"/>
      </w:pPr>
      <w:rPr>
        <w:rFonts w:hint="default"/>
      </w:rPr>
    </w:lvl>
    <w:lvl w:ilvl="1" w:tplc="040C0019" w:tentative="1">
      <w:start w:val="1"/>
      <w:numFmt w:val="lowerLetter"/>
      <w:lvlText w:val="%2."/>
      <w:lvlJc w:val="left"/>
      <w:pPr>
        <w:ind w:left="1636" w:hanging="360"/>
      </w:pPr>
    </w:lvl>
    <w:lvl w:ilvl="2" w:tplc="040C001B" w:tentative="1">
      <w:start w:val="1"/>
      <w:numFmt w:val="lowerRoman"/>
      <w:lvlText w:val="%3."/>
      <w:lvlJc w:val="right"/>
      <w:pPr>
        <w:ind w:left="2356" w:hanging="180"/>
      </w:pPr>
    </w:lvl>
    <w:lvl w:ilvl="3" w:tplc="040C000F" w:tentative="1">
      <w:start w:val="1"/>
      <w:numFmt w:val="decimal"/>
      <w:lvlText w:val="%4."/>
      <w:lvlJc w:val="left"/>
      <w:pPr>
        <w:ind w:left="3076" w:hanging="360"/>
      </w:pPr>
    </w:lvl>
    <w:lvl w:ilvl="4" w:tplc="040C0019" w:tentative="1">
      <w:start w:val="1"/>
      <w:numFmt w:val="lowerLetter"/>
      <w:lvlText w:val="%5."/>
      <w:lvlJc w:val="left"/>
      <w:pPr>
        <w:ind w:left="3796" w:hanging="360"/>
      </w:pPr>
    </w:lvl>
    <w:lvl w:ilvl="5" w:tplc="040C001B" w:tentative="1">
      <w:start w:val="1"/>
      <w:numFmt w:val="lowerRoman"/>
      <w:lvlText w:val="%6."/>
      <w:lvlJc w:val="right"/>
      <w:pPr>
        <w:ind w:left="4516" w:hanging="180"/>
      </w:pPr>
    </w:lvl>
    <w:lvl w:ilvl="6" w:tplc="040C000F" w:tentative="1">
      <w:start w:val="1"/>
      <w:numFmt w:val="decimal"/>
      <w:lvlText w:val="%7."/>
      <w:lvlJc w:val="left"/>
      <w:pPr>
        <w:ind w:left="5236" w:hanging="360"/>
      </w:pPr>
    </w:lvl>
    <w:lvl w:ilvl="7" w:tplc="040C0019" w:tentative="1">
      <w:start w:val="1"/>
      <w:numFmt w:val="lowerLetter"/>
      <w:lvlText w:val="%8."/>
      <w:lvlJc w:val="left"/>
      <w:pPr>
        <w:ind w:left="5956" w:hanging="360"/>
      </w:pPr>
    </w:lvl>
    <w:lvl w:ilvl="8" w:tplc="040C001B" w:tentative="1">
      <w:start w:val="1"/>
      <w:numFmt w:val="lowerRoman"/>
      <w:lvlText w:val="%9."/>
      <w:lvlJc w:val="right"/>
      <w:pPr>
        <w:ind w:left="6676" w:hanging="180"/>
      </w:pPr>
    </w:lvl>
  </w:abstractNum>
  <w:abstractNum w:abstractNumId="8" w15:restartNumberingAfterBreak="0">
    <w:nsid w:val="21514821"/>
    <w:multiLevelType w:val="hybridMultilevel"/>
    <w:tmpl w:val="4E323E70"/>
    <w:lvl w:ilvl="0" w:tplc="CBCC0926">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35FE9CCC">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EAFC7936">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8E0259E2">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A1642B02">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330E140C">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8BA0E8D6">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F5E4E48C">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8936707E">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9" w15:restartNumberingAfterBreak="0">
    <w:nsid w:val="21BC563C"/>
    <w:multiLevelType w:val="multilevel"/>
    <w:tmpl w:val="08D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4215A"/>
    <w:multiLevelType w:val="hybridMultilevel"/>
    <w:tmpl w:val="46F6B79C"/>
    <w:lvl w:ilvl="0" w:tplc="50567A8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D215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8AE3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ADCB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B0491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CB8F3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B4A25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2E18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5E61B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0C6525"/>
    <w:multiLevelType w:val="hybridMultilevel"/>
    <w:tmpl w:val="1D023D28"/>
    <w:lvl w:ilvl="0" w:tplc="B89E38A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74BE1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506AE8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746D6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00BCD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7E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74189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B8E113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5A268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62D4768"/>
    <w:multiLevelType w:val="hybridMultilevel"/>
    <w:tmpl w:val="6A4420BE"/>
    <w:lvl w:ilvl="0" w:tplc="90A6C73E">
      <w:start w:val="1"/>
      <w:numFmt w:val="bullet"/>
      <w:lvlText w:val="•"/>
      <w:lvlJc w:val="left"/>
      <w:pPr>
        <w:ind w:left="25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0247C8">
      <w:start w:val="1"/>
      <w:numFmt w:val="bullet"/>
      <w:lvlText w:val="o"/>
      <w:lvlJc w:val="left"/>
      <w:pPr>
        <w:ind w:left="1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D664C6">
      <w:start w:val="1"/>
      <w:numFmt w:val="bullet"/>
      <w:lvlText w:val="▪"/>
      <w:lvlJc w:val="left"/>
      <w:pPr>
        <w:ind w:left="2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06E3092">
      <w:start w:val="1"/>
      <w:numFmt w:val="bullet"/>
      <w:lvlText w:val="•"/>
      <w:lvlJc w:val="left"/>
      <w:pPr>
        <w:ind w:left="3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78E2EE">
      <w:start w:val="1"/>
      <w:numFmt w:val="bullet"/>
      <w:lvlText w:val="o"/>
      <w:lvlJc w:val="left"/>
      <w:pPr>
        <w:ind w:left="38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180FE4">
      <w:start w:val="1"/>
      <w:numFmt w:val="bullet"/>
      <w:lvlText w:val="▪"/>
      <w:lvlJc w:val="left"/>
      <w:pPr>
        <w:ind w:left="45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A606EC">
      <w:start w:val="1"/>
      <w:numFmt w:val="bullet"/>
      <w:lvlText w:val="•"/>
      <w:lvlJc w:val="left"/>
      <w:pPr>
        <w:ind w:left="52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E2E7BC">
      <w:start w:val="1"/>
      <w:numFmt w:val="bullet"/>
      <w:lvlText w:val="o"/>
      <w:lvlJc w:val="left"/>
      <w:pPr>
        <w:ind w:left="60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72B2A8">
      <w:start w:val="1"/>
      <w:numFmt w:val="bullet"/>
      <w:lvlText w:val="▪"/>
      <w:lvlJc w:val="left"/>
      <w:pPr>
        <w:ind w:left="67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BCD1306"/>
    <w:multiLevelType w:val="hybridMultilevel"/>
    <w:tmpl w:val="1736EB16"/>
    <w:lvl w:ilvl="0" w:tplc="67D26FD6">
      <w:start w:val="1"/>
      <w:numFmt w:val="bullet"/>
      <w:lvlText w:val="•"/>
      <w:lvlJc w:val="left"/>
      <w:pPr>
        <w:ind w:left="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4A62C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B94EA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988D9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F0533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D62E7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9093A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144E59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1C7560">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7EF12B7"/>
    <w:multiLevelType w:val="hybridMultilevel"/>
    <w:tmpl w:val="4392C736"/>
    <w:lvl w:ilvl="0" w:tplc="E4DC849E">
      <w:start w:val="1"/>
      <w:numFmt w:val="bullet"/>
      <w:lvlText w:val="•"/>
      <w:lvlJc w:val="left"/>
      <w:pPr>
        <w:ind w:left="8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C8B2B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020F1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1864D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75A67A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E26D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287B4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180F2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19A414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1312A9C"/>
    <w:multiLevelType w:val="hybridMultilevel"/>
    <w:tmpl w:val="D8805F22"/>
    <w:lvl w:ilvl="0" w:tplc="040C0003">
      <w:start w:val="1"/>
      <w:numFmt w:val="bullet"/>
      <w:lvlText w:val="o"/>
      <w:lvlJc w:val="left"/>
      <w:pPr>
        <w:ind w:left="1277" w:hanging="360"/>
      </w:pPr>
      <w:rPr>
        <w:rFonts w:ascii="Courier New" w:hAnsi="Courier New" w:cs="Courier New" w:hint="default"/>
      </w:rPr>
    </w:lvl>
    <w:lvl w:ilvl="1" w:tplc="040C0003" w:tentative="1">
      <w:start w:val="1"/>
      <w:numFmt w:val="bullet"/>
      <w:lvlText w:val="o"/>
      <w:lvlJc w:val="left"/>
      <w:pPr>
        <w:ind w:left="1997" w:hanging="360"/>
      </w:pPr>
      <w:rPr>
        <w:rFonts w:ascii="Courier New" w:hAnsi="Courier New" w:cs="Courier New" w:hint="default"/>
      </w:rPr>
    </w:lvl>
    <w:lvl w:ilvl="2" w:tplc="040C0005" w:tentative="1">
      <w:start w:val="1"/>
      <w:numFmt w:val="bullet"/>
      <w:lvlText w:val=""/>
      <w:lvlJc w:val="left"/>
      <w:pPr>
        <w:ind w:left="2717" w:hanging="360"/>
      </w:pPr>
      <w:rPr>
        <w:rFonts w:ascii="Wingdings" w:hAnsi="Wingdings" w:hint="default"/>
      </w:rPr>
    </w:lvl>
    <w:lvl w:ilvl="3" w:tplc="040C0001" w:tentative="1">
      <w:start w:val="1"/>
      <w:numFmt w:val="bullet"/>
      <w:lvlText w:val=""/>
      <w:lvlJc w:val="left"/>
      <w:pPr>
        <w:ind w:left="3437" w:hanging="360"/>
      </w:pPr>
      <w:rPr>
        <w:rFonts w:ascii="Symbol" w:hAnsi="Symbol" w:hint="default"/>
      </w:rPr>
    </w:lvl>
    <w:lvl w:ilvl="4" w:tplc="040C0003" w:tentative="1">
      <w:start w:val="1"/>
      <w:numFmt w:val="bullet"/>
      <w:lvlText w:val="o"/>
      <w:lvlJc w:val="left"/>
      <w:pPr>
        <w:ind w:left="4157" w:hanging="360"/>
      </w:pPr>
      <w:rPr>
        <w:rFonts w:ascii="Courier New" w:hAnsi="Courier New" w:cs="Courier New" w:hint="default"/>
      </w:rPr>
    </w:lvl>
    <w:lvl w:ilvl="5" w:tplc="040C0005" w:tentative="1">
      <w:start w:val="1"/>
      <w:numFmt w:val="bullet"/>
      <w:lvlText w:val=""/>
      <w:lvlJc w:val="left"/>
      <w:pPr>
        <w:ind w:left="4877" w:hanging="360"/>
      </w:pPr>
      <w:rPr>
        <w:rFonts w:ascii="Wingdings" w:hAnsi="Wingdings" w:hint="default"/>
      </w:rPr>
    </w:lvl>
    <w:lvl w:ilvl="6" w:tplc="040C0001" w:tentative="1">
      <w:start w:val="1"/>
      <w:numFmt w:val="bullet"/>
      <w:lvlText w:val=""/>
      <w:lvlJc w:val="left"/>
      <w:pPr>
        <w:ind w:left="5597" w:hanging="360"/>
      </w:pPr>
      <w:rPr>
        <w:rFonts w:ascii="Symbol" w:hAnsi="Symbol" w:hint="default"/>
      </w:rPr>
    </w:lvl>
    <w:lvl w:ilvl="7" w:tplc="040C0003" w:tentative="1">
      <w:start w:val="1"/>
      <w:numFmt w:val="bullet"/>
      <w:lvlText w:val="o"/>
      <w:lvlJc w:val="left"/>
      <w:pPr>
        <w:ind w:left="6317" w:hanging="360"/>
      </w:pPr>
      <w:rPr>
        <w:rFonts w:ascii="Courier New" w:hAnsi="Courier New" w:cs="Courier New" w:hint="default"/>
      </w:rPr>
    </w:lvl>
    <w:lvl w:ilvl="8" w:tplc="040C0005" w:tentative="1">
      <w:start w:val="1"/>
      <w:numFmt w:val="bullet"/>
      <w:lvlText w:val=""/>
      <w:lvlJc w:val="left"/>
      <w:pPr>
        <w:ind w:left="7037" w:hanging="360"/>
      </w:pPr>
      <w:rPr>
        <w:rFonts w:ascii="Wingdings" w:hAnsi="Wingdings" w:hint="default"/>
      </w:rPr>
    </w:lvl>
  </w:abstractNum>
  <w:abstractNum w:abstractNumId="16" w15:restartNumberingAfterBreak="0">
    <w:nsid w:val="41A64932"/>
    <w:multiLevelType w:val="hybridMultilevel"/>
    <w:tmpl w:val="D90A0B72"/>
    <w:lvl w:ilvl="0" w:tplc="040C000F">
      <w:start w:val="1"/>
      <w:numFmt w:val="decimal"/>
      <w:lvlText w:val="%1."/>
      <w:lvlJc w:val="left"/>
      <w:pPr>
        <w:ind w:left="917" w:hanging="360"/>
      </w:pPr>
      <w:rPr>
        <w:rFonts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17" w15:restartNumberingAfterBreak="0">
    <w:nsid w:val="443727AC"/>
    <w:multiLevelType w:val="hybridMultilevel"/>
    <w:tmpl w:val="4CFE14C2"/>
    <w:lvl w:ilvl="0" w:tplc="BDA4B13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DC372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40FD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0A700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26B4F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88D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B0EDC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42455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480BDB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4B17290"/>
    <w:multiLevelType w:val="hybridMultilevel"/>
    <w:tmpl w:val="AEF2ED68"/>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040C0003" w:tentative="1">
      <w:start w:val="1"/>
      <w:numFmt w:val="bullet"/>
      <w:lvlText w:val="o"/>
      <w:lvlJc w:val="left"/>
      <w:pPr>
        <w:ind w:left="1637" w:hanging="360"/>
      </w:pPr>
      <w:rPr>
        <w:rFonts w:ascii="Courier New" w:hAnsi="Courier New" w:cs="Courier New" w:hint="default"/>
      </w:rPr>
    </w:lvl>
    <w:lvl w:ilvl="2" w:tplc="040C0005" w:tentative="1">
      <w:start w:val="1"/>
      <w:numFmt w:val="bullet"/>
      <w:lvlText w:val=""/>
      <w:lvlJc w:val="left"/>
      <w:pPr>
        <w:ind w:left="2357" w:hanging="360"/>
      </w:pPr>
      <w:rPr>
        <w:rFonts w:ascii="Wingdings" w:hAnsi="Wingdings" w:hint="default"/>
      </w:rPr>
    </w:lvl>
    <w:lvl w:ilvl="3" w:tplc="040C0001" w:tentative="1">
      <w:start w:val="1"/>
      <w:numFmt w:val="bullet"/>
      <w:lvlText w:val=""/>
      <w:lvlJc w:val="left"/>
      <w:pPr>
        <w:ind w:left="3077" w:hanging="360"/>
      </w:pPr>
      <w:rPr>
        <w:rFonts w:ascii="Symbol" w:hAnsi="Symbol" w:hint="default"/>
      </w:rPr>
    </w:lvl>
    <w:lvl w:ilvl="4" w:tplc="040C0003" w:tentative="1">
      <w:start w:val="1"/>
      <w:numFmt w:val="bullet"/>
      <w:lvlText w:val="o"/>
      <w:lvlJc w:val="left"/>
      <w:pPr>
        <w:ind w:left="3797" w:hanging="360"/>
      </w:pPr>
      <w:rPr>
        <w:rFonts w:ascii="Courier New" w:hAnsi="Courier New" w:cs="Courier New" w:hint="default"/>
      </w:rPr>
    </w:lvl>
    <w:lvl w:ilvl="5" w:tplc="040C0005" w:tentative="1">
      <w:start w:val="1"/>
      <w:numFmt w:val="bullet"/>
      <w:lvlText w:val=""/>
      <w:lvlJc w:val="left"/>
      <w:pPr>
        <w:ind w:left="4517" w:hanging="360"/>
      </w:pPr>
      <w:rPr>
        <w:rFonts w:ascii="Wingdings" w:hAnsi="Wingdings" w:hint="default"/>
      </w:rPr>
    </w:lvl>
    <w:lvl w:ilvl="6" w:tplc="040C0001" w:tentative="1">
      <w:start w:val="1"/>
      <w:numFmt w:val="bullet"/>
      <w:lvlText w:val=""/>
      <w:lvlJc w:val="left"/>
      <w:pPr>
        <w:ind w:left="5237" w:hanging="360"/>
      </w:pPr>
      <w:rPr>
        <w:rFonts w:ascii="Symbol" w:hAnsi="Symbol" w:hint="default"/>
      </w:rPr>
    </w:lvl>
    <w:lvl w:ilvl="7" w:tplc="040C0003" w:tentative="1">
      <w:start w:val="1"/>
      <w:numFmt w:val="bullet"/>
      <w:lvlText w:val="o"/>
      <w:lvlJc w:val="left"/>
      <w:pPr>
        <w:ind w:left="5957" w:hanging="360"/>
      </w:pPr>
      <w:rPr>
        <w:rFonts w:ascii="Courier New" w:hAnsi="Courier New" w:cs="Courier New" w:hint="default"/>
      </w:rPr>
    </w:lvl>
    <w:lvl w:ilvl="8" w:tplc="040C0005" w:tentative="1">
      <w:start w:val="1"/>
      <w:numFmt w:val="bullet"/>
      <w:lvlText w:val=""/>
      <w:lvlJc w:val="left"/>
      <w:pPr>
        <w:ind w:left="6677" w:hanging="360"/>
      </w:pPr>
      <w:rPr>
        <w:rFonts w:ascii="Wingdings" w:hAnsi="Wingdings" w:hint="default"/>
      </w:rPr>
    </w:lvl>
  </w:abstractNum>
  <w:abstractNum w:abstractNumId="19" w15:restartNumberingAfterBreak="0">
    <w:nsid w:val="4F0E7F55"/>
    <w:multiLevelType w:val="hybridMultilevel"/>
    <w:tmpl w:val="6A800720"/>
    <w:lvl w:ilvl="0" w:tplc="BE4AAD74">
      <w:start w:val="1"/>
      <w:numFmt w:val="decimal"/>
      <w:lvlText w:val="%1."/>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E36A174C">
      <w:start w:val="1"/>
      <w:numFmt w:val="lowerLetter"/>
      <w:lvlText w:val="%2"/>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071E6EFA">
      <w:start w:val="1"/>
      <w:numFmt w:val="lowerRoman"/>
      <w:lvlText w:val="%3"/>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F826927C">
      <w:start w:val="1"/>
      <w:numFmt w:val="decimal"/>
      <w:lvlText w:val="%4"/>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FDECCE0">
      <w:start w:val="1"/>
      <w:numFmt w:val="lowerLetter"/>
      <w:lvlText w:val="%5"/>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5192E1A8">
      <w:start w:val="1"/>
      <w:numFmt w:val="lowerRoman"/>
      <w:lvlText w:val="%6"/>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6F64AEEC">
      <w:start w:val="1"/>
      <w:numFmt w:val="decimal"/>
      <w:lvlText w:val="%7"/>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39A0256E">
      <w:start w:val="1"/>
      <w:numFmt w:val="lowerLetter"/>
      <w:lvlText w:val="%8"/>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71D0B0C6">
      <w:start w:val="1"/>
      <w:numFmt w:val="lowerRoman"/>
      <w:lvlText w:val="%9"/>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20" w15:restartNumberingAfterBreak="0">
    <w:nsid w:val="50F21258"/>
    <w:multiLevelType w:val="hybridMultilevel"/>
    <w:tmpl w:val="C7580688"/>
    <w:lvl w:ilvl="0" w:tplc="F4109858">
      <w:start w:val="1"/>
      <w:numFmt w:val="decimal"/>
      <w:lvlText w:val="%1."/>
      <w:lvlJc w:val="left"/>
      <w:pPr>
        <w:ind w:left="1436"/>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1" w:tplc="01383EE4">
      <w:start w:val="1"/>
      <w:numFmt w:val="lowerLetter"/>
      <w:lvlText w:val="%2"/>
      <w:lvlJc w:val="left"/>
      <w:pPr>
        <w:ind w:left="25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2" w:tplc="18BAD872">
      <w:start w:val="1"/>
      <w:numFmt w:val="lowerRoman"/>
      <w:lvlText w:val="%3"/>
      <w:lvlJc w:val="left"/>
      <w:pPr>
        <w:ind w:left="32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3" w:tplc="0A3047E8">
      <w:start w:val="1"/>
      <w:numFmt w:val="decimal"/>
      <w:lvlText w:val="%4"/>
      <w:lvlJc w:val="left"/>
      <w:pPr>
        <w:ind w:left="39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4" w:tplc="F8B6FAD2">
      <w:start w:val="1"/>
      <w:numFmt w:val="lowerLetter"/>
      <w:lvlText w:val="%5"/>
      <w:lvlJc w:val="left"/>
      <w:pPr>
        <w:ind w:left="468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5" w:tplc="FE3CEFB4">
      <w:start w:val="1"/>
      <w:numFmt w:val="lowerRoman"/>
      <w:lvlText w:val="%6"/>
      <w:lvlJc w:val="left"/>
      <w:pPr>
        <w:ind w:left="540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6" w:tplc="6C64CA4A">
      <w:start w:val="1"/>
      <w:numFmt w:val="decimal"/>
      <w:lvlText w:val="%7"/>
      <w:lvlJc w:val="left"/>
      <w:pPr>
        <w:ind w:left="61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7" w:tplc="1CB4665C">
      <w:start w:val="1"/>
      <w:numFmt w:val="lowerLetter"/>
      <w:lvlText w:val="%8"/>
      <w:lvlJc w:val="left"/>
      <w:pPr>
        <w:ind w:left="68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8" w:tplc="763EC9D6">
      <w:start w:val="1"/>
      <w:numFmt w:val="lowerRoman"/>
      <w:lvlText w:val="%9"/>
      <w:lvlJc w:val="left"/>
      <w:pPr>
        <w:ind w:left="75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abstractNum>
  <w:abstractNum w:abstractNumId="21" w15:restartNumberingAfterBreak="0">
    <w:nsid w:val="51EF1401"/>
    <w:multiLevelType w:val="hybridMultilevel"/>
    <w:tmpl w:val="221854CE"/>
    <w:lvl w:ilvl="0" w:tplc="C7AED430">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F4EA8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6009E">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9484C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EAE24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BEA6C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50A6C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A4BFD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001AE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57238D0"/>
    <w:multiLevelType w:val="hybridMultilevel"/>
    <w:tmpl w:val="AB789832"/>
    <w:lvl w:ilvl="0" w:tplc="2E34CF90">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86525660">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35BCC00C">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0EE24A56">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7BE2E26">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EBDE28B8">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9DF8DDC8">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BCFA5158">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FDAEAC3A">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23" w15:restartNumberingAfterBreak="0">
    <w:nsid w:val="5AB50D66"/>
    <w:multiLevelType w:val="multilevel"/>
    <w:tmpl w:val="8E9A4A42"/>
    <w:lvl w:ilvl="0">
      <w:start w:val="1"/>
      <w:numFmt w:val="decimal"/>
      <w:pStyle w:val="Titre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re2"/>
      <w:lvlText w:val="%1.%2."/>
      <w:lvlJc w:val="left"/>
      <w:pPr>
        <w:ind w:left="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start w:val="1"/>
      <w:numFmt w:val="decimal"/>
      <w:pStyle w:val="Titre3"/>
      <w:lvlText w:val="%1.%2.%3."/>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15D049D"/>
    <w:multiLevelType w:val="hybridMultilevel"/>
    <w:tmpl w:val="47BE9F0E"/>
    <w:lvl w:ilvl="0" w:tplc="8E6E97B2">
      <w:start w:val="1"/>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A7C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B835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A043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603C1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3AEF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5AFBA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7A5BE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6CC5E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6ED70CF9"/>
    <w:multiLevelType w:val="hybridMultilevel"/>
    <w:tmpl w:val="B7B2DFA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192E27"/>
    <w:multiLevelType w:val="hybridMultilevel"/>
    <w:tmpl w:val="74E0265C"/>
    <w:lvl w:ilvl="0" w:tplc="0ECC135C">
      <w:start w:val="2"/>
      <w:numFmt w:val="decimal"/>
      <w:lvlText w:val="%1."/>
      <w:lvlJc w:val="left"/>
      <w:pPr>
        <w:ind w:left="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E23AB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7CBC2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D26F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E6725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BEC27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D087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F6DD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CCFB9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D7002E7"/>
    <w:multiLevelType w:val="multilevel"/>
    <w:tmpl w:val="EE16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804594">
    <w:abstractNumId w:val="8"/>
  </w:num>
  <w:num w:numId="2" w16cid:durableId="1449160980">
    <w:abstractNumId w:val="1"/>
  </w:num>
  <w:num w:numId="3" w16cid:durableId="1180125923">
    <w:abstractNumId w:val="22"/>
  </w:num>
  <w:num w:numId="4" w16cid:durableId="996618468">
    <w:abstractNumId w:val="13"/>
  </w:num>
  <w:num w:numId="5" w16cid:durableId="2019648758">
    <w:abstractNumId w:val="20"/>
  </w:num>
  <w:num w:numId="6" w16cid:durableId="1191264484">
    <w:abstractNumId w:val="19"/>
  </w:num>
  <w:num w:numId="7" w16cid:durableId="478964773">
    <w:abstractNumId w:val="12"/>
  </w:num>
  <w:num w:numId="8" w16cid:durableId="2067945041">
    <w:abstractNumId w:val="17"/>
  </w:num>
  <w:num w:numId="9" w16cid:durableId="314073903">
    <w:abstractNumId w:val="24"/>
  </w:num>
  <w:num w:numId="10" w16cid:durableId="896821143">
    <w:abstractNumId w:val="14"/>
  </w:num>
  <w:num w:numId="11" w16cid:durableId="303894966">
    <w:abstractNumId w:val="21"/>
  </w:num>
  <w:num w:numId="12" w16cid:durableId="467824431">
    <w:abstractNumId w:val="4"/>
  </w:num>
  <w:num w:numId="13" w16cid:durableId="1117216014">
    <w:abstractNumId w:val="11"/>
  </w:num>
  <w:num w:numId="14" w16cid:durableId="753629191">
    <w:abstractNumId w:val="26"/>
  </w:num>
  <w:num w:numId="15" w16cid:durableId="643316377">
    <w:abstractNumId w:val="10"/>
  </w:num>
  <w:num w:numId="16" w16cid:durableId="1709258125">
    <w:abstractNumId w:val="2"/>
  </w:num>
  <w:num w:numId="17" w16cid:durableId="672493196">
    <w:abstractNumId w:val="23"/>
  </w:num>
  <w:num w:numId="18" w16cid:durableId="590550340">
    <w:abstractNumId w:val="6"/>
  </w:num>
  <w:num w:numId="19" w16cid:durableId="682361358">
    <w:abstractNumId w:val="7"/>
  </w:num>
  <w:num w:numId="20" w16cid:durableId="873007058">
    <w:abstractNumId w:val="9"/>
  </w:num>
  <w:num w:numId="21" w16cid:durableId="13381730">
    <w:abstractNumId w:val="18"/>
  </w:num>
  <w:num w:numId="22" w16cid:durableId="1342465580">
    <w:abstractNumId w:val="16"/>
  </w:num>
  <w:num w:numId="23" w16cid:durableId="2111004781">
    <w:abstractNumId w:val="3"/>
  </w:num>
  <w:num w:numId="24" w16cid:durableId="1687748963">
    <w:abstractNumId w:val="5"/>
  </w:num>
  <w:num w:numId="25" w16cid:durableId="607468282">
    <w:abstractNumId w:val="15"/>
  </w:num>
  <w:num w:numId="26" w16cid:durableId="1557013669">
    <w:abstractNumId w:val="27"/>
  </w:num>
  <w:num w:numId="27" w16cid:durableId="1771512466">
    <w:abstractNumId w:val="25"/>
  </w:num>
  <w:num w:numId="28" w16cid:durableId="1450203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274"/>
    <w:rsid w:val="00014355"/>
    <w:rsid w:val="00035065"/>
    <w:rsid w:val="0006416F"/>
    <w:rsid w:val="00064DC4"/>
    <w:rsid w:val="000A075C"/>
    <w:rsid w:val="00105EEC"/>
    <w:rsid w:val="00112473"/>
    <w:rsid w:val="00121274"/>
    <w:rsid w:val="00145983"/>
    <w:rsid w:val="001A0B56"/>
    <w:rsid w:val="001C1ECB"/>
    <w:rsid w:val="001D624B"/>
    <w:rsid w:val="001E7656"/>
    <w:rsid w:val="0021431F"/>
    <w:rsid w:val="00236003"/>
    <w:rsid w:val="002434EB"/>
    <w:rsid w:val="00246775"/>
    <w:rsid w:val="00270522"/>
    <w:rsid w:val="002E706D"/>
    <w:rsid w:val="0030262D"/>
    <w:rsid w:val="0035745F"/>
    <w:rsid w:val="00376757"/>
    <w:rsid w:val="003957C3"/>
    <w:rsid w:val="0043730C"/>
    <w:rsid w:val="004B4909"/>
    <w:rsid w:val="004B5C14"/>
    <w:rsid w:val="004F72F0"/>
    <w:rsid w:val="00507032"/>
    <w:rsid w:val="00536E14"/>
    <w:rsid w:val="00555501"/>
    <w:rsid w:val="00567E79"/>
    <w:rsid w:val="00585717"/>
    <w:rsid w:val="005A5C5A"/>
    <w:rsid w:val="005B373C"/>
    <w:rsid w:val="005B7B07"/>
    <w:rsid w:val="0060104C"/>
    <w:rsid w:val="00647A77"/>
    <w:rsid w:val="006576CC"/>
    <w:rsid w:val="006938A2"/>
    <w:rsid w:val="00731603"/>
    <w:rsid w:val="00771402"/>
    <w:rsid w:val="007908F6"/>
    <w:rsid w:val="0079318A"/>
    <w:rsid w:val="00823B4F"/>
    <w:rsid w:val="008A30FF"/>
    <w:rsid w:val="008E0510"/>
    <w:rsid w:val="00920739"/>
    <w:rsid w:val="00925035"/>
    <w:rsid w:val="00927021"/>
    <w:rsid w:val="00971218"/>
    <w:rsid w:val="00A112C6"/>
    <w:rsid w:val="00A37B03"/>
    <w:rsid w:val="00A642F2"/>
    <w:rsid w:val="00A71389"/>
    <w:rsid w:val="00AE0DFC"/>
    <w:rsid w:val="00AE1459"/>
    <w:rsid w:val="00B02C2F"/>
    <w:rsid w:val="00B205AB"/>
    <w:rsid w:val="00B2261A"/>
    <w:rsid w:val="00B605EF"/>
    <w:rsid w:val="00B724CB"/>
    <w:rsid w:val="00B74173"/>
    <w:rsid w:val="00BD2BDB"/>
    <w:rsid w:val="00BF1514"/>
    <w:rsid w:val="00C36F5C"/>
    <w:rsid w:val="00C434F8"/>
    <w:rsid w:val="00C72285"/>
    <w:rsid w:val="00CD3FE6"/>
    <w:rsid w:val="00CF00A2"/>
    <w:rsid w:val="00D3421E"/>
    <w:rsid w:val="00D377A1"/>
    <w:rsid w:val="00D83E4F"/>
    <w:rsid w:val="00D87044"/>
    <w:rsid w:val="00DA43E4"/>
    <w:rsid w:val="00DB64A2"/>
    <w:rsid w:val="00DE25CB"/>
    <w:rsid w:val="00E45F7E"/>
    <w:rsid w:val="00E854FE"/>
    <w:rsid w:val="00E930B3"/>
    <w:rsid w:val="00EF592E"/>
    <w:rsid w:val="00EF78CD"/>
    <w:rsid w:val="00F056C6"/>
    <w:rsid w:val="00FA16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6CDB5"/>
  <w15:docId w15:val="{E74EA805-26D1-42BF-8E5B-E90FFE67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9" w:lineRule="auto"/>
      <w:ind w:left="10" w:right="37"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numPr>
        <w:numId w:val="17"/>
      </w:numPr>
      <w:spacing w:after="192" w:line="259" w:lineRule="auto"/>
      <w:ind w:left="10" w:hanging="10"/>
      <w:outlineLvl w:val="0"/>
    </w:pPr>
    <w:rPr>
      <w:rFonts w:ascii="Calibri" w:eastAsia="Calibri" w:hAnsi="Calibri" w:cs="Calibri"/>
      <w:b/>
      <w:color w:val="000000"/>
      <w:sz w:val="32"/>
    </w:rPr>
  </w:style>
  <w:style w:type="paragraph" w:styleId="Titre2">
    <w:name w:val="heading 2"/>
    <w:next w:val="Normal"/>
    <w:link w:val="Titre2Car"/>
    <w:uiPriority w:val="9"/>
    <w:unhideWhenUsed/>
    <w:qFormat/>
    <w:pPr>
      <w:keepNext/>
      <w:keepLines/>
      <w:numPr>
        <w:ilvl w:val="1"/>
        <w:numId w:val="17"/>
      </w:numPr>
      <w:spacing w:after="4" w:line="259" w:lineRule="auto"/>
      <w:ind w:left="10" w:hanging="10"/>
      <w:outlineLvl w:val="1"/>
    </w:pPr>
    <w:rPr>
      <w:rFonts w:ascii="Calibri" w:eastAsia="Calibri" w:hAnsi="Calibri" w:cs="Calibri"/>
      <w:b/>
      <w:color w:val="000000"/>
      <w:sz w:val="28"/>
    </w:rPr>
  </w:style>
  <w:style w:type="paragraph" w:styleId="Titre3">
    <w:name w:val="heading 3"/>
    <w:next w:val="Normal"/>
    <w:link w:val="Titre3Car"/>
    <w:uiPriority w:val="9"/>
    <w:unhideWhenUsed/>
    <w:qFormat/>
    <w:pPr>
      <w:keepNext/>
      <w:keepLines/>
      <w:numPr>
        <w:ilvl w:val="2"/>
        <w:numId w:val="17"/>
      </w:numPr>
      <w:spacing w:after="18" w:line="259" w:lineRule="auto"/>
      <w:ind w:left="10" w:hanging="10"/>
      <w:outlineLvl w:val="2"/>
    </w:pPr>
    <w:rPr>
      <w:rFonts w:ascii="Calibri" w:eastAsia="Calibri" w:hAnsi="Calibri" w:cs="Calibri"/>
      <w:b/>
      <w:color w:val="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000000"/>
      <w:sz w:val="24"/>
    </w:rPr>
  </w:style>
  <w:style w:type="character" w:customStyle="1" w:styleId="Titre2Car">
    <w:name w:val="Titre 2 Car"/>
    <w:link w:val="Titre2"/>
    <w:rPr>
      <w:rFonts w:ascii="Calibri" w:eastAsia="Calibri" w:hAnsi="Calibri" w:cs="Calibri"/>
      <w:b/>
      <w:color w:val="000000"/>
      <w:sz w:val="28"/>
    </w:rPr>
  </w:style>
  <w:style w:type="character" w:customStyle="1" w:styleId="Titre1Car">
    <w:name w:val="Titre 1 Car"/>
    <w:link w:val="Titre1"/>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434EB"/>
    <w:pPr>
      <w:ind w:left="720"/>
      <w:contextualSpacing/>
    </w:pPr>
  </w:style>
  <w:style w:type="paragraph" w:styleId="NormalWeb">
    <w:name w:val="Normal (Web)"/>
    <w:basedOn w:val="Normal"/>
    <w:uiPriority w:val="99"/>
    <w:semiHidden/>
    <w:unhideWhenUsed/>
    <w:rsid w:val="001C1ECB"/>
    <w:pPr>
      <w:spacing w:before="100" w:beforeAutospacing="1" w:after="100" w:afterAutospacing="1" w:line="240" w:lineRule="auto"/>
      <w:ind w:left="0" w:right="0" w:firstLine="0"/>
      <w:jc w:val="left"/>
    </w:pPr>
    <w:rPr>
      <w:color w:val="auto"/>
      <w:kern w:val="0"/>
      <w14:ligatures w14:val="none"/>
    </w:rPr>
  </w:style>
  <w:style w:type="character" w:styleId="CodeHTML">
    <w:name w:val="HTML Code"/>
    <w:basedOn w:val="Policepardfaut"/>
    <w:uiPriority w:val="99"/>
    <w:semiHidden/>
    <w:unhideWhenUsed/>
    <w:rsid w:val="001C1E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20.jp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1.jpg"/><Relationship Id="rId10" Type="http://schemas.openxmlformats.org/officeDocument/2006/relationships/image" Target="media/image11.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0.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531C7-E333-42E4-9B67-0DE8BAB89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19</Pages>
  <Words>6362</Words>
  <Characters>34994</Characters>
  <Application>Microsoft Office Word</Application>
  <DocSecurity>0</DocSecurity>
  <Lines>291</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Brahim El Bouhali</cp:lastModifiedBy>
  <cp:revision>54</cp:revision>
  <cp:lastPrinted>2025-12-08T10:59:00Z</cp:lastPrinted>
  <dcterms:created xsi:type="dcterms:W3CDTF">2025-12-08T10:59:00Z</dcterms:created>
  <dcterms:modified xsi:type="dcterms:W3CDTF">2025-12-08T17:27:00Z</dcterms:modified>
</cp:coreProperties>
</file>