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42F38" w14:textId="77777777" w:rsidR="00121274" w:rsidRDefault="00000000">
      <w:pPr>
        <w:spacing w:after="164" w:line="259" w:lineRule="auto"/>
        <w:ind w:left="0" w:right="660" w:firstLine="0"/>
        <w:jc w:val="right"/>
      </w:pPr>
      <w:r>
        <w:rPr>
          <w:rFonts w:ascii="Calibri" w:eastAsia="Calibri" w:hAnsi="Calibri" w:cs="Calibri"/>
          <w:noProof/>
          <w:sz w:val="22"/>
        </w:rPr>
        <mc:AlternateContent>
          <mc:Choice Requires="wpg">
            <w:drawing>
              <wp:inline distT="0" distB="0" distL="0" distR="0" wp14:anchorId="0CEFE40C" wp14:editId="6A0C5A0D">
                <wp:extent cx="5100553" cy="1079529"/>
                <wp:effectExtent l="0" t="0" r="0" b="0"/>
                <wp:docPr id="22882" name="Group 22882"/>
                <wp:cNvGraphicFramePr/>
                <a:graphic xmlns:a="http://schemas.openxmlformats.org/drawingml/2006/main">
                  <a:graphicData uri="http://schemas.microsoft.com/office/word/2010/wordprocessingGroup">
                    <wpg:wgp>
                      <wpg:cNvGrpSpPr/>
                      <wpg:grpSpPr>
                        <a:xfrm>
                          <a:off x="0" y="0"/>
                          <a:ext cx="5100553" cy="1079529"/>
                          <a:chOff x="0" y="0"/>
                          <a:chExt cx="5100553" cy="1079529"/>
                        </a:xfrm>
                      </wpg:grpSpPr>
                      <pic:pic xmlns:pic="http://schemas.openxmlformats.org/drawingml/2006/picture">
                        <pic:nvPicPr>
                          <pic:cNvPr id="73" name="Picture 73"/>
                          <pic:cNvPicPr/>
                        </pic:nvPicPr>
                        <pic:blipFill>
                          <a:blip r:embed="rId6"/>
                          <a:stretch>
                            <a:fillRect/>
                          </a:stretch>
                        </pic:blipFill>
                        <pic:spPr>
                          <a:xfrm>
                            <a:off x="0" y="0"/>
                            <a:ext cx="1439645" cy="1079529"/>
                          </a:xfrm>
                          <a:prstGeom prst="rect">
                            <a:avLst/>
                          </a:prstGeom>
                        </pic:spPr>
                      </pic:pic>
                      <pic:pic xmlns:pic="http://schemas.openxmlformats.org/drawingml/2006/picture">
                        <pic:nvPicPr>
                          <pic:cNvPr id="75" name="Picture 75"/>
                          <pic:cNvPicPr/>
                        </pic:nvPicPr>
                        <pic:blipFill>
                          <a:blip r:embed="rId7"/>
                          <a:stretch>
                            <a:fillRect/>
                          </a:stretch>
                        </pic:blipFill>
                        <pic:spPr>
                          <a:xfrm>
                            <a:off x="1447800" y="15"/>
                            <a:ext cx="2079803" cy="1079421"/>
                          </a:xfrm>
                          <a:prstGeom prst="rect">
                            <a:avLst/>
                          </a:prstGeom>
                        </pic:spPr>
                      </pic:pic>
                      <pic:pic xmlns:pic="http://schemas.openxmlformats.org/drawingml/2006/picture">
                        <pic:nvPicPr>
                          <pic:cNvPr id="77" name="Picture 77"/>
                          <pic:cNvPicPr/>
                        </pic:nvPicPr>
                        <pic:blipFill>
                          <a:blip r:embed="rId8"/>
                          <a:stretch>
                            <a:fillRect/>
                          </a:stretch>
                        </pic:blipFill>
                        <pic:spPr>
                          <a:xfrm>
                            <a:off x="3528060" y="22"/>
                            <a:ext cx="1572494" cy="1079500"/>
                          </a:xfrm>
                          <a:prstGeom prst="rect">
                            <a:avLst/>
                          </a:prstGeom>
                        </pic:spPr>
                      </pic:pic>
                    </wpg:wgp>
                  </a:graphicData>
                </a:graphic>
              </wp:inline>
            </w:drawing>
          </mc:Choice>
          <mc:Fallback xmlns:a="http://schemas.openxmlformats.org/drawingml/2006/main">
            <w:pict>
              <v:group id="Group 22882" style="width:401.618pt;height:85.0023pt;mso-position-horizontal-relative:char;mso-position-vertical-relative:line" coordsize="51005,10795">
                <v:shape id="Picture 73" style="position:absolute;width:14396;height:10795;left:0;top:0;" filled="f">
                  <v:imagedata r:id="rId9"/>
                </v:shape>
                <v:shape id="Picture 75" style="position:absolute;width:20798;height:10794;left:14478;top:0;" filled="f">
                  <v:imagedata r:id="rId10"/>
                </v:shape>
                <v:shape id="Picture 77" style="position:absolute;width:15724;height:10795;left:35280;top:0;" filled="f">
                  <v:imagedata r:id="rId11"/>
                </v:shape>
              </v:group>
            </w:pict>
          </mc:Fallback>
        </mc:AlternateContent>
      </w:r>
      <w:r>
        <w:t xml:space="preserve"> </w:t>
      </w:r>
    </w:p>
    <w:p w14:paraId="20A42B59" w14:textId="77777777" w:rsidR="00121274" w:rsidRDefault="00000000">
      <w:pPr>
        <w:spacing w:after="220" w:line="259" w:lineRule="auto"/>
        <w:ind w:left="24" w:right="0" w:firstLine="0"/>
        <w:jc w:val="center"/>
      </w:pPr>
      <w:r>
        <w:t xml:space="preserve"> </w:t>
      </w:r>
    </w:p>
    <w:p w14:paraId="551FAB0E" w14:textId="77777777" w:rsidR="00121274" w:rsidRDefault="00000000">
      <w:pPr>
        <w:spacing w:after="216" w:line="259" w:lineRule="auto"/>
        <w:ind w:left="24" w:right="0" w:firstLine="0"/>
        <w:jc w:val="center"/>
      </w:pPr>
      <w:r>
        <w:t xml:space="preserve"> </w:t>
      </w:r>
    </w:p>
    <w:p w14:paraId="3AF21AFE" w14:textId="77777777" w:rsidR="00121274" w:rsidRDefault="00000000">
      <w:pPr>
        <w:spacing w:after="216" w:line="259" w:lineRule="auto"/>
        <w:ind w:left="24" w:right="0" w:firstLine="0"/>
        <w:jc w:val="center"/>
      </w:pPr>
      <w:r>
        <w:t xml:space="preserve"> </w:t>
      </w:r>
    </w:p>
    <w:p w14:paraId="7502531E" w14:textId="77777777" w:rsidR="00121274" w:rsidRDefault="00000000">
      <w:pPr>
        <w:spacing w:after="218" w:line="259" w:lineRule="auto"/>
        <w:jc w:val="center"/>
      </w:pPr>
      <w:r>
        <w:t xml:space="preserve">FACULTÉ DES SCIENCES ET INGÉNIERIE </w:t>
      </w:r>
    </w:p>
    <w:p w14:paraId="753BA5B9" w14:textId="77777777" w:rsidR="00121274" w:rsidRDefault="00000000">
      <w:pPr>
        <w:spacing w:after="215" w:line="259" w:lineRule="auto"/>
        <w:ind w:left="24" w:right="0" w:firstLine="0"/>
        <w:jc w:val="center"/>
      </w:pPr>
      <w:r>
        <w:t xml:space="preserve"> </w:t>
      </w:r>
    </w:p>
    <w:p w14:paraId="0C51A5EB" w14:textId="77777777" w:rsidR="00121274" w:rsidRDefault="00000000">
      <w:pPr>
        <w:spacing w:after="488" w:line="259" w:lineRule="auto"/>
        <w:ind w:left="24" w:right="0" w:firstLine="0"/>
        <w:jc w:val="center"/>
      </w:pPr>
      <w:r>
        <w:t xml:space="preserve"> </w:t>
      </w:r>
    </w:p>
    <w:p w14:paraId="3356D7A7" w14:textId="77777777" w:rsidR="00121274" w:rsidRDefault="00000000">
      <w:pPr>
        <w:spacing w:after="0" w:line="259" w:lineRule="auto"/>
        <w:ind w:left="0" w:right="59" w:firstLine="0"/>
        <w:jc w:val="center"/>
      </w:pPr>
      <w:proofErr w:type="spellStart"/>
      <w:r>
        <w:rPr>
          <w:rFonts w:ascii="Calibri" w:eastAsia="Calibri" w:hAnsi="Calibri" w:cs="Calibri"/>
          <w:color w:val="17365D"/>
          <w:sz w:val="52"/>
        </w:rPr>
        <w:t>scRNAseq</w:t>
      </w:r>
      <w:proofErr w:type="spellEnd"/>
      <w:r>
        <w:rPr>
          <w:rFonts w:ascii="Calibri" w:eastAsia="Calibri" w:hAnsi="Calibri" w:cs="Calibri"/>
          <w:color w:val="17365D"/>
          <w:sz w:val="52"/>
        </w:rPr>
        <w:t xml:space="preserve"> </w:t>
      </w:r>
      <w:proofErr w:type="spellStart"/>
      <w:r>
        <w:rPr>
          <w:rFonts w:ascii="Calibri" w:eastAsia="Calibri" w:hAnsi="Calibri" w:cs="Calibri"/>
          <w:color w:val="17365D"/>
          <w:sz w:val="52"/>
        </w:rPr>
        <w:t>analysis</w:t>
      </w:r>
      <w:proofErr w:type="spellEnd"/>
      <w:r>
        <w:rPr>
          <w:rFonts w:ascii="Calibri" w:eastAsia="Calibri" w:hAnsi="Calibri" w:cs="Calibri"/>
          <w:color w:val="17365D"/>
          <w:sz w:val="52"/>
        </w:rPr>
        <w:t xml:space="preserve"> project : </w:t>
      </w:r>
    </w:p>
    <w:p w14:paraId="259BECC0" w14:textId="77777777" w:rsidR="00121274" w:rsidRPr="002434EB" w:rsidRDefault="00000000">
      <w:pPr>
        <w:spacing w:after="0" w:line="240" w:lineRule="auto"/>
        <w:ind w:left="1596" w:right="0" w:hanging="1212"/>
        <w:jc w:val="left"/>
        <w:rPr>
          <w:lang w:val="en-US"/>
        </w:rPr>
      </w:pPr>
      <w:r w:rsidRPr="002434EB">
        <w:rPr>
          <w:rFonts w:ascii="Calibri" w:eastAsia="Calibri" w:hAnsi="Calibri" w:cs="Calibri"/>
          <w:color w:val="17365D"/>
          <w:sz w:val="52"/>
          <w:lang w:val="en-US"/>
        </w:rPr>
        <w:t xml:space="preserve">Population-Scale Cross-Disorder Atlas of the Human Prefrontal Cortex </w:t>
      </w:r>
    </w:p>
    <w:p w14:paraId="69D63560" w14:textId="77777777" w:rsidR="00121274" w:rsidRDefault="00000000">
      <w:pPr>
        <w:spacing w:after="358" w:line="259" w:lineRule="auto"/>
        <w:ind w:left="-28" w:right="0" w:firstLine="0"/>
        <w:jc w:val="left"/>
      </w:pPr>
      <w:r>
        <w:rPr>
          <w:rFonts w:ascii="Calibri" w:eastAsia="Calibri" w:hAnsi="Calibri" w:cs="Calibri"/>
          <w:noProof/>
          <w:sz w:val="22"/>
        </w:rPr>
        <mc:AlternateContent>
          <mc:Choice Requires="wpg">
            <w:drawing>
              <wp:inline distT="0" distB="0" distL="0" distR="0" wp14:anchorId="76E79FAD" wp14:editId="2EE5B2D3">
                <wp:extent cx="6011546" cy="12700"/>
                <wp:effectExtent l="0" t="0" r="0" b="0"/>
                <wp:docPr id="22881" name="Group 22881"/>
                <wp:cNvGraphicFramePr/>
                <a:graphic xmlns:a="http://schemas.openxmlformats.org/drawingml/2006/main">
                  <a:graphicData uri="http://schemas.microsoft.com/office/word/2010/wordprocessingGroup">
                    <wpg:wgp>
                      <wpg:cNvGrpSpPr/>
                      <wpg:grpSpPr>
                        <a:xfrm>
                          <a:off x="0" y="0"/>
                          <a:ext cx="6011546" cy="12700"/>
                          <a:chOff x="0" y="0"/>
                          <a:chExt cx="6011546" cy="12700"/>
                        </a:xfrm>
                      </wpg:grpSpPr>
                      <wps:wsp>
                        <wps:cNvPr id="28866" name="Shape 28866"/>
                        <wps:cNvSpPr/>
                        <wps:spPr>
                          <a:xfrm>
                            <a:off x="0" y="0"/>
                            <a:ext cx="6011546" cy="12700"/>
                          </a:xfrm>
                          <a:custGeom>
                            <a:avLst/>
                            <a:gdLst/>
                            <a:ahLst/>
                            <a:cxnLst/>
                            <a:rect l="0" t="0" r="0" b="0"/>
                            <a:pathLst>
                              <a:path w="6011546" h="12700">
                                <a:moveTo>
                                  <a:pt x="0" y="0"/>
                                </a:moveTo>
                                <a:lnTo>
                                  <a:pt x="6011546" y="0"/>
                                </a:lnTo>
                                <a:lnTo>
                                  <a:pt x="6011546" y="12700"/>
                                </a:lnTo>
                                <a:lnTo>
                                  <a:pt x="0" y="1270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22881" style="width:473.35pt;height:1pt;mso-position-horizontal-relative:char;mso-position-vertical-relative:line" coordsize="60115,127">
                <v:shape id="Shape 28867" style="position:absolute;width:60115;height:127;left:0;top:0;" coordsize="6011546,12700" path="m0,0l6011546,0l6011546,12700l0,12700l0,0">
                  <v:stroke weight="0pt" endcap="flat" joinstyle="miter" miterlimit="10" on="false" color="#000000" opacity="0"/>
                  <v:fill on="true" color="#4f81bd"/>
                </v:shape>
              </v:group>
            </w:pict>
          </mc:Fallback>
        </mc:AlternateContent>
      </w:r>
    </w:p>
    <w:p w14:paraId="59CA837B" w14:textId="77777777" w:rsidR="00121274" w:rsidRDefault="00000000">
      <w:pPr>
        <w:spacing w:after="220" w:line="259" w:lineRule="auto"/>
        <w:ind w:left="24" w:right="0" w:firstLine="0"/>
        <w:jc w:val="center"/>
      </w:pPr>
      <w:r>
        <w:t xml:space="preserve"> </w:t>
      </w:r>
    </w:p>
    <w:p w14:paraId="4922FD32" w14:textId="77777777" w:rsidR="00121274" w:rsidRDefault="00000000">
      <w:pPr>
        <w:spacing w:after="216" w:line="259" w:lineRule="auto"/>
        <w:ind w:left="24" w:right="0" w:firstLine="0"/>
        <w:jc w:val="center"/>
      </w:pPr>
      <w:r>
        <w:t xml:space="preserve"> </w:t>
      </w:r>
    </w:p>
    <w:p w14:paraId="7921C7C9" w14:textId="4CB85A60" w:rsidR="00121274" w:rsidRDefault="00000000">
      <w:pPr>
        <w:spacing w:after="218" w:line="259" w:lineRule="auto"/>
        <w:ind w:right="40"/>
        <w:jc w:val="center"/>
      </w:pPr>
      <w:r>
        <w:t xml:space="preserve"> </w:t>
      </w:r>
    </w:p>
    <w:p w14:paraId="1FFA5984" w14:textId="77777777" w:rsidR="00121274" w:rsidRDefault="00000000">
      <w:pPr>
        <w:spacing w:after="218" w:line="259" w:lineRule="auto"/>
        <w:ind w:right="42"/>
        <w:jc w:val="center"/>
      </w:pPr>
      <w:r>
        <w:t xml:space="preserve">Laïla EL BOUHALI </w:t>
      </w:r>
    </w:p>
    <w:p w14:paraId="6248DB37" w14:textId="77777777" w:rsidR="00121274" w:rsidRDefault="00000000">
      <w:pPr>
        <w:spacing w:after="220" w:line="259" w:lineRule="auto"/>
        <w:ind w:left="24" w:right="0" w:firstLine="0"/>
        <w:jc w:val="center"/>
      </w:pPr>
      <w:r>
        <w:t xml:space="preserve"> </w:t>
      </w:r>
    </w:p>
    <w:p w14:paraId="200ECB03" w14:textId="77777777" w:rsidR="00121274" w:rsidRDefault="00000000">
      <w:pPr>
        <w:spacing w:after="264" w:line="259" w:lineRule="auto"/>
        <w:ind w:left="24" w:right="0" w:firstLine="0"/>
        <w:jc w:val="center"/>
      </w:pPr>
      <w:r>
        <w:t xml:space="preserve"> </w:t>
      </w:r>
    </w:p>
    <w:p w14:paraId="728EF97E" w14:textId="77777777" w:rsidR="00121274" w:rsidRDefault="00000000">
      <w:pPr>
        <w:pStyle w:val="Titre1"/>
        <w:numPr>
          <w:ilvl w:val="0"/>
          <w:numId w:val="0"/>
        </w:numPr>
        <w:pBdr>
          <w:top w:val="single" w:sz="3" w:space="0" w:color="000000"/>
          <w:left w:val="single" w:sz="3" w:space="0" w:color="000000"/>
          <w:bottom w:val="single" w:sz="3" w:space="0" w:color="000000"/>
          <w:right w:val="single" w:sz="3" w:space="0" w:color="000000"/>
        </w:pBdr>
        <w:spacing w:after="0"/>
        <w:ind w:right="39"/>
        <w:jc w:val="center"/>
      </w:pPr>
      <w:r>
        <w:rPr>
          <w:rFonts w:ascii="Century Gothic" w:eastAsia="Century Gothic" w:hAnsi="Century Gothic" w:cs="Century Gothic"/>
          <w:b w:val="0"/>
          <w:sz w:val="24"/>
          <w:u w:val="single" w:color="000000"/>
        </w:rPr>
        <w:t>UE MU5BIS01</w:t>
      </w:r>
      <w:r>
        <w:rPr>
          <w:rFonts w:ascii="Century Gothic" w:eastAsia="Century Gothic" w:hAnsi="Century Gothic" w:cs="Century Gothic"/>
          <w:b w:val="0"/>
          <w:sz w:val="24"/>
        </w:rPr>
        <w:t xml:space="preserve"> </w:t>
      </w:r>
    </w:p>
    <w:p w14:paraId="72065AF2" w14:textId="77777777" w:rsidR="00121274" w:rsidRDefault="00000000">
      <w:pPr>
        <w:pBdr>
          <w:top w:val="single" w:sz="3" w:space="0" w:color="000000"/>
          <w:left w:val="single" w:sz="3" w:space="0" w:color="000000"/>
          <w:bottom w:val="single" w:sz="3" w:space="0" w:color="000000"/>
          <w:right w:val="single" w:sz="3" w:space="0" w:color="000000"/>
        </w:pBdr>
        <w:spacing w:after="0" w:line="259" w:lineRule="auto"/>
        <w:ind w:left="0" w:right="39" w:firstLine="0"/>
        <w:jc w:val="center"/>
      </w:pPr>
      <w:r>
        <w:rPr>
          <w:rFonts w:ascii="Century Gothic" w:eastAsia="Century Gothic" w:hAnsi="Century Gothic" w:cs="Century Gothic"/>
        </w:rPr>
        <w:t xml:space="preserve">Analyse de données transcriptomiques à l'échelle unicellulaire </w:t>
      </w:r>
    </w:p>
    <w:p w14:paraId="78DBDFA2" w14:textId="77777777" w:rsidR="00121274" w:rsidRDefault="00000000">
      <w:pPr>
        <w:pBdr>
          <w:top w:val="single" w:sz="3" w:space="0" w:color="000000"/>
          <w:left w:val="single" w:sz="3" w:space="0" w:color="000000"/>
          <w:bottom w:val="single" w:sz="3" w:space="0" w:color="000000"/>
          <w:right w:val="single" w:sz="3" w:space="0" w:color="000000"/>
        </w:pBdr>
        <w:spacing w:after="0" w:line="259" w:lineRule="auto"/>
        <w:ind w:left="0" w:right="39" w:firstLine="0"/>
        <w:jc w:val="center"/>
      </w:pPr>
      <w:r>
        <w:rPr>
          <w:rFonts w:ascii="Century Gothic" w:eastAsia="Century Gothic" w:hAnsi="Century Gothic" w:cs="Century Gothic"/>
        </w:rPr>
        <w:t xml:space="preserve"> </w:t>
      </w:r>
    </w:p>
    <w:p w14:paraId="261F5572" w14:textId="77777777" w:rsidR="00121274" w:rsidRDefault="00000000">
      <w:pPr>
        <w:pBdr>
          <w:top w:val="single" w:sz="3" w:space="0" w:color="000000"/>
          <w:left w:val="single" w:sz="3" w:space="0" w:color="000000"/>
          <w:bottom w:val="single" w:sz="3" w:space="0" w:color="000000"/>
          <w:right w:val="single" w:sz="3" w:space="0" w:color="000000"/>
        </w:pBdr>
        <w:spacing w:after="0" w:line="259" w:lineRule="auto"/>
        <w:ind w:right="39"/>
        <w:jc w:val="center"/>
      </w:pPr>
      <w:r>
        <w:rPr>
          <w:rFonts w:ascii="Century Gothic" w:eastAsia="Century Gothic" w:hAnsi="Century Gothic" w:cs="Century Gothic"/>
          <w:i/>
        </w:rPr>
        <w:t xml:space="preserve">Master Artificial Intelligence and Data </w:t>
      </w:r>
      <w:proofErr w:type="spellStart"/>
      <w:r>
        <w:rPr>
          <w:rFonts w:ascii="Century Gothic" w:eastAsia="Century Gothic" w:hAnsi="Century Gothic" w:cs="Century Gothic"/>
          <w:i/>
        </w:rPr>
        <w:t>Analysis</w:t>
      </w:r>
      <w:proofErr w:type="spellEnd"/>
      <w:r>
        <w:rPr>
          <w:rFonts w:ascii="Century Gothic" w:eastAsia="Century Gothic" w:hAnsi="Century Gothic" w:cs="Century Gothic"/>
          <w:i/>
        </w:rPr>
        <w:t xml:space="preserve"> – AIDA </w:t>
      </w:r>
    </w:p>
    <w:p w14:paraId="1B1DB92E" w14:textId="77777777" w:rsidR="00121274" w:rsidRDefault="00000000">
      <w:pPr>
        <w:pBdr>
          <w:top w:val="single" w:sz="3" w:space="0" w:color="000000"/>
          <w:left w:val="single" w:sz="3" w:space="0" w:color="000000"/>
          <w:bottom w:val="single" w:sz="3" w:space="0" w:color="000000"/>
          <w:right w:val="single" w:sz="3" w:space="0" w:color="000000"/>
        </w:pBdr>
        <w:spacing w:after="0" w:line="259" w:lineRule="auto"/>
        <w:ind w:right="39"/>
        <w:jc w:val="center"/>
      </w:pPr>
      <w:r>
        <w:rPr>
          <w:rFonts w:ascii="Century Gothic" w:eastAsia="Century Gothic" w:hAnsi="Century Gothic" w:cs="Century Gothic"/>
          <w:i/>
        </w:rPr>
        <w:t>2025-2026</w:t>
      </w:r>
      <w:r>
        <w:rPr>
          <w:rFonts w:ascii="Century Gothic" w:eastAsia="Century Gothic" w:hAnsi="Century Gothic" w:cs="Century Gothic"/>
        </w:rPr>
        <w:t xml:space="preserve"> </w:t>
      </w:r>
    </w:p>
    <w:p w14:paraId="5E55C71E" w14:textId="5657A9F2" w:rsidR="00121274" w:rsidRDefault="00000000">
      <w:pPr>
        <w:spacing w:after="0" w:line="259" w:lineRule="auto"/>
        <w:ind w:left="4706" w:right="0" w:firstLine="0"/>
        <w:jc w:val="left"/>
      </w:pPr>
      <w:r>
        <w:t xml:space="preserve">  </w:t>
      </w:r>
    </w:p>
    <w:p w14:paraId="1BC4A696" w14:textId="77777777" w:rsidR="00121274" w:rsidRDefault="00000000" w:rsidP="00EF78CD">
      <w:pPr>
        <w:pStyle w:val="Titre1"/>
        <w:spacing w:after="0" w:line="240" w:lineRule="auto"/>
        <w:ind w:left="305" w:hanging="320"/>
      </w:pPr>
      <w:r>
        <w:lastRenderedPageBreak/>
        <w:t xml:space="preserve">Introduction </w:t>
      </w:r>
    </w:p>
    <w:p w14:paraId="6237966A" w14:textId="77777777" w:rsidR="00121274" w:rsidRDefault="00000000" w:rsidP="00EF78CD">
      <w:pPr>
        <w:pStyle w:val="Titre2"/>
        <w:spacing w:after="0" w:line="240" w:lineRule="auto"/>
        <w:ind w:left="483" w:hanging="498"/>
      </w:pPr>
      <w:r>
        <w:t xml:space="preserve">Contexte biologique et clinique </w:t>
      </w:r>
    </w:p>
    <w:p w14:paraId="09925D1E" w14:textId="1E8E91FA" w:rsidR="00121274" w:rsidRDefault="00000000" w:rsidP="00EF78CD">
      <w:pPr>
        <w:spacing w:after="0" w:line="240" w:lineRule="auto"/>
        <w:ind w:left="-5" w:right="35"/>
      </w:pPr>
      <w:r>
        <w:t xml:space="preserve">Les maladies neurodégénératives, telles que la maladie d'Alzheimer (AD) et la maladie de Parkinson (PD), représentent un défi majeur de santé publique dans le contexte du vieillissement démographique mondial. Bien que ces pathologies présentent des manifestations cliniques distinctes — troubles mnésiques prédominants pour l'AD et symptômes moteurs pour la PD —, elles partagent des mécanismes physiopathologiques communs, notamment l'accumulation d'agrégats protéiques pathologiques (plaques amyloïdes et dégénérescences neurofibrillaires dans l'AD ; corps de Lewy contenant l'alpha-synucléine dans la PD) et une neuroinflammation chronique médiée par l'activation gliale. Le Cortex Préfrontal </w:t>
      </w:r>
      <w:r w:rsidR="00585717">
        <w:t>Dorsolatéral</w:t>
      </w:r>
      <w:r>
        <w:t xml:space="preserve"> (DLPFC), région clé impliquée dans les fonctions exécutives, la mémoire de travail et la régulation émotionnelle, est particulièrement vulnérable dans ces troubles, avec une atrophie progressive et des altérations fonctionnelles précoces. </w:t>
      </w:r>
    </w:p>
    <w:p w14:paraId="4F0AFDFF" w14:textId="77777777" w:rsidR="00121274" w:rsidRDefault="00000000" w:rsidP="008A30FF">
      <w:pPr>
        <w:spacing w:after="0" w:line="240" w:lineRule="auto"/>
        <w:ind w:left="567" w:right="0"/>
      </w:pPr>
      <w:r>
        <w:rPr>
          <w:rFonts w:ascii="Segoe UI Emoji" w:eastAsia="Segoe UI Emoji" w:hAnsi="Segoe UI Emoji" w:cs="Segoe UI Emoji"/>
          <w:color w:val="1A5490"/>
          <w:sz w:val="18"/>
        </w:rPr>
        <w:t>📘</w:t>
      </w:r>
      <w:r>
        <w:rPr>
          <w:rFonts w:ascii="Century Gothic" w:eastAsia="Century Gothic" w:hAnsi="Century Gothic" w:cs="Century Gothic"/>
          <w:b/>
          <w:color w:val="1A5490"/>
          <w:sz w:val="18"/>
        </w:rPr>
        <w:t xml:space="preserve"> NOTE PÉDAGOGIQUE - Pourquoi le DLPFC ? </w:t>
      </w:r>
    </w:p>
    <w:p w14:paraId="73BEFF05" w14:textId="517D0998" w:rsidR="00121274" w:rsidRDefault="00000000" w:rsidP="008A30FF">
      <w:pPr>
        <w:spacing w:after="0" w:line="240" w:lineRule="auto"/>
        <w:ind w:left="567" w:right="21"/>
      </w:pPr>
      <w:r>
        <w:rPr>
          <w:rFonts w:ascii="Century Gothic" w:eastAsia="Century Gothic" w:hAnsi="Century Gothic" w:cs="Century Gothic"/>
          <w:color w:val="1A5490"/>
          <w:sz w:val="18"/>
        </w:rPr>
        <w:t xml:space="preserve">Le Cortex Préfrontal </w:t>
      </w:r>
      <w:r w:rsidR="00585717">
        <w:rPr>
          <w:rFonts w:ascii="Century Gothic" w:eastAsia="Century Gothic" w:hAnsi="Century Gothic" w:cs="Century Gothic"/>
          <w:color w:val="1A5490"/>
          <w:sz w:val="18"/>
        </w:rPr>
        <w:t>Dorsolatéral</w:t>
      </w:r>
      <w:r>
        <w:rPr>
          <w:rFonts w:ascii="Century Gothic" w:eastAsia="Century Gothic" w:hAnsi="Century Gothic" w:cs="Century Gothic"/>
          <w:color w:val="1A5490"/>
          <w:sz w:val="18"/>
        </w:rPr>
        <w:t xml:space="preserve"> (DLPFC - aires de Brodmann 9/46) est la zone cérébrale responsable des fonctions cognitives supérieures : mémoire de travail, planification, inhibition et prise de décision. C'est le « centre de contrôle exécutif » du cerveau. Dans l'AD, cette région subit une neurodégénérescence précoce corrélée au déclin cognitif. Dans la PD, bien que les symptômes moteurs dominent cliniquement, des dysfonctionnements cognitifs du DLPFC apparaissent fréquemment, notamment dans les formes avec démence. L'étude du DLPFC permet donc de cibler les mécanismes moléculaires conduisant au déclin cognitif commun à ces deux pathologies.</w:t>
      </w:r>
      <w:r>
        <w:t xml:space="preserve"> </w:t>
      </w:r>
    </w:p>
    <w:p w14:paraId="014A456D" w14:textId="77777777" w:rsidR="00121274" w:rsidRDefault="00000000" w:rsidP="00EF78CD">
      <w:pPr>
        <w:pStyle w:val="Titre2"/>
        <w:spacing w:after="0" w:line="240" w:lineRule="auto"/>
        <w:ind w:left="483" w:hanging="498"/>
      </w:pPr>
      <w:r>
        <w:t xml:space="preserve">Apport du single-nucleus RNA sequencing (snRNA-seq) </w:t>
      </w:r>
    </w:p>
    <w:p w14:paraId="19561B93" w14:textId="77777777" w:rsidR="00121274" w:rsidRDefault="00000000" w:rsidP="00EF78CD">
      <w:pPr>
        <w:spacing w:after="0" w:line="240" w:lineRule="auto"/>
        <w:ind w:left="-5" w:right="35"/>
      </w:pPr>
      <w:r>
        <w:t xml:space="preserve">Les approches transcriptomiques classiques sur tissu entier (bulk RNA-seq) moyennent le signal d'expression génique sur des millions de cellules hétérogènes, diluant ainsi la contribution spécifique des types cellulaires minoritaires mais biologiquement critiques, tels que la microglie (cellules immunitaires résidentes du cerveau) ou les astrocytes réactifs. Le séquençage RNA à résolution unicellulaire (single-cell RNA-seq, scRNA-seq) permet de profiler l'expression génique individuellement pour chaque cellule. Dans le contexte des tissus post-mortem congelés, la variante single-nucleus RNA-seq (snRNA-seq) est privilégiée car elle séquence les noyaux cellulaires plutôt que les cellules entières, contournant ainsi les problèmes de dissociation tissulaire et permettant de préserver la qualité des ARN messagers. Cette approche permet de déconvoluer l'hétérogénéité cellulaire du tissu cérébral, d'identifier les types cellulaires vulnérables à la pathologie et de révéler des signatures moléculaires spécifiques invisibles en bulk RNA-seq. </w:t>
      </w:r>
    </w:p>
    <w:p w14:paraId="176C99FE" w14:textId="77777777" w:rsidR="00121274" w:rsidRDefault="00000000" w:rsidP="00E854FE">
      <w:pPr>
        <w:tabs>
          <w:tab w:val="left" w:pos="851"/>
        </w:tabs>
        <w:spacing w:after="0" w:line="240" w:lineRule="auto"/>
        <w:ind w:left="567" w:right="0"/>
      </w:pPr>
      <w:r>
        <w:rPr>
          <w:rFonts w:ascii="Segoe UI Emoji" w:eastAsia="Segoe UI Emoji" w:hAnsi="Segoe UI Emoji" w:cs="Segoe UI Emoji"/>
          <w:color w:val="1A5490"/>
          <w:sz w:val="18"/>
        </w:rPr>
        <w:t>📘</w:t>
      </w:r>
      <w:r>
        <w:rPr>
          <w:rFonts w:ascii="Century Gothic" w:eastAsia="Century Gothic" w:hAnsi="Century Gothic" w:cs="Century Gothic"/>
          <w:b/>
          <w:color w:val="1A5490"/>
          <w:sz w:val="18"/>
        </w:rPr>
        <w:t xml:space="preserve"> NOTE PÉDAGOGIQUE - snRNA-seq vs bulk RNA-seq </w:t>
      </w:r>
    </w:p>
    <w:p w14:paraId="3C5C5E1B" w14:textId="77777777" w:rsidR="00121274" w:rsidRDefault="00000000" w:rsidP="00E854FE">
      <w:pPr>
        <w:numPr>
          <w:ilvl w:val="0"/>
          <w:numId w:val="1"/>
        </w:numPr>
        <w:tabs>
          <w:tab w:val="left" w:pos="851"/>
          <w:tab w:val="left" w:pos="1701"/>
        </w:tabs>
        <w:spacing w:after="0" w:line="240" w:lineRule="auto"/>
        <w:ind w:left="567" w:right="21"/>
      </w:pPr>
      <w:r>
        <w:rPr>
          <w:rFonts w:ascii="Century Gothic" w:eastAsia="Century Gothic" w:hAnsi="Century Gothic" w:cs="Century Gothic"/>
          <w:color w:val="1A5490"/>
          <w:sz w:val="18"/>
        </w:rPr>
        <w:t xml:space="preserve">Bulk RNA-seq : Moyenne le signal de millions de cellules différentes. Analogie : Une photo floue de toute une foule. Si 1% de la foule porte un t-shirt rouge (microglie), cette couleur sera statistiquement invisible, noyée dans la moyenne. </w:t>
      </w:r>
    </w:p>
    <w:p w14:paraId="2BC68EC5" w14:textId="284B62C9" w:rsidR="00121274" w:rsidRPr="001E7656" w:rsidRDefault="00000000" w:rsidP="00E854FE">
      <w:pPr>
        <w:numPr>
          <w:ilvl w:val="0"/>
          <w:numId w:val="1"/>
        </w:numPr>
        <w:tabs>
          <w:tab w:val="left" w:pos="851"/>
          <w:tab w:val="left" w:pos="1701"/>
        </w:tabs>
        <w:spacing w:after="0" w:line="240" w:lineRule="auto"/>
        <w:ind w:left="567" w:right="21"/>
        <w:rPr>
          <w:rFonts w:ascii="Century Gothic" w:eastAsia="Century Gothic" w:hAnsi="Century Gothic" w:cs="Century Gothic"/>
          <w:color w:val="1A5490"/>
          <w:sz w:val="18"/>
        </w:rPr>
      </w:pPr>
      <w:r>
        <w:rPr>
          <w:rFonts w:ascii="Century Gothic" w:eastAsia="Century Gothic" w:hAnsi="Century Gothic" w:cs="Century Gothic"/>
          <w:color w:val="1A5490"/>
          <w:sz w:val="18"/>
        </w:rPr>
        <w:t xml:space="preserve"> snRNA-seq : Donne le profil d'expression de chaque noyau individuel. Analogie : Des photos haute résolution de chaque personne dans la foule. On voit clairement le 1% qui porte un t-shirt rouge et on peut étudier ses caractéristiques spécifiques. </w:t>
      </w:r>
    </w:p>
    <w:p w14:paraId="3B67556A" w14:textId="77777777" w:rsidR="00A71389" w:rsidRDefault="00000000" w:rsidP="00E854FE">
      <w:pPr>
        <w:numPr>
          <w:ilvl w:val="0"/>
          <w:numId w:val="1"/>
        </w:numPr>
        <w:tabs>
          <w:tab w:val="left" w:pos="851"/>
          <w:tab w:val="left" w:pos="1701"/>
        </w:tabs>
        <w:spacing w:after="0" w:line="240" w:lineRule="auto"/>
        <w:ind w:left="567" w:right="21"/>
        <w:rPr>
          <w:rFonts w:ascii="Century Gothic" w:eastAsia="Century Gothic" w:hAnsi="Century Gothic" w:cs="Century Gothic"/>
          <w:color w:val="1A5490"/>
          <w:sz w:val="18"/>
        </w:rPr>
      </w:pPr>
      <w:r>
        <w:rPr>
          <w:rFonts w:ascii="Century Gothic" w:eastAsia="Century Gothic" w:hAnsi="Century Gothic" w:cs="Century Gothic"/>
          <w:color w:val="1A5490"/>
          <w:sz w:val="18"/>
        </w:rPr>
        <w:t xml:space="preserve">Pourquoi 'nucleus' (noyau) et pas 'cell' (cellule) ? Les échantillons de cerveau </w:t>
      </w:r>
      <w:r w:rsidR="001E7656">
        <w:rPr>
          <w:rFonts w:ascii="Century Gothic" w:eastAsia="Century Gothic" w:hAnsi="Century Gothic" w:cs="Century Gothic"/>
          <w:color w:val="1A5490"/>
          <w:sz w:val="18"/>
        </w:rPr>
        <w:t>post mortem</w:t>
      </w:r>
      <w:r>
        <w:rPr>
          <w:rFonts w:ascii="Century Gothic" w:eastAsia="Century Gothic" w:hAnsi="Century Gothic" w:cs="Century Gothic"/>
          <w:color w:val="1A5490"/>
          <w:sz w:val="18"/>
        </w:rPr>
        <w:t xml:space="preserve"> sont congelés depuis des années. Les membranes cellulaires sont dégradées, mais les noyaux restent intacts. Le snRNA-seq extrait donc les noyaux et séquence l'ARNm qu'ils contiennent. </w:t>
      </w:r>
    </w:p>
    <w:p w14:paraId="2A36F563" w14:textId="0298CFC4" w:rsidR="00121274" w:rsidRPr="00A71389" w:rsidRDefault="00000000" w:rsidP="00E854FE">
      <w:pPr>
        <w:numPr>
          <w:ilvl w:val="1"/>
          <w:numId w:val="1"/>
        </w:numPr>
        <w:tabs>
          <w:tab w:val="left" w:pos="851"/>
          <w:tab w:val="left" w:pos="1701"/>
        </w:tabs>
        <w:spacing w:after="0" w:line="240" w:lineRule="auto"/>
        <w:ind w:left="567" w:right="21"/>
        <w:rPr>
          <w:rFonts w:ascii="Century Gothic" w:eastAsia="Century Gothic" w:hAnsi="Century Gothic" w:cs="Century Gothic"/>
          <w:color w:val="1A5490"/>
          <w:sz w:val="18"/>
        </w:rPr>
      </w:pPr>
      <w:r w:rsidRPr="00A71389">
        <w:rPr>
          <w:rFonts w:ascii="Century Gothic" w:eastAsia="Century Gothic" w:hAnsi="Century Gothic" w:cs="Century Gothic"/>
          <w:color w:val="1A5490"/>
          <w:sz w:val="18"/>
        </w:rPr>
        <w:t>Conséquence technique majeure : le pourcentage de comptages</w:t>
      </w:r>
      <w:r w:rsidR="001E7656" w:rsidRPr="00A71389">
        <w:rPr>
          <w:rFonts w:ascii="Century Gothic" w:eastAsia="Century Gothic" w:hAnsi="Century Gothic" w:cs="Century Gothic"/>
          <w:color w:val="1A5490"/>
          <w:sz w:val="18"/>
        </w:rPr>
        <w:t xml:space="preserve"> </w:t>
      </w:r>
      <w:r w:rsidRPr="00A71389">
        <w:rPr>
          <w:rFonts w:ascii="Century Gothic" w:eastAsia="Century Gothic" w:hAnsi="Century Gothic" w:cs="Century Gothic"/>
          <w:color w:val="1A5490"/>
          <w:sz w:val="18"/>
        </w:rPr>
        <w:t xml:space="preserve">mitochondriaux est naturellement très faible (~0%), car les mitochondries (organites cytoplasmiques) ne sont pas capturées avec les noyaux. </w:t>
      </w:r>
    </w:p>
    <w:p w14:paraId="1970A69E" w14:textId="77777777" w:rsidR="00121274" w:rsidRDefault="00000000" w:rsidP="00EF78CD">
      <w:pPr>
        <w:pStyle w:val="Titre2"/>
        <w:spacing w:after="0" w:line="240" w:lineRule="auto"/>
        <w:ind w:left="483" w:hanging="498"/>
      </w:pPr>
      <w:r>
        <w:t xml:space="preserve">Description du dataset </w:t>
      </w:r>
    </w:p>
    <w:p w14:paraId="0594A2E1" w14:textId="0DD0A6FE" w:rsidR="00580DE8" w:rsidRPr="00580DE8" w:rsidRDefault="00580DE8" w:rsidP="00580DE8">
      <w:pPr>
        <w:spacing w:after="0" w:line="240" w:lineRule="auto"/>
        <w:ind w:left="-5" w:right="35"/>
      </w:pPr>
      <w:r w:rsidRPr="00580DE8">
        <w:t xml:space="preserve">Notre analyse repose sur le jeu de données issu de l'article scientifique intitulé </w:t>
      </w:r>
      <w:r w:rsidRPr="00580DE8">
        <w:rPr>
          <w:b/>
          <w:bCs/>
        </w:rPr>
        <w:t>"Population-</w:t>
      </w:r>
      <w:proofErr w:type="spellStart"/>
      <w:r w:rsidRPr="00580DE8">
        <w:rPr>
          <w:b/>
          <w:bCs/>
        </w:rPr>
        <w:t>scale</w:t>
      </w:r>
      <w:proofErr w:type="spellEnd"/>
      <w:r w:rsidRPr="00580DE8">
        <w:rPr>
          <w:b/>
          <w:bCs/>
        </w:rPr>
        <w:t xml:space="preserve"> cross-</w:t>
      </w:r>
      <w:proofErr w:type="spellStart"/>
      <w:r w:rsidRPr="00580DE8">
        <w:rPr>
          <w:b/>
          <w:bCs/>
        </w:rPr>
        <w:t>disorder</w:t>
      </w:r>
      <w:proofErr w:type="spellEnd"/>
      <w:r w:rsidRPr="00580DE8">
        <w:rPr>
          <w:b/>
          <w:bCs/>
        </w:rPr>
        <w:t xml:space="preserve"> atlas of the </w:t>
      </w:r>
      <w:proofErr w:type="spellStart"/>
      <w:r w:rsidRPr="00580DE8">
        <w:rPr>
          <w:b/>
          <w:bCs/>
        </w:rPr>
        <w:t>human</w:t>
      </w:r>
      <w:proofErr w:type="spellEnd"/>
      <w:r w:rsidRPr="00580DE8">
        <w:rPr>
          <w:b/>
          <w:bCs/>
        </w:rPr>
        <w:t xml:space="preserve"> </w:t>
      </w:r>
      <w:proofErr w:type="spellStart"/>
      <w:r w:rsidRPr="00580DE8">
        <w:rPr>
          <w:b/>
          <w:bCs/>
        </w:rPr>
        <w:t>prefrontal</w:t>
      </w:r>
      <w:proofErr w:type="spellEnd"/>
      <w:r w:rsidRPr="00580DE8">
        <w:rPr>
          <w:b/>
          <w:bCs/>
        </w:rPr>
        <w:t xml:space="preserve"> cortex at single-cell </w:t>
      </w:r>
      <w:proofErr w:type="spellStart"/>
      <w:r w:rsidRPr="00580DE8">
        <w:rPr>
          <w:b/>
          <w:bCs/>
        </w:rPr>
        <w:t>resolution</w:t>
      </w:r>
      <w:proofErr w:type="spellEnd"/>
      <w:r w:rsidRPr="00580DE8">
        <w:rPr>
          <w:b/>
          <w:bCs/>
        </w:rPr>
        <w:t>"</w:t>
      </w:r>
      <w:r w:rsidRPr="00580DE8">
        <w:t xml:space="preserve"> par </w:t>
      </w:r>
      <w:proofErr w:type="spellStart"/>
      <w:r w:rsidRPr="00580DE8">
        <w:t>Fullard</w:t>
      </w:r>
      <w:proofErr w:type="spellEnd"/>
      <w:r w:rsidRPr="00580DE8">
        <w:t xml:space="preserve"> et al. (2025) . Ce Data </w:t>
      </w:r>
      <w:proofErr w:type="spellStart"/>
      <w:r w:rsidRPr="00580DE8">
        <w:t>Descriptor</w:t>
      </w:r>
      <w:proofErr w:type="spellEnd"/>
      <w:r w:rsidRPr="00580DE8">
        <w:t xml:space="preserve"> présente</w:t>
      </w:r>
      <w:r>
        <w:t xml:space="preserve"> une </w:t>
      </w:r>
      <w:r w:rsidRPr="00580DE8">
        <w:t>ressource publique (</w:t>
      </w:r>
      <w:r>
        <w:t xml:space="preserve">un </w:t>
      </w:r>
      <w:r w:rsidRPr="00580DE8">
        <w:t>atlas multi-omique</w:t>
      </w:r>
      <w:r>
        <w:t xml:space="preserve"> :</w:t>
      </w:r>
      <w:r w:rsidRPr="00580DE8">
        <w:t xml:space="preserve"> génotype et snRNA-seq) englobant </w:t>
      </w:r>
      <w:r w:rsidRPr="00580DE8">
        <w:rPr>
          <w:b/>
          <w:bCs/>
        </w:rPr>
        <w:t>plus de 6.3 millions de noyaux</w:t>
      </w:r>
      <w:r w:rsidRPr="00580DE8">
        <w:t xml:space="preserve"> provenant de </w:t>
      </w:r>
      <w:r w:rsidRPr="00580DE8">
        <w:rPr>
          <w:b/>
          <w:bCs/>
        </w:rPr>
        <w:t>1 494 donneurs</w:t>
      </w:r>
      <w:r>
        <w:t xml:space="preserve">. Il constitue </w:t>
      </w:r>
      <w:r>
        <w:lastRenderedPageBreak/>
        <w:t xml:space="preserve">notre </w:t>
      </w:r>
      <w:r w:rsidRPr="00580DE8">
        <w:t>source des métadonnées et des critères de Contrôle Qualité (QC) utilisés dans notre pipeline d'analyse.</w:t>
      </w:r>
    </w:p>
    <w:p w14:paraId="2B656D4A" w14:textId="77777777" w:rsidR="00580DE8" w:rsidRDefault="00580DE8" w:rsidP="00CD1CA8">
      <w:pPr>
        <w:spacing w:after="0" w:line="240" w:lineRule="auto"/>
        <w:ind w:left="-5" w:right="35"/>
      </w:pPr>
    </w:p>
    <w:p w14:paraId="685427D4" w14:textId="696D9120" w:rsidR="00CD1CA8" w:rsidRDefault="00CD1CA8" w:rsidP="00CD1CA8">
      <w:pPr>
        <w:spacing w:after="0" w:line="240" w:lineRule="auto"/>
        <w:ind w:left="-5" w:right="35"/>
      </w:pPr>
      <w:r w:rsidRPr="00CD1CA8">
        <w:t xml:space="preserve">Le jeu de données initial de l'atlas croisé des troubles du cortex préfrontal humain est une ressource massive de plus de 6 millions de noyaux, totalisant environ 34 Go. Pour des raisons </w:t>
      </w:r>
      <w:r w:rsidRPr="00CD1CA8">
        <w:rPr>
          <w:b/>
          <w:bCs/>
        </w:rPr>
        <w:t>techniques et pratiques</w:t>
      </w:r>
      <w:r w:rsidRPr="00CD1CA8">
        <w:t xml:space="preserve"> (contraintes de mémoire vive et de temps de traitement), il n'était pas possible d'analyser cette matrice brute complète. Nous avons donc fait le choix stratégique de nous concentrer sur la </w:t>
      </w:r>
      <w:proofErr w:type="spellStart"/>
      <w:r w:rsidRPr="00CD1CA8">
        <w:rPr>
          <w:b/>
          <w:bCs/>
        </w:rPr>
        <w:t>HBCC_Cohort</w:t>
      </w:r>
      <w:proofErr w:type="spellEnd"/>
      <w:r w:rsidRPr="00CD1CA8">
        <w:rPr>
          <w:b/>
          <w:bCs/>
        </w:rPr>
        <w:t xml:space="preserve"> (Human Brain Collection Center)</w:t>
      </w:r>
      <w:r w:rsidRPr="00CD1CA8">
        <w:t xml:space="preserve">, un sous-ensemble gérable d'environ </w:t>
      </w:r>
      <w:r w:rsidRPr="00CD1CA8">
        <w:rPr>
          <w:b/>
          <w:bCs/>
        </w:rPr>
        <w:t>1,5 million de noyaux</w:t>
      </w:r>
      <w:r w:rsidRPr="00CD1CA8">
        <w:t xml:space="preserve">. Ce volume est amplement suffisant pour garantir la </w:t>
      </w:r>
      <w:r w:rsidRPr="00CD1CA8">
        <w:rPr>
          <w:b/>
          <w:bCs/>
        </w:rPr>
        <w:t>puissance statistique</w:t>
      </w:r>
      <w:r w:rsidRPr="00CD1CA8">
        <w:t xml:space="preserve"> requise pour l'intégralité de la </w:t>
      </w:r>
      <w:r w:rsidRPr="00CD1CA8">
        <w:rPr>
          <w:i/>
          <w:iCs/>
        </w:rPr>
        <w:t>pipeline</w:t>
      </w:r>
      <w:r w:rsidRPr="00CD1CA8">
        <w:t xml:space="preserve"> d'analyse (Contrôle Qualité, </w:t>
      </w:r>
      <w:r w:rsidRPr="00CD1CA8">
        <w:rPr>
          <w:i/>
          <w:iCs/>
        </w:rPr>
        <w:t>clustering</w:t>
      </w:r>
      <w:r w:rsidRPr="00CD1CA8">
        <w:t>, et analyse d'expression différentielle), tout en assurant la faisabilité et la reproductibilité du projet</w:t>
      </w:r>
    </w:p>
    <w:p w14:paraId="29587B39" w14:textId="77777777" w:rsidR="00CD1CA8" w:rsidRDefault="00CD1CA8" w:rsidP="00CD1CA8">
      <w:pPr>
        <w:spacing w:after="0" w:line="240" w:lineRule="auto"/>
        <w:ind w:left="-5" w:right="35"/>
      </w:pPr>
    </w:p>
    <w:p w14:paraId="635F1A4F" w14:textId="77777777" w:rsidR="00940EF8" w:rsidRPr="00940EF8" w:rsidRDefault="00940EF8" w:rsidP="00940EF8">
      <w:pPr>
        <w:numPr>
          <w:ilvl w:val="0"/>
          <w:numId w:val="29"/>
        </w:numPr>
        <w:ind w:right="35"/>
        <w:rPr>
          <w:b/>
        </w:rPr>
      </w:pPr>
      <w:r w:rsidRPr="00940EF8">
        <w:rPr>
          <w:b/>
        </w:rPr>
        <w:t>Note Importante pour l'Exploration des Données (EDA)</w:t>
      </w:r>
    </w:p>
    <w:tbl>
      <w:tblPr>
        <w:tblW w:w="0" w:type="auto"/>
        <w:tblCellMar>
          <w:top w:w="15" w:type="dxa"/>
          <w:left w:w="15" w:type="dxa"/>
          <w:right w:w="15" w:type="dxa"/>
        </w:tblCellMar>
        <w:tblLook w:val="04A0" w:firstRow="1" w:lastRow="0" w:firstColumn="1" w:lastColumn="0" w:noHBand="0" w:noVBand="1"/>
      </w:tblPr>
      <w:tblGrid>
        <w:gridCol w:w="1821"/>
        <w:gridCol w:w="3298"/>
        <w:gridCol w:w="4311"/>
      </w:tblGrid>
      <w:tr w:rsidR="00940EF8" w:rsidRPr="00940EF8" w14:paraId="7136C96B" w14:textId="77777777">
        <w:trPr>
          <w:tblHeader/>
        </w:trPr>
        <w:tc>
          <w:tcPr>
            <w:tcW w:w="0" w:type="auto"/>
            <w:tcBorders>
              <w:top w:val="single" w:sz="6" w:space="0" w:color="auto"/>
              <w:left w:val="single" w:sz="6" w:space="0" w:color="auto"/>
              <w:bottom w:val="single" w:sz="6" w:space="0" w:color="auto"/>
              <w:right w:val="single" w:sz="6" w:space="0" w:color="auto"/>
            </w:tcBorders>
            <w:tcMar>
              <w:top w:w="75" w:type="dxa"/>
              <w:left w:w="150" w:type="dxa"/>
              <w:bottom w:w="75" w:type="dxa"/>
              <w:right w:w="150" w:type="dxa"/>
            </w:tcMar>
            <w:vAlign w:val="center"/>
            <w:hideMark/>
          </w:tcPr>
          <w:p w14:paraId="5281466E" w14:textId="77777777" w:rsidR="00940EF8" w:rsidRPr="00940EF8" w:rsidRDefault="00940EF8" w:rsidP="00940EF8">
            <w:pPr>
              <w:spacing w:after="0" w:line="240" w:lineRule="auto"/>
              <w:ind w:left="-5" w:right="35"/>
              <w:rPr>
                <w:b/>
                <w:bCs/>
              </w:rPr>
            </w:pPr>
            <w:r w:rsidRPr="00940EF8">
              <w:rPr>
                <w:b/>
                <w:bCs/>
              </w:rPr>
              <w:t>Concept Clé</w:t>
            </w:r>
          </w:p>
        </w:tc>
        <w:tc>
          <w:tcPr>
            <w:tcW w:w="0" w:type="auto"/>
            <w:tcBorders>
              <w:top w:val="single" w:sz="6" w:space="0" w:color="auto"/>
              <w:left w:val="single" w:sz="6" w:space="0" w:color="auto"/>
              <w:bottom w:val="single" w:sz="6" w:space="0" w:color="auto"/>
              <w:right w:val="single" w:sz="6" w:space="0" w:color="auto"/>
            </w:tcBorders>
            <w:tcMar>
              <w:top w:w="75" w:type="dxa"/>
              <w:left w:w="150" w:type="dxa"/>
              <w:bottom w:w="75" w:type="dxa"/>
              <w:right w:w="150" w:type="dxa"/>
            </w:tcMar>
            <w:vAlign w:val="center"/>
            <w:hideMark/>
          </w:tcPr>
          <w:p w14:paraId="4477BBDC" w14:textId="77777777" w:rsidR="00940EF8" w:rsidRPr="00940EF8" w:rsidRDefault="00940EF8" w:rsidP="00940EF8">
            <w:pPr>
              <w:spacing w:after="0" w:line="240" w:lineRule="auto"/>
              <w:ind w:left="-5" w:right="35"/>
              <w:rPr>
                <w:b/>
                <w:bCs/>
              </w:rPr>
            </w:pPr>
            <w:r w:rsidRPr="00940EF8">
              <w:rPr>
                <w:b/>
                <w:bCs/>
              </w:rPr>
              <w:t>Champs et Objectif</w:t>
            </w:r>
          </w:p>
        </w:tc>
        <w:tc>
          <w:tcPr>
            <w:tcW w:w="0" w:type="auto"/>
            <w:tcBorders>
              <w:top w:val="single" w:sz="6" w:space="0" w:color="auto"/>
              <w:left w:val="single" w:sz="6" w:space="0" w:color="auto"/>
              <w:bottom w:val="single" w:sz="6" w:space="0" w:color="auto"/>
              <w:right w:val="single" w:sz="6" w:space="0" w:color="auto"/>
            </w:tcBorders>
            <w:tcMar>
              <w:top w:w="75" w:type="dxa"/>
              <w:left w:w="150" w:type="dxa"/>
              <w:bottom w:w="75" w:type="dxa"/>
              <w:right w:w="150" w:type="dxa"/>
            </w:tcMar>
            <w:vAlign w:val="center"/>
            <w:hideMark/>
          </w:tcPr>
          <w:p w14:paraId="406EAEDA" w14:textId="77777777" w:rsidR="00940EF8" w:rsidRPr="00940EF8" w:rsidRDefault="00940EF8" w:rsidP="00940EF8">
            <w:pPr>
              <w:spacing w:after="0" w:line="240" w:lineRule="auto"/>
              <w:ind w:left="-5" w:right="35"/>
              <w:rPr>
                <w:b/>
                <w:bCs/>
              </w:rPr>
            </w:pPr>
            <w:r w:rsidRPr="00940EF8">
              <w:rPr>
                <w:b/>
                <w:bCs/>
              </w:rPr>
              <w:t>Rôle dans l'EDA/Pipeline</w:t>
            </w:r>
          </w:p>
        </w:tc>
      </w:tr>
      <w:tr w:rsidR="00940EF8" w:rsidRPr="00940EF8" w14:paraId="2611FAAD" w14:textId="77777777">
        <w:tc>
          <w:tcPr>
            <w:tcW w:w="0" w:type="auto"/>
            <w:tcBorders>
              <w:top w:val="single" w:sz="6" w:space="0" w:color="auto"/>
              <w:left w:val="single" w:sz="6" w:space="0" w:color="auto"/>
              <w:bottom w:val="single" w:sz="6" w:space="0" w:color="auto"/>
              <w:right w:val="single" w:sz="6" w:space="0" w:color="auto"/>
            </w:tcBorders>
            <w:tcMar>
              <w:top w:w="75" w:type="dxa"/>
              <w:left w:w="150" w:type="dxa"/>
              <w:bottom w:w="75" w:type="dxa"/>
              <w:right w:w="150" w:type="dxa"/>
            </w:tcMar>
            <w:vAlign w:val="center"/>
            <w:hideMark/>
          </w:tcPr>
          <w:p w14:paraId="5DDA011C" w14:textId="77777777" w:rsidR="00940EF8" w:rsidRPr="00940EF8" w:rsidRDefault="00940EF8" w:rsidP="00940EF8">
            <w:pPr>
              <w:spacing w:after="0" w:line="240" w:lineRule="auto"/>
              <w:ind w:left="-5" w:right="35"/>
            </w:pPr>
            <w:r w:rsidRPr="00940EF8">
              <w:rPr>
                <w:b/>
                <w:bCs/>
              </w:rPr>
              <w:t>Sélection Clinique</w:t>
            </w:r>
          </w:p>
        </w:tc>
        <w:tc>
          <w:tcPr>
            <w:tcW w:w="0" w:type="auto"/>
            <w:tcBorders>
              <w:top w:val="single" w:sz="6" w:space="0" w:color="auto"/>
              <w:left w:val="single" w:sz="6" w:space="0" w:color="auto"/>
              <w:bottom w:val="single" w:sz="6" w:space="0" w:color="auto"/>
              <w:right w:val="single" w:sz="6" w:space="0" w:color="auto"/>
            </w:tcBorders>
            <w:tcMar>
              <w:top w:w="75" w:type="dxa"/>
              <w:left w:w="150" w:type="dxa"/>
              <w:bottom w:w="75" w:type="dxa"/>
              <w:right w:w="150" w:type="dxa"/>
            </w:tcMar>
            <w:vAlign w:val="center"/>
            <w:hideMark/>
          </w:tcPr>
          <w:p w14:paraId="0F69771A" w14:textId="77777777" w:rsidR="00940EF8" w:rsidRPr="00940EF8" w:rsidRDefault="00940EF8" w:rsidP="00940EF8">
            <w:pPr>
              <w:spacing w:after="0" w:line="240" w:lineRule="auto"/>
              <w:ind w:left="-5" w:right="35"/>
              <w:rPr>
                <w:lang w:val="en-US"/>
              </w:rPr>
            </w:pPr>
            <w:proofErr w:type="spellStart"/>
            <w:r w:rsidRPr="00940EF8">
              <w:rPr>
                <w:lang w:val="en-US"/>
              </w:rPr>
              <w:t>AD_status</w:t>
            </w:r>
            <w:proofErr w:type="spellEnd"/>
            <w:r w:rsidRPr="00940EF8">
              <w:rPr>
                <w:lang w:val="en-US"/>
              </w:rPr>
              <w:t> à </w:t>
            </w:r>
            <w:proofErr w:type="spellStart"/>
            <w:r w:rsidRPr="00940EF8">
              <w:rPr>
                <w:lang w:val="en-US"/>
              </w:rPr>
              <w:t>Vascular_status</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150" w:type="dxa"/>
              <w:bottom w:w="75" w:type="dxa"/>
              <w:right w:w="150" w:type="dxa"/>
            </w:tcMar>
            <w:vAlign w:val="center"/>
            <w:hideMark/>
          </w:tcPr>
          <w:p w14:paraId="5C0AD172" w14:textId="77777777" w:rsidR="00940EF8" w:rsidRPr="00940EF8" w:rsidRDefault="00940EF8" w:rsidP="00940EF8">
            <w:pPr>
              <w:spacing w:after="0" w:line="240" w:lineRule="auto"/>
              <w:ind w:left="-5" w:right="35"/>
            </w:pPr>
            <w:r w:rsidRPr="00940EF8">
              <w:t>Ces diagnostics bruts doivent être filtrés pour définir un groupe cible </w:t>
            </w:r>
            <w:r w:rsidRPr="00940EF8">
              <w:rPr>
                <w:b/>
                <w:bCs/>
              </w:rPr>
              <w:t>cliniquement pur</w:t>
            </w:r>
            <w:r w:rsidRPr="00940EF8">
              <w:t> (exclusion des comorbidités) pour la DGE.</w:t>
            </w:r>
          </w:p>
        </w:tc>
      </w:tr>
      <w:tr w:rsidR="00940EF8" w:rsidRPr="00940EF8" w14:paraId="283CD694" w14:textId="77777777">
        <w:tc>
          <w:tcPr>
            <w:tcW w:w="0" w:type="auto"/>
            <w:tcBorders>
              <w:top w:val="single" w:sz="6" w:space="0" w:color="auto"/>
              <w:left w:val="single" w:sz="6" w:space="0" w:color="auto"/>
              <w:bottom w:val="single" w:sz="6" w:space="0" w:color="auto"/>
              <w:right w:val="single" w:sz="6" w:space="0" w:color="auto"/>
            </w:tcBorders>
            <w:tcMar>
              <w:top w:w="75" w:type="dxa"/>
              <w:left w:w="150" w:type="dxa"/>
              <w:bottom w:w="75" w:type="dxa"/>
              <w:right w:w="150" w:type="dxa"/>
            </w:tcMar>
            <w:vAlign w:val="center"/>
            <w:hideMark/>
          </w:tcPr>
          <w:p w14:paraId="1ACA86C8" w14:textId="77777777" w:rsidR="00940EF8" w:rsidRPr="00940EF8" w:rsidRDefault="00940EF8" w:rsidP="00940EF8">
            <w:pPr>
              <w:spacing w:after="0" w:line="240" w:lineRule="auto"/>
              <w:ind w:left="-5" w:right="35"/>
            </w:pPr>
            <w:r w:rsidRPr="00940EF8">
              <w:rPr>
                <w:b/>
                <w:bCs/>
              </w:rPr>
              <w:t>Contrôle Qualité (QC)</w:t>
            </w:r>
          </w:p>
        </w:tc>
        <w:tc>
          <w:tcPr>
            <w:tcW w:w="0" w:type="auto"/>
            <w:tcBorders>
              <w:top w:val="single" w:sz="6" w:space="0" w:color="auto"/>
              <w:left w:val="single" w:sz="6" w:space="0" w:color="auto"/>
              <w:bottom w:val="single" w:sz="6" w:space="0" w:color="auto"/>
              <w:right w:val="single" w:sz="6" w:space="0" w:color="auto"/>
            </w:tcBorders>
            <w:tcMar>
              <w:top w:w="75" w:type="dxa"/>
              <w:left w:w="150" w:type="dxa"/>
              <w:bottom w:w="75" w:type="dxa"/>
              <w:right w:w="150" w:type="dxa"/>
            </w:tcMar>
            <w:vAlign w:val="center"/>
            <w:hideMark/>
          </w:tcPr>
          <w:p w14:paraId="66A16884" w14:textId="77777777" w:rsidR="00940EF8" w:rsidRPr="00940EF8" w:rsidRDefault="00940EF8" w:rsidP="00940EF8">
            <w:pPr>
              <w:spacing w:after="0" w:line="240" w:lineRule="auto"/>
              <w:ind w:left="-5" w:right="35"/>
            </w:pPr>
            <w:proofErr w:type="spellStart"/>
            <w:r w:rsidRPr="00940EF8">
              <w:t>n_counts</w:t>
            </w:r>
            <w:proofErr w:type="spellEnd"/>
            <w:r w:rsidRPr="00940EF8">
              <w:t> (Total UMI) &amp; n_genes (Gènes détectés)</w:t>
            </w:r>
          </w:p>
        </w:tc>
        <w:tc>
          <w:tcPr>
            <w:tcW w:w="0" w:type="auto"/>
            <w:tcBorders>
              <w:top w:val="single" w:sz="6" w:space="0" w:color="auto"/>
              <w:left w:val="single" w:sz="6" w:space="0" w:color="auto"/>
              <w:bottom w:val="single" w:sz="6" w:space="0" w:color="auto"/>
              <w:right w:val="single" w:sz="6" w:space="0" w:color="auto"/>
            </w:tcBorders>
            <w:tcMar>
              <w:top w:w="75" w:type="dxa"/>
              <w:left w:w="150" w:type="dxa"/>
              <w:bottom w:w="75" w:type="dxa"/>
              <w:right w:w="150" w:type="dxa"/>
            </w:tcMar>
            <w:vAlign w:val="center"/>
            <w:hideMark/>
          </w:tcPr>
          <w:p w14:paraId="59338331" w14:textId="77777777" w:rsidR="00940EF8" w:rsidRPr="00940EF8" w:rsidRDefault="00940EF8" w:rsidP="00940EF8">
            <w:pPr>
              <w:spacing w:after="0" w:line="240" w:lineRule="auto"/>
              <w:ind w:left="-5" w:right="35"/>
            </w:pPr>
            <w:r w:rsidRPr="00940EF8">
              <w:t>Champs cruciaux pour la normalisation et l'identification des artefacts (cellules mortes ou doublets).</w:t>
            </w:r>
          </w:p>
        </w:tc>
      </w:tr>
      <w:tr w:rsidR="00940EF8" w:rsidRPr="00940EF8" w14:paraId="060A933A" w14:textId="77777777">
        <w:tc>
          <w:tcPr>
            <w:tcW w:w="0" w:type="auto"/>
            <w:tcBorders>
              <w:top w:val="single" w:sz="6" w:space="0" w:color="auto"/>
              <w:left w:val="single" w:sz="6" w:space="0" w:color="auto"/>
              <w:bottom w:val="single" w:sz="6" w:space="0" w:color="auto"/>
              <w:right w:val="single" w:sz="6" w:space="0" w:color="auto"/>
            </w:tcBorders>
            <w:tcMar>
              <w:top w:w="75" w:type="dxa"/>
              <w:left w:w="150" w:type="dxa"/>
              <w:bottom w:w="75" w:type="dxa"/>
              <w:right w:w="150" w:type="dxa"/>
            </w:tcMar>
            <w:vAlign w:val="center"/>
            <w:hideMark/>
          </w:tcPr>
          <w:p w14:paraId="4100B532" w14:textId="77777777" w:rsidR="00940EF8" w:rsidRPr="00940EF8" w:rsidRDefault="00940EF8" w:rsidP="00940EF8">
            <w:pPr>
              <w:spacing w:after="0" w:line="240" w:lineRule="auto"/>
              <w:ind w:left="-5" w:right="35"/>
            </w:pPr>
            <w:r w:rsidRPr="00940EF8">
              <w:rPr>
                <w:b/>
                <w:bCs/>
              </w:rPr>
              <w:t>Annotation</w:t>
            </w:r>
          </w:p>
        </w:tc>
        <w:tc>
          <w:tcPr>
            <w:tcW w:w="0" w:type="auto"/>
            <w:tcBorders>
              <w:top w:val="single" w:sz="6" w:space="0" w:color="auto"/>
              <w:left w:val="single" w:sz="6" w:space="0" w:color="auto"/>
              <w:bottom w:val="single" w:sz="6" w:space="0" w:color="auto"/>
              <w:right w:val="single" w:sz="6" w:space="0" w:color="auto"/>
            </w:tcBorders>
            <w:tcMar>
              <w:top w:w="75" w:type="dxa"/>
              <w:left w:w="150" w:type="dxa"/>
              <w:bottom w:w="75" w:type="dxa"/>
              <w:right w:w="150" w:type="dxa"/>
            </w:tcMar>
            <w:vAlign w:val="center"/>
            <w:hideMark/>
          </w:tcPr>
          <w:p w14:paraId="5334194D" w14:textId="77777777" w:rsidR="00940EF8" w:rsidRPr="00940EF8" w:rsidRDefault="00940EF8" w:rsidP="00940EF8">
            <w:pPr>
              <w:spacing w:after="0" w:line="240" w:lineRule="auto"/>
              <w:ind w:left="-5" w:right="35"/>
            </w:pPr>
            <w:proofErr w:type="spellStart"/>
            <w:r w:rsidRPr="00940EF8">
              <w:t>gene_name</w:t>
            </w:r>
            <w:proofErr w:type="spellEnd"/>
            <w:r w:rsidRPr="00940EF8">
              <w:t> (dans .var) &amp; </w:t>
            </w:r>
            <w:proofErr w:type="spellStart"/>
            <w:r w:rsidRPr="00940EF8">
              <w:t>cell_type</w:t>
            </w:r>
            <w:proofErr w:type="spellEnd"/>
            <w:r w:rsidRPr="00940EF8">
              <w:t> (dans .</w:t>
            </w:r>
            <w:proofErr w:type="spellStart"/>
            <w:r w:rsidRPr="00940EF8">
              <w:t>obs</w:t>
            </w:r>
            <w:proofErr w:type="spellEnd"/>
            <w:r w:rsidRPr="00940EF8">
              <w:t>)</w:t>
            </w:r>
          </w:p>
        </w:tc>
        <w:tc>
          <w:tcPr>
            <w:tcW w:w="0" w:type="auto"/>
            <w:tcBorders>
              <w:top w:val="single" w:sz="6" w:space="0" w:color="auto"/>
              <w:left w:val="single" w:sz="6" w:space="0" w:color="auto"/>
              <w:bottom w:val="single" w:sz="6" w:space="0" w:color="auto"/>
              <w:right w:val="single" w:sz="6" w:space="0" w:color="auto"/>
            </w:tcBorders>
            <w:tcMar>
              <w:top w:w="75" w:type="dxa"/>
              <w:left w:w="150" w:type="dxa"/>
              <w:bottom w:w="75" w:type="dxa"/>
              <w:right w:w="150" w:type="dxa"/>
            </w:tcMar>
            <w:vAlign w:val="center"/>
            <w:hideMark/>
          </w:tcPr>
          <w:p w14:paraId="10BB8C85" w14:textId="77777777" w:rsidR="00940EF8" w:rsidRPr="00940EF8" w:rsidRDefault="00940EF8" w:rsidP="00940EF8">
            <w:pPr>
              <w:spacing w:after="0" w:line="240" w:lineRule="auto"/>
              <w:ind w:left="-5" w:right="35"/>
            </w:pPr>
            <w:r w:rsidRPr="00940EF8">
              <w:t>Le </w:t>
            </w:r>
            <w:proofErr w:type="spellStart"/>
            <w:r w:rsidRPr="00940EF8">
              <w:t>gene_name</w:t>
            </w:r>
            <w:proofErr w:type="spellEnd"/>
            <w:r w:rsidRPr="00940EF8">
              <w:t> est l'identifiant lisible pour l'analyse ORA. Le </w:t>
            </w:r>
            <w:proofErr w:type="spellStart"/>
            <w:r w:rsidRPr="00940EF8">
              <w:t>cell_type</w:t>
            </w:r>
            <w:proofErr w:type="spellEnd"/>
            <w:r w:rsidRPr="00940EF8">
              <w:t xml:space="preserve"> est la base de votre comparaison cellulaire (ex: </w:t>
            </w:r>
            <w:proofErr w:type="spellStart"/>
            <w:r w:rsidRPr="00940EF8">
              <w:t>Microglia</w:t>
            </w:r>
            <w:proofErr w:type="spellEnd"/>
            <w:r w:rsidRPr="00940EF8">
              <w:t xml:space="preserve"> vs. Astrocyte).</w:t>
            </w:r>
          </w:p>
        </w:tc>
      </w:tr>
      <w:tr w:rsidR="00940EF8" w:rsidRPr="00940EF8" w14:paraId="561249F6" w14:textId="77777777">
        <w:tc>
          <w:tcPr>
            <w:tcW w:w="0" w:type="auto"/>
            <w:tcBorders>
              <w:top w:val="single" w:sz="6" w:space="0" w:color="auto"/>
              <w:left w:val="single" w:sz="6" w:space="0" w:color="auto"/>
              <w:bottom w:val="single" w:sz="6" w:space="0" w:color="auto"/>
              <w:right w:val="single" w:sz="6" w:space="0" w:color="auto"/>
            </w:tcBorders>
            <w:tcMar>
              <w:top w:w="75" w:type="dxa"/>
              <w:left w:w="150" w:type="dxa"/>
              <w:bottom w:w="75" w:type="dxa"/>
              <w:right w:w="150" w:type="dxa"/>
            </w:tcMar>
            <w:vAlign w:val="center"/>
            <w:hideMark/>
          </w:tcPr>
          <w:p w14:paraId="5EBEC16E" w14:textId="77777777" w:rsidR="00940EF8" w:rsidRPr="00940EF8" w:rsidRDefault="00940EF8" w:rsidP="00940EF8">
            <w:pPr>
              <w:spacing w:after="0" w:line="240" w:lineRule="auto"/>
              <w:ind w:left="-5" w:right="35"/>
            </w:pPr>
            <w:r w:rsidRPr="00940EF8">
              <w:rPr>
                <w:b/>
                <w:bCs/>
              </w:rPr>
              <w:t>Identification</w:t>
            </w:r>
          </w:p>
        </w:tc>
        <w:tc>
          <w:tcPr>
            <w:tcW w:w="0" w:type="auto"/>
            <w:tcBorders>
              <w:top w:val="single" w:sz="6" w:space="0" w:color="auto"/>
              <w:left w:val="single" w:sz="6" w:space="0" w:color="auto"/>
              <w:bottom w:val="single" w:sz="6" w:space="0" w:color="auto"/>
              <w:right w:val="single" w:sz="6" w:space="0" w:color="auto"/>
            </w:tcBorders>
            <w:tcMar>
              <w:top w:w="75" w:type="dxa"/>
              <w:left w:w="150" w:type="dxa"/>
              <w:bottom w:w="75" w:type="dxa"/>
              <w:right w:w="150" w:type="dxa"/>
            </w:tcMar>
            <w:vAlign w:val="center"/>
            <w:hideMark/>
          </w:tcPr>
          <w:p w14:paraId="570F7CFD" w14:textId="77777777" w:rsidR="00940EF8" w:rsidRPr="00940EF8" w:rsidRDefault="00940EF8" w:rsidP="00940EF8">
            <w:pPr>
              <w:spacing w:after="0" w:line="240" w:lineRule="auto"/>
              <w:ind w:left="-5" w:right="35"/>
            </w:pPr>
            <w:r w:rsidRPr="00940EF8">
              <w:t>Index du .var (souvent ENSEMBL)</w:t>
            </w:r>
          </w:p>
        </w:tc>
        <w:tc>
          <w:tcPr>
            <w:tcW w:w="0" w:type="auto"/>
            <w:tcBorders>
              <w:top w:val="single" w:sz="6" w:space="0" w:color="auto"/>
              <w:left w:val="single" w:sz="6" w:space="0" w:color="auto"/>
              <w:bottom w:val="single" w:sz="6" w:space="0" w:color="auto"/>
              <w:right w:val="single" w:sz="6" w:space="0" w:color="auto"/>
            </w:tcBorders>
            <w:tcMar>
              <w:top w:w="75" w:type="dxa"/>
              <w:left w:w="150" w:type="dxa"/>
              <w:bottom w:w="75" w:type="dxa"/>
              <w:right w:w="150" w:type="dxa"/>
            </w:tcMar>
            <w:vAlign w:val="center"/>
            <w:hideMark/>
          </w:tcPr>
          <w:p w14:paraId="083AE28F" w14:textId="77777777" w:rsidR="00940EF8" w:rsidRPr="00940EF8" w:rsidRDefault="00940EF8" w:rsidP="00940EF8">
            <w:pPr>
              <w:spacing w:after="0" w:line="240" w:lineRule="auto"/>
              <w:ind w:left="-5" w:right="35"/>
            </w:pPr>
            <w:r w:rsidRPr="00940EF8">
              <w:t>Utilisé par les outils R comme </w:t>
            </w:r>
            <w:r w:rsidRPr="00940EF8">
              <w:rPr>
                <w:b/>
                <w:bCs/>
              </w:rPr>
              <w:t>clusterProfiler</w:t>
            </w:r>
            <w:r w:rsidRPr="00940EF8">
              <w:t> pour l'analyse d'enrichissement (Figure 5).</w:t>
            </w:r>
          </w:p>
        </w:tc>
      </w:tr>
    </w:tbl>
    <w:p w14:paraId="62B159B7" w14:textId="77777777" w:rsidR="00940EF8" w:rsidRDefault="00940EF8" w:rsidP="00CD1CA8">
      <w:pPr>
        <w:spacing w:after="0" w:line="240" w:lineRule="auto"/>
        <w:ind w:left="-5" w:right="35"/>
      </w:pPr>
    </w:p>
    <w:p w14:paraId="4B762C62" w14:textId="77777777" w:rsidR="00940EF8" w:rsidRDefault="00940EF8" w:rsidP="00CD1CA8">
      <w:pPr>
        <w:spacing w:after="0" w:line="240" w:lineRule="auto"/>
        <w:ind w:left="-5" w:right="35"/>
      </w:pPr>
    </w:p>
    <w:p w14:paraId="274E0F69" w14:textId="77777777" w:rsidR="00D92F25" w:rsidRPr="00D92F25" w:rsidRDefault="00D92F25" w:rsidP="00D92F25">
      <w:pPr>
        <w:numPr>
          <w:ilvl w:val="0"/>
          <w:numId w:val="17"/>
        </w:numPr>
        <w:tabs>
          <w:tab w:val="num" w:pos="360"/>
        </w:tabs>
        <w:spacing w:after="0" w:line="240" w:lineRule="auto"/>
        <w:ind w:right="35"/>
        <w:rPr>
          <w:b/>
          <w:bCs/>
        </w:rPr>
      </w:pPr>
      <w:r w:rsidRPr="00D92F25">
        <w:rPr>
          <w:b/>
          <w:bCs/>
        </w:rPr>
        <w:t xml:space="preserve">1. Structure du format </w:t>
      </w:r>
      <w:proofErr w:type="spellStart"/>
      <w:r w:rsidRPr="00D92F25">
        <w:rPr>
          <w:b/>
          <w:bCs/>
        </w:rPr>
        <w:t>AnnData</w:t>
      </w:r>
      <w:proofErr w:type="spellEnd"/>
    </w:p>
    <w:p w14:paraId="78B1F68C" w14:textId="77777777" w:rsidR="00D92F25" w:rsidRPr="00D92F25" w:rsidRDefault="00D92F25" w:rsidP="00D92F25">
      <w:pPr>
        <w:spacing w:after="0" w:line="240" w:lineRule="auto"/>
        <w:ind w:left="-5" w:right="35"/>
      </w:pPr>
      <w:r w:rsidRPr="00D92F25">
        <w:t xml:space="preserve">Votre note technique est </w:t>
      </w:r>
      <w:r w:rsidRPr="00D92F25">
        <w:rPr>
          <w:b/>
          <w:bCs/>
        </w:rPr>
        <w:t>essentielle</w:t>
      </w:r>
      <w:r w:rsidRPr="00D92F25">
        <w:t xml:space="preserve"> pour comprendre la logique Scanpy :</w:t>
      </w:r>
    </w:p>
    <w:p w14:paraId="5E4C5D08" w14:textId="77777777" w:rsidR="00D92F25" w:rsidRPr="00D92F25" w:rsidRDefault="00D92F25" w:rsidP="00D92F25">
      <w:pPr>
        <w:numPr>
          <w:ilvl w:val="0"/>
          <w:numId w:val="31"/>
        </w:numPr>
        <w:spacing w:after="0" w:line="240" w:lineRule="auto"/>
        <w:ind w:right="35"/>
      </w:pPr>
      <w:r w:rsidRPr="00D92F25">
        <w:t xml:space="preserve">.X → Matrice </w:t>
      </w:r>
      <w:r w:rsidRPr="00D92F25">
        <w:rPr>
          <w:b/>
          <w:bCs/>
        </w:rPr>
        <w:t>creuse</w:t>
      </w:r>
      <w:r w:rsidRPr="00D92F25">
        <w:t xml:space="preserve"> (</w:t>
      </w:r>
      <w:proofErr w:type="spellStart"/>
      <w:r w:rsidRPr="00D92F25">
        <w:t>scipy.sparse</w:t>
      </w:r>
      <w:proofErr w:type="spellEnd"/>
      <w:r w:rsidRPr="00D92F25">
        <w:t>) pour économiser la mémoire</w:t>
      </w:r>
    </w:p>
    <w:p w14:paraId="3299E5A2" w14:textId="77777777" w:rsidR="00D92F25" w:rsidRPr="00D92F25" w:rsidRDefault="00D92F25" w:rsidP="00D92F25">
      <w:pPr>
        <w:numPr>
          <w:ilvl w:val="0"/>
          <w:numId w:val="31"/>
        </w:numPr>
        <w:spacing w:after="0" w:line="240" w:lineRule="auto"/>
        <w:ind w:right="35"/>
      </w:pPr>
      <w:r w:rsidRPr="00D92F25">
        <w:t>.</w:t>
      </w:r>
      <w:proofErr w:type="spellStart"/>
      <w:r w:rsidRPr="00D92F25">
        <w:t>obs</w:t>
      </w:r>
      <w:proofErr w:type="spellEnd"/>
      <w:r w:rsidRPr="00D92F25">
        <w:t xml:space="preserve"> → </w:t>
      </w:r>
      <w:proofErr w:type="spellStart"/>
      <w:r w:rsidRPr="00D92F25">
        <w:t>DataFrame</w:t>
      </w:r>
      <w:proofErr w:type="spellEnd"/>
      <w:r w:rsidRPr="00D92F25">
        <w:t xml:space="preserve"> des </w:t>
      </w:r>
      <w:r w:rsidRPr="00D92F25">
        <w:rPr>
          <w:b/>
          <w:bCs/>
        </w:rPr>
        <w:t>cellules</w:t>
      </w:r>
      <w:r w:rsidRPr="00D92F25">
        <w:t xml:space="preserve"> (lignes)</w:t>
      </w:r>
    </w:p>
    <w:p w14:paraId="550B36A4" w14:textId="77777777" w:rsidR="00D92F25" w:rsidRPr="00D92F25" w:rsidRDefault="00D92F25" w:rsidP="00D92F25">
      <w:pPr>
        <w:numPr>
          <w:ilvl w:val="0"/>
          <w:numId w:val="31"/>
        </w:numPr>
        <w:spacing w:after="0" w:line="240" w:lineRule="auto"/>
        <w:ind w:right="35"/>
      </w:pPr>
      <w:r w:rsidRPr="00D92F25">
        <w:t xml:space="preserve">.var → </w:t>
      </w:r>
      <w:proofErr w:type="spellStart"/>
      <w:r w:rsidRPr="00D92F25">
        <w:t>DataFrame</w:t>
      </w:r>
      <w:proofErr w:type="spellEnd"/>
      <w:r w:rsidRPr="00D92F25">
        <w:t xml:space="preserve"> des </w:t>
      </w:r>
      <w:r w:rsidRPr="00D92F25">
        <w:rPr>
          <w:b/>
          <w:bCs/>
        </w:rPr>
        <w:t>gènes</w:t>
      </w:r>
      <w:r w:rsidRPr="00D92F25">
        <w:t xml:space="preserve"> (colonnes)</w:t>
      </w:r>
    </w:p>
    <w:p w14:paraId="2A3C13A9" w14:textId="77777777" w:rsidR="00D92F25" w:rsidRPr="00D92F25" w:rsidRDefault="00D92F25" w:rsidP="00D92F25">
      <w:pPr>
        <w:numPr>
          <w:ilvl w:val="0"/>
          <w:numId w:val="31"/>
        </w:numPr>
        <w:spacing w:after="0" w:line="240" w:lineRule="auto"/>
        <w:ind w:right="35"/>
      </w:pPr>
      <w:r w:rsidRPr="00D92F25">
        <w:t>.</w:t>
      </w:r>
      <w:proofErr w:type="spellStart"/>
      <w:r w:rsidRPr="00D92F25">
        <w:t>obsm</w:t>
      </w:r>
      <w:proofErr w:type="spellEnd"/>
      <w:r w:rsidRPr="00D92F25">
        <w:t xml:space="preserve"> → Dictionnaire de matrices (UMAP, PCA, etc.)</w:t>
      </w:r>
    </w:p>
    <w:p w14:paraId="5DCB0B51" w14:textId="77777777" w:rsidR="00D92F25" w:rsidRPr="00D92F25" w:rsidRDefault="00D92F25" w:rsidP="00D92F25">
      <w:pPr>
        <w:numPr>
          <w:ilvl w:val="0"/>
          <w:numId w:val="17"/>
        </w:numPr>
        <w:tabs>
          <w:tab w:val="num" w:pos="360"/>
        </w:tabs>
        <w:spacing w:after="0" w:line="240" w:lineRule="auto"/>
        <w:ind w:right="35"/>
        <w:rPr>
          <w:b/>
          <w:bCs/>
        </w:rPr>
      </w:pPr>
      <w:r w:rsidRPr="00D92F25">
        <w:rPr>
          <w:b/>
          <w:bCs/>
        </w:rPr>
        <w:t>2. Métriques affichées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4934"/>
        <w:gridCol w:w="2121"/>
      </w:tblGrid>
      <w:tr w:rsidR="00D92F25" w:rsidRPr="00D92F25" w14:paraId="18FFDAC6" w14:textId="77777777">
        <w:trPr>
          <w:tblHeader/>
          <w:tblCellSpacing w:w="15" w:type="dxa"/>
        </w:trPr>
        <w:tc>
          <w:tcPr>
            <w:tcW w:w="0" w:type="auto"/>
            <w:vAlign w:val="center"/>
            <w:hideMark/>
          </w:tcPr>
          <w:p w14:paraId="517E02DC" w14:textId="77777777" w:rsidR="00D92F25" w:rsidRPr="00D92F25" w:rsidRDefault="00D92F25" w:rsidP="00D92F25">
            <w:pPr>
              <w:spacing w:after="0" w:line="240" w:lineRule="auto"/>
              <w:ind w:left="-5" w:right="35"/>
              <w:rPr>
                <w:b/>
                <w:bCs/>
              </w:rPr>
            </w:pPr>
            <w:r w:rsidRPr="00D92F25">
              <w:rPr>
                <w:b/>
                <w:bCs/>
              </w:rPr>
              <w:t>Métrique</w:t>
            </w:r>
          </w:p>
        </w:tc>
        <w:tc>
          <w:tcPr>
            <w:tcW w:w="0" w:type="auto"/>
            <w:vAlign w:val="center"/>
            <w:hideMark/>
          </w:tcPr>
          <w:p w14:paraId="6A4082FE" w14:textId="77777777" w:rsidR="00D92F25" w:rsidRPr="00D92F25" w:rsidRDefault="00D92F25" w:rsidP="00D92F25">
            <w:pPr>
              <w:spacing w:after="0" w:line="240" w:lineRule="auto"/>
              <w:ind w:left="-5" w:right="35"/>
              <w:rPr>
                <w:b/>
                <w:bCs/>
              </w:rPr>
            </w:pPr>
            <w:r w:rsidRPr="00D92F25">
              <w:rPr>
                <w:b/>
                <w:bCs/>
              </w:rPr>
              <w:t>Utilité</w:t>
            </w:r>
          </w:p>
        </w:tc>
        <w:tc>
          <w:tcPr>
            <w:tcW w:w="0" w:type="auto"/>
            <w:vAlign w:val="center"/>
            <w:hideMark/>
          </w:tcPr>
          <w:p w14:paraId="47EE38A5" w14:textId="77777777" w:rsidR="00D92F25" w:rsidRPr="00D92F25" w:rsidRDefault="00D92F25" w:rsidP="00D92F25">
            <w:pPr>
              <w:spacing w:after="0" w:line="240" w:lineRule="auto"/>
              <w:ind w:left="-5" w:right="35"/>
              <w:rPr>
                <w:b/>
                <w:bCs/>
              </w:rPr>
            </w:pPr>
            <w:r w:rsidRPr="00D92F25">
              <w:rPr>
                <w:b/>
                <w:bCs/>
              </w:rPr>
              <w:t>Exemple typique</w:t>
            </w:r>
          </w:p>
        </w:tc>
      </w:tr>
      <w:tr w:rsidR="00D92F25" w:rsidRPr="00D92F25" w14:paraId="3D824C4B" w14:textId="77777777">
        <w:trPr>
          <w:tblCellSpacing w:w="15" w:type="dxa"/>
        </w:trPr>
        <w:tc>
          <w:tcPr>
            <w:tcW w:w="0" w:type="auto"/>
            <w:vAlign w:val="center"/>
            <w:hideMark/>
          </w:tcPr>
          <w:p w14:paraId="2A78A6B0" w14:textId="77777777" w:rsidR="00D92F25" w:rsidRPr="00D92F25" w:rsidRDefault="00D92F25" w:rsidP="00D92F25">
            <w:pPr>
              <w:spacing w:after="0" w:line="240" w:lineRule="auto"/>
              <w:ind w:left="-5" w:right="35"/>
            </w:pPr>
            <w:r w:rsidRPr="00D92F25">
              <w:t>Dataset Shape</w:t>
            </w:r>
          </w:p>
        </w:tc>
        <w:tc>
          <w:tcPr>
            <w:tcW w:w="0" w:type="auto"/>
            <w:vAlign w:val="center"/>
            <w:hideMark/>
          </w:tcPr>
          <w:p w14:paraId="719F6FB9" w14:textId="77777777" w:rsidR="00D92F25" w:rsidRPr="00D92F25" w:rsidRDefault="00D92F25" w:rsidP="00D92F25">
            <w:pPr>
              <w:spacing w:after="0" w:line="240" w:lineRule="auto"/>
              <w:ind w:left="-5" w:right="35"/>
            </w:pPr>
            <w:r w:rsidRPr="00D92F25">
              <w:t>Dimensions brutes (avant QC)</w:t>
            </w:r>
          </w:p>
        </w:tc>
        <w:tc>
          <w:tcPr>
            <w:tcW w:w="0" w:type="auto"/>
            <w:vAlign w:val="center"/>
            <w:hideMark/>
          </w:tcPr>
          <w:p w14:paraId="0C8DF87B" w14:textId="77777777" w:rsidR="00D92F25" w:rsidRPr="00D92F25" w:rsidRDefault="00D92F25" w:rsidP="00D92F25">
            <w:pPr>
              <w:spacing w:after="0" w:line="240" w:lineRule="auto"/>
              <w:ind w:left="-5" w:right="35"/>
            </w:pPr>
            <w:r w:rsidRPr="00D92F25">
              <w:t>(62800, 33538)</w:t>
            </w:r>
          </w:p>
        </w:tc>
      </w:tr>
      <w:tr w:rsidR="00D92F25" w:rsidRPr="00D92F25" w14:paraId="32B7E078" w14:textId="77777777">
        <w:trPr>
          <w:tblCellSpacing w:w="15" w:type="dxa"/>
        </w:trPr>
        <w:tc>
          <w:tcPr>
            <w:tcW w:w="0" w:type="auto"/>
            <w:vAlign w:val="center"/>
            <w:hideMark/>
          </w:tcPr>
          <w:p w14:paraId="4AB5A945" w14:textId="77777777" w:rsidR="00D92F25" w:rsidRPr="00D92F25" w:rsidRDefault="00D92F25" w:rsidP="00D92F25">
            <w:pPr>
              <w:spacing w:after="0" w:line="240" w:lineRule="auto"/>
              <w:ind w:left="-5" w:right="35"/>
            </w:pPr>
            <w:proofErr w:type="spellStart"/>
            <w:r w:rsidRPr="00D92F25">
              <w:t>Number</w:t>
            </w:r>
            <w:proofErr w:type="spellEnd"/>
            <w:r w:rsidRPr="00D92F25">
              <w:t xml:space="preserve"> of Cells</w:t>
            </w:r>
          </w:p>
        </w:tc>
        <w:tc>
          <w:tcPr>
            <w:tcW w:w="0" w:type="auto"/>
            <w:vAlign w:val="center"/>
            <w:hideMark/>
          </w:tcPr>
          <w:p w14:paraId="362B959B" w14:textId="77777777" w:rsidR="00D92F25" w:rsidRPr="00D92F25" w:rsidRDefault="00D92F25" w:rsidP="00D92F25">
            <w:pPr>
              <w:spacing w:after="0" w:line="240" w:lineRule="auto"/>
              <w:ind w:left="-5" w:right="35"/>
            </w:pPr>
            <w:r w:rsidRPr="00D92F25">
              <w:t>Nombre de noyaux séquencés</w:t>
            </w:r>
          </w:p>
        </w:tc>
        <w:tc>
          <w:tcPr>
            <w:tcW w:w="0" w:type="auto"/>
            <w:vAlign w:val="center"/>
            <w:hideMark/>
          </w:tcPr>
          <w:p w14:paraId="41173778" w14:textId="77777777" w:rsidR="00D92F25" w:rsidRPr="00D92F25" w:rsidRDefault="00D92F25" w:rsidP="00D92F25">
            <w:pPr>
              <w:spacing w:after="0" w:line="240" w:lineRule="auto"/>
              <w:ind w:left="-5" w:right="35"/>
            </w:pPr>
            <w:r w:rsidRPr="00D92F25">
              <w:t>62,800</w:t>
            </w:r>
          </w:p>
        </w:tc>
      </w:tr>
      <w:tr w:rsidR="00D92F25" w:rsidRPr="00D92F25" w14:paraId="35162B49" w14:textId="77777777">
        <w:trPr>
          <w:tblCellSpacing w:w="15" w:type="dxa"/>
        </w:trPr>
        <w:tc>
          <w:tcPr>
            <w:tcW w:w="0" w:type="auto"/>
            <w:vAlign w:val="center"/>
            <w:hideMark/>
          </w:tcPr>
          <w:p w14:paraId="532B2852" w14:textId="77777777" w:rsidR="00D92F25" w:rsidRPr="00D92F25" w:rsidRDefault="00D92F25" w:rsidP="00D92F25">
            <w:pPr>
              <w:spacing w:after="0" w:line="240" w:lineRule="auto"/>
              <w:ind w:left="-5" w:right="35"/>
            </w:pPr>
            <w:proofErr w:type="spellStart"/>
            <w:r w:rsidRPr="00D92F25">
              <w:t>Number</w:t>
            </w:r>
            <w:proofErr w:type="spellEnd"/>
            <w:r w:rsidRPr="00D92F25">
              <w:t xml:space="preserve"> of </w:t>
            </w:r>
            <w:proofErr w:type="spellStart"/>
            <w:r w:rsidRPr="00D92F25">
              <w:t>Genes</w:t>
            </w:r>
            <w:proofErr w:type="spellEnd"/>
          </w:p>
        </w:tc>
        <w:tc>
          <w:tcPr>
            <w:tcW w:w="0" w:type="auto"/>
            <w:vAlign w:val="center"/>
            <w:hideMark/>
          </w:tcPr>
          <w:p w14:paraId="39B6ABA1" w14:textId="77777777" w:rsidR="00D92F25" w:rsidRPr="00D92F25" w:rsidRDefault="00D92F25" w:rsidP="00D92F25">
            <w:pPr>
              <w:spacing w:after="0" w:line="240" w:lineRule="auto"/>
              <w:ind w:left="-5" w:right="35"/>
            </w:pPr>
            <w:r w:rsidRPr="00D92F25">
              <w:t xml:space="preserve">Gènes mesurés (avant filtrage </w:t>
            </w:r>
            <w:proofErr w:type="spellStart"/>
            <w:r w:rsidRPr="00D92F25">
              <w:t>lowly</w:t>
            </w:r>
            <w:proofErr w:type="spellEnd"/>
            <w:r w:rsidRPr="00D92F25">
              <w:t xml:space="preserve"> </w:t>
            </w:r>
            <w:proofErr w:type="spellStart"/>
            <w:r w:rsidRPr="00D92F25">
              <w:t>expressed</w:t>
            </w:r>
            <w:proofErr w:type="spellEnd"/>
            <w:r w:rsidRPr="00D92F25">
              <w:t>)</w:t>
            </w:r>
          </w:p>
        </w:tc>
        <w:tc>
          <w:tcPr>
            <w:tcW w:w="0" w:type="auto"/>
            <w:vAlign w:val="center"/>
            <w:hideMark/>
          </w:tcPr>
          <w:p w14:paraId="2FE31129" w14:textId="77777777" w:rsidR="00D92F25" w:rsidRPr="00D92F25" w:rsidRDefault="00D92F25" w:rsidP="00D92F25">
            <w:pPr>
              <w:spacing w:after="0" w:line="240" w:lineRule="auto"/>
              <w:ind w:left="-5" w:right="35"/>
            </w:pPr>
            <w:r w:rsidRPr="00D92F25">
              <w:t>33,538</w:t>
            </w:r>
          </w:p>
        </w:tc>
      </w:tr>
      <w:tr w:rsidR="00D92F25" w:rsidRPr="00D92F25" w14:paraId="30C19AF8" w14:textId="77777777">
        <w:trPr>
          <w:tblCellSpacing w:w="15" w:type="dxa"/>
        </w:trPr>
        <w:tc>
          <w:tcPr>
            <w:tcW w:w="0" w:type="auto"/>
            <w:vAlign w:val="center"/>
            <w:hideMark/>
          </w:tcPr>
          <w:p w14:paraId="2E875DBF" w14:textId="77777777" w:rsidR="00D92F25" w:rsidRPr="00D92F25" w:rsidRDefault="00D92F25" w:rsidP="00D92F25">
            <w:pPr>
              <w:spacing w:after="0" w:line="240" w:lineRule="auto"/>
              <w:ind w:left="-5" w:right="35"/>
            </w:pPr>
            <w:proofErr w:type="spellStart"/>
            <w:r w:rsidRPr="00D92F25">
              <w:t>Embeddings</w:t>
            </w:r>
            <w:proofErr w:type="spellEnd"/>
            <w:r w:rsidRPr="00D92F25">
              <w:t xml:space="preserve"> (.</w:t>
            </w:r>
            <w:proofErr w:type="spellStart"/>
            <w:r w:rsidRPr="00D92F25">
              <w:t>obsm</w:t>
            </w:r>
            <w:proofErr w:type="spellEnd"/>
            <w:r w:rsidRPr="00D92F25">
              <w:t>)</w:t>
            </w:r>
          </w:p>
        </w:tc>
        <w:tc>
          <w:tcPr>
            <w:tcW w:w="0" w:type="auto"/>
            <w:vAlign w:val="center"/>
            <w:hideMark/>
          </w:tcPr>
          <w:p w14:paraId="1A243424" w14:textId="77777777" w:rsidR="00D92F25" w:rsidRPr="00D92F25" w:rsidRDefault="00D92F25" w:rsidP="00D92F25">
            <w:pPr>
              <w:spacing w:after="0" w:line="240" w:lineRule="auto"/>
              <w:ind w:left="-5" w:right="35"/>
            </w:pPr>
            <w:r w:rsidRPr="00D92F25">
              <w:t>Projections disponibles (UMAP, PCA, Harmony)</w:t>
            </w:r>
          </w:p>
        </w:tc>
        <w:tc>
          <w:tcPr>
            <w:tcW w:w="0" w:type="auto"/>
            <w:vAlign w:val="center"/>
            <w:hideMark/>
          </w:tcPr>
          <w:p w14:paraId="79F1150D" w14:textId="77777777" w:rsidR="00D92F25" w:rsidRPr="00D92F25" w:rsidRDefault="00D92F25" w:rsidP="00D92F25">
            <w:pPr>
              <w:spacing w:after="0" w:line="240" w:lineRule="auto"/>
              <w:ind w:left="-5" w:right="35"/>
            </w:pPr>
            <w:r w:rsidRPr="00D92F25">
              <w:t>['</w:t>
            </w:r>
            <w:proofErr w:type="spellStart"/>
            <w:r w:rsidRPr="00D92F25">
              <w:t>X_umap</w:t>
            </w:r>
            <w:proofErr w:type="spellEnd"/>
            <w:r w:rsidRPr="00D92F25">
              <w:t>', '</w:t>
            </w:r>
            <w:proofErr w:type="spellStart"/>
            <w:r w:rsidRPr="00D92F25">
              <w:t>X_pca</w:t>
            </w:r>
            <w:proofErr w:type="spellEnd"/>
            <w:r w:rsidRPr="00D92F25">
              <w:t>']</w:t>
            </w:r>
          </w:p>
        </w:tc>
      </w:tr>
    </w:tbl>
    <w:p w14:paraId="12534152" w14:textId="77777777" w:rsidR="006F24DF" w:rsidRDefault="006F24DF" w:rsidP="00CD1CA8">
      <w:pPr>
        <w:spacing w:after="0" w:line="240" w:lineRule="auto"/>
        <w:ind w:left="-5" w:right="35"/>
      </w:pPr>
    </w:p>
    <w:p w14:paraId="169CE54A" w14:textId="77777777" w:rsidR="00D92F25" w:rsidRPr="00D92F25" w:rsidRDefault="00D92F25" w:rsidP="00D92F25">
      <w:pPr>
        <w:spacing w:after="0" w:line="240" w:lineRule="auto"/>
        <w:ind w:left="-5" w:right="35"/>
      </w:pPr>
      <w:r w:rsidRPr="00D92F25">
        <w:lastRenderedPageBreak/>
        <w:t>### Original dataset (RAW) :</w:t>
      </w:r>
    </w:p>
    <w:p w14:paraId="1C15027B" w14:textId="77777777" w:rsidR="00D92F25" w:rsidRPr="00D92F25" w:rsidRDefault="00D92F25" w:rsidP="00D92F25">
      <w:pPr>
        <w:spacing w:after="0" w:line="240" w:lineRule="auto"/>
        <w:ind w:left="-5" w:right="35"/>
      </w:pPr>
    </w:p>
    <w:p w14:paraId="6D0CDDCE" w14:textId="77777777" w:rsidR="00D92F25" w:rsidRPr="00D92F25" w:rsidRDefault="00D92F25" w:rsidP="00D92F25">
      <w:pPr>
        <w:spacing w:after="0" w:line="240" w:lineRule="auto"/>
        <w:ind w:left="-5" w:right="35"/>
      </w:pPr>
      <w:r w:rsidRPr="00D92F25">
        <w:t>&lt;</w:t>
      </w:r>
      <w:proofErr w:type="spellStart"/>
      <w:r w:rsidRPr="00D92F25">
        <w:t>small</w:t>
      </w:r>
      <w:proofErr w:type="spellEnd"/>
      <w:r w:rsidRPr="00D92F25">
        <w:t>&gt;Les données sont issues de l'**Atlas à l'échelle de la population du cortex préfrontal humain à résolution unicellulaire**.</w:t>
      </w:r>
    </w:p>
    <w:p w14:paraId="21A61FB9" w14:textId="77777777" w:rsidR="00D92F25" w:rsidRPr="00D92F25" w:rsidRDefault="00D92F25" w:rsidP="00D92F25">
      <w:pPr>
        <w:spacing w:after="0" w:line="240" w:lineRule="auto"/>
        <w:ind w:left="-5" w:right="35"/>
      </w:pPr>
      <w:r w:rsidRPr="00D92F25">
        <w:t>L'analyse se concentre sur la **</w:t>
      </w:r>
      <w:proofErr w:type="spellStart"/>
      <w:r w:rsidRPr="00D92F25">
        <w:t>HBCC_Cohort</w:t>
      </w:r>
      <w:proofErr w:type="spellEnd"/>
      <w:r w:rsidRPr="00D92F25">
        <w:t xml:space="preserve"> (Human Brain Collection Center)**. &lt;</w:t>
      </w:r>
      <w:proofErr w:type="spellStart"/>
      <w:r w:rsidRPr="00D92F25">
        <w:t>br</w:t>
      </w:r>
      <w:proofErr w:type="spellEnd"/>
      <w:r w:rsidRPr="00D92F25">
        <w:t>&gt;Ce sous-ensemble comprend **1 486 324 noyaux, 39 maladies + Control**.</w:t>
      </w:r>
    </w:p>
    <w:p w14:paraId="7D1BC7A8" w14:textId="77777777" w:rsidR="00D92F25" w:rsidRPr="00D92F25" w:rsidRDefault="00D92F25" w:rsidP="00D92F25">
      <w:pPr>
        <w:spacing w:after="0" w:line="240" w:lineRule="auto"/>
        <w:ind w:left="-5" w:right="35"/>
      </w:pPr>
      <w:r w:rsidRPr="00D92F25">
        <w:t>&lt;</w:t>
      </w:r>
      <w:proofErr w:type="spellStart"/>
      <w:r w:rsidRPr="00D92F25">
        <w:t>br</w:t>
      </w:r>
      <w:proofErr w:type="spellEnd"/>
      <w:r w:rsidRPr="00D92F25">
        <w:t xml:space="preserve">&gt;**Dataset :** </w:t>
      </w:r>
    </w:p>
    <w:p w14:paraId="2DC774DD" w14:textId="77777777" w:rsidR="00D92F25" w:rsidRPr="00D92F25" w:rsidRDefault="00D92F25" w:rsidP="00D92F25">
      <w:pPr>
        <w:spacing w:after="0" w:line="240" w:lineRule="auto"/>
        <w:ind w:left="-5" w:right="35"/>
        <w:rPr>
          <w:lang w:val="en-US"/>
        </w:rPr>
      </w:pPr>
      <w:r w:rsidRPr="00D92F25">
        <w:t>&lt;</w:t>
      </w:r>
      <w:proofErr w:type="spellStart"/>
      <w:r w:rsidRPr="00D92F25">
        <w:t>br</w:t>
      </w:r>
      <w:proofErr w:type="spellEnd"/>
      <w:r w:rsidRPr="00D92F25">
        <w:t xml:space="preserve">&gt;  publication: **Lee, D. et al.** </w:t>
      </w:r>
      <w:r w:rsidRPr="00D92F25">
        <w:rPr>
          <w:lang w:val="en-US"/>
        </w:rPr>
        <w:t xml:space="preserve">Single-cell atlas of transcriptomic vulnerability across multiple neurodegenerative and neuropsychiatric diseases. </w:t>
      </w:r>
      <w:proofErr w:type="spellStart"/>
      <w:r w:rsidRPr="00D92F25">
        <w:rPr>
          <w:lang w:val="en-US"/>
        </w:rPr>
        <w:t>medRxiv</w:t>
      </w:r>
      <w:proofErr w:type="spellEnd"/>
      <w:r w:rsidRPr="00D92F25">
        <w:rPr>
          <w:lang w:val="en-US"/>
        </w:rPr>
        <w:t xml:space="preserve"> (2024).</w:t>
      </w:r>
    </w:p>
    <w:p w14:paraId="57DB0D70" w14:textId="77777777" w:rsidR="00D92F25" w:rsidRPr="00D92F25" w:rsidRDefault="00D92F25" w:rsidP="00D92F25">
      <w:pPr>
        <w:spacing w:after="0" w:line="240" w:lineRule="auto"/>
        <w:ind w:left="-5" w:right="35"/>
        <w:rPr>
          <w:lang w:val="en-US"/>
        </w:rPr>
      </w:pPr>
      <w:r w:rsidRPr="00D92F25">
        <w:rPr>
          <w:lang w:val="en-US"/>
        </w:rPr>
        <w:t>&lt;</w:t>
      </w:r>
      <w:proofErr w:type="spellStart"/>
      <w:r w:rsidRPr="00D92F25">
        <w:rPr>
          <w:lang w:val="en-US"/>
        </w:rPr>
        <w:t>br</w:t>
      </w:r>
      <w:proofErr w:type="spellEnd"/>
      <w:r w:rsidRPr="00D92F25">
        <w:rPr>
          <w:lang w:val="en-US"/>
        </w:rPr>
        <w:t>&gt;  type:        Cell matrix / Gene Expression</w:t>
      </w:r>
    </w:p>
    <w:p w14:paraId="099F62A6" w14:textId="77777777" w:rsidR="00D92F25" w:rsidRPr="00D92F25" w:rsidRDefault="00D92F25" w:rsidP="00D92F25">
      <w:pPr>
        <w:spacing w:after="0" w:line="240" w:lineRule="auto"/>
        <w:ind w:left="-5" w:right="35"/>
        <w:rPr>
          <w:lang w:val="en-US"/>
        </w:rPr>
      </w:pPr>
      <w:r w:rsidRPr="00D92F25">
        <w:rPr>
          <w:lang w:val="en-US"/>
        </w:rPr>
        <w:t>&lt;</w:t>
      </w:r>
      <w:proofErr w:type="spellStart"/>
      <w:r w:rsidRPr="00D92F25">
        <w:rPr>
          <w:lang w:val="en-US"/>
        </w:rPr>
        <w:t>br</w:t>
      </w:r>
      <w:proofErr w:type="spellEnd"/>
      <w:r w:rsidRPr="00D92F25">
        <w:rPr>
          <w:lang w:val="en-US"/>
        </w:rPr>
        <w:t>&gt;  name:        </w:t>
      </w:r>
      <w:proofErr w:type="spellStart"/>
      <w:r w:rsidRPr="00D92F25">
        <w:rPr>
          <w:lang w:val="en-US"/>
        </w:rPr>
        <w:t>HBCC_Cohort</w:t>
      </w:r>
      <w:proofErr w:type="spellEnd"/>
    </w:p>
    <w:p w14:paraId="42982F6E" w14:textId="77777777" w:rsidR="00D92F25" w:rsidRPr="00D92F25" w:rsidRDefault="00D92F25" w:rsidP="00D92F25">
      <w:pPr>
        <w:spacing w:after="0" w:line="240" w:lineRule="auto"/>
        <w:ind w:left="-5" w:right="35"/>
        <w:rPr>
          <w:lang w:val="en-US"/>
        </w:rPr>
      </w:pPr>
      <w:r w:rsidRPr="00D92F25">
        <w:rPr>
          <w:lang w:val="en-US"/>
        </w:rPr>
        <w:t>&lt;</w:t>
      </w:r>
      <w:proofErr w:type="spellStart"/>
      <w:r w:rsidRPr="00D92F25">
        <w:rPr>
          <w:lang w:val="en-US"/>
        </w:rPr>
        <w:t>br</w:t>
      </w:r>
      <w:proofErr w:type="spellEnd"/>
      <w:r w:rsidRPr="00D92F25">
        <w:rPr>
          <w:lang w:val="en-US"/>
        </w:rPr>
        <w:t>&gt;  format:      .h5ad (</w:t>
      </w:r>
      <w:proofErr w:type="spellStart"/>
      <w:r w:rsidRPr="00D92F25">
        <w:rPr>
          <w:lang w:val="en-US"/>
        </w:rPr>
        <w:t>AnnData</w:t>
      </w:r>
      <w:proofErr w:type="spellEnd"/>
      <w:r w:rsidRPr="00D92F25">
        <w:rPr>
          <w:lang w:val="en-US"/>
        </w:rPr>
        <w:t xml:space="preserve"> v0.10) 13,8 GB</w:t>
      </w:r>
    </w:p>
    <w:p w14:paraId="6360607B" w14:textId="77777777" w:rsidR="00D92F25" w:rsidRPr="00D92F25" w:rsidRDefault="00D92F25" w:rsidP="00D92F25">
      <w:pPr>
        <w:spacing w:after="0" w:line="240" w:lineRule="auto"/>
        <w:ind w:left="-5" w:right="35"/>
        <w:rPr>
          <w:lang w:val="en-US"/>
        </w:rPr>
      </w:pPr>
      <w:r w:rsidRPr="00D92F25">
        <w:rPr>
          <w:lang w:val="en-US"/>
        </w:rPr>
        <w:t>&lt;</w:t>
      </w:r>
      <w:proofErr w:type="spellStart"/>
      <w:r w:rsidRPr="00D92F25">
        <w:rPr>
          <w:lang w:val="en-US"/>
        </w:rPr>
        <w:t>br</w:t>
      </w:r>
      <w:proofErr w:type="spellEnd"/>
      <w:r w:rsidRPr="00D92F25">
        <w:rPr>
          <w:lang w:val="en-US"/>
        </w:rPr>
        <w:t xml:space="preserve">&gt;  source:      CZ </w:t>
      </w:r>
      <w:proofErr w:type="spellStart"/>
      <w:r w:rsidRPr="00D92F25">
        <w:rPr>
          <w:lang w:val="en-US"/>
        </w:rPr>
        <w:t>CELLxGENE</w:t>
      </w:r>
      <w:proofErr w:type="spellEnd"/>
    </w:p>
    <w:p w14:paraId="03624081" w14:textId="77777777" w:rsidR="00D92F25" w:rsidRPr="00D92F25" w:rsidRDefault="00D92F25" w:rsidP="00D92F25">
      <w:pPr>
        <w:spacing w:after="0" w:line="240" w:lineRule="auto"/>
        <w:ind w:left="-5" w:right="35"/>
        <w:rPr>
          <w:lang w:val="en-US"/>
        </w:rPr>
      </w:pPr>
      <w:r w:rsidRPr="00D92F25">
        <w:rPr>
          <w:lang w:val="en-US"/>
        </w:rPr>
        <w:t>&lt;</w:t>
      </w:r>
      <w:proofErr w:type="spellStart"/>
      <w:r w:rsidRPr="00D92F25">
        <w:rPr>
          <w:lang w:val="en-US"/>
        </w:rPr>
        <w:t>br</w:t>
      </w:r>
      <w:proofErr w:type="spellEnd"/>
      <w:r w:rsidRPr="00D92F25">
        <w:rPr>
          <w:lang w:val="en-US"/>
        </w:rPr>
        <w:t>&gt;  download:    https://datasets.cellxgene.cziscience.com/524a8acc-37e5-44fe-aae9-e9a50e07ed24.h5ad</w:t>
      </w:r>
    </w:p>
    <w:p w14:paraId="6B5144F7" w14:textId="77777777" w:rsidR="00D92F25" w:rsidRPr="00D92F25" w:rsidRDefault="00D92F25" w:rsidP="00D92F25">
      <w:pPr>
        <w:spacing w:after="0" w:line="240" w:lineRule="auto"/>
        <w:ind w:left="-5" w:right="35"/>
        <w:rPr>
          <w:lang w:val="en-US"/>
        </w:rPr>
      </w:pPr>
      <w:r w:rsidRPr="00D92F25">
        <w:rPr>
          <w:lang w:val="en-US"/>
        </w:rPr>
        <w:t>&lt;</w:t>
      </w:r>
      <w:proofErr w:type="spellStart"/>
      <w:r w:rsidRPr="00D92F25">
        <w:rPr>
          <w:lang w:val="en-US"/>
        </w:rPr>
        <w:t>br</w:t>
      </w:r>
      <w:proofErr w:type="spellEnd"/>
      <w:r w:rsidRPr="00D92F25">
        <w:rPr>
          <w:lang w:val="en-US"/>
        </w:rPr>
        <w:t>&gt;  schema:      https://github.com/chanzuckerberg/single-cell-curation/blob/main/schema/7.0.0/schema.md</w:t>
      </w:r>
    </w:p>
    <w:p w14:paraId="27CFA919" w14:textId="77777777" w:rsidR="00D92F25" w:rsidRPr="00D92F25" w:rsidRDefault="00D92F25" w:rsidP="00D92F25">
      <w:pPr>
        <w:spacing w:after="0" w:line="240" w:lineRule="auto"/>
        <w:ind w:left="-5" w:right="35"/>
        <w:rPr>
          <w:lang w:val="en-US"/>
        </w:rPr>
      </w:pPr>
      <w:r w:rsidRPr="00D92F25">
        <w:rPr>
          <w:lang w:val="en-US"/>
        </w:rPr>
        <w:t>&lt;</w:t>
      </w:r>
      <w:proofErr w:type="spellStart"/>
      <w:r w:rsidRPr="00D92F25">
        <w:rPr>
          <w:lang w:val="en-US"/>
        </w:rPr>
        <w:t>br</w:t>
      </w:r>
      <w:proofErr w:type="spellEnd"/>
      <w:r w:rsidRPr="00D92F25">
        <w:rPr>
          <w:lang w:val="en-US"/>
        </w:rPr>
        <w:t>&gt;  local:       `data/524a8acc-37e5-44fe-aae9-e9a50e07ed24.h5ad`.</w:t>
      </w:r>
    </w:p>
    <w:p w14:paraId="6496F72D" w14:textId="77777777" w:rsidR="00D92F25" w:rsidRPr="00D92F25" w:rsidRDefault="00D92F25" w:rsidP="00D92F25">
      <w:pPr>
        <w:spacing w:after="0" w:line="240" w:lineRule="auto"/>
        <w:ind w:left="-5" w:right="35"/>
      </w:pPr>
      <w:r w:rsidRPr="00D92F25">
        <w:t>&lt;</w:t>
      </w:r>
      <w:proofErr w:type="spellStart"/>
      <w:r w:rsidRPr="00D92F25">
        <w:t>br</w:t>
      </w:r>
      <w:proofErr w:type="spellEnd"/>
      <w:r w:rsidRPr="00D92F25">
        <w:t xml:space="preserve">&gt;** Fichier chargé en **mode 'backed </w:t>
      </w:r>
      <w:proofErr w:type="spellStart"/>
      <w:r w:rsidRPr="00D92F25">
        <w:t>r'</w:t>
      </w:r>
      <w:proofErr w:type="spellEnd"/>
      <w:r w:rsidRPr="00D92F25">
        <w:t>**, qui permet d'effectuer l'</w:t>
      </w:r>
      <w:proofErr w:type="spellStart"/>
      <w:r w:rsidRPr="00D92F25">
        <w:t>Exploratory</w:t>
      </w:r>
      <w:proofErr w:type="spellEnd"/>
      <w:r w:rsidRPr="00D92F25">
        <w:t xml:space="preserve"> Data </w:t>
      </w:r>
      <w:proofErr w:type="spellStart"/>
      <w:r w:rsidRPr="00D92F25">
        <w:t>Analysis</w:t>
      </w:r>
      <w:proofErr w:type="spellEnd"/>
      <w:r w:rsidRPr="00D92F25">
        <w:t xml:space="preserve"> sans saturer la mémoire vive (16 GB de RAM).&lt;/</w:t>
      </w:r>
      <w:proofErr w:type="spellStart"/>
      <w:r w:rsidRPr="00D92F25">
        <w:t>small</w:t>
      </w:r>
      <w:proofErr w:type="spellEnd"/>
      <w:r w:rsidRPr="00D92F25">
        <w:t>&gt;</w:t>
      </w:r>
    </w:p>
    <w:p w14:paraId="02FFA9C6" w14:textId="77777777" w:rsidR="006F24DF" w:rsidRDefault="006F24DF" w:rsidP="00CD1CA8">
      <w:pPr>
        <w:spacing w:after="0" w:line="240" w:lineRule="auto"/>
        <w:ind w:left="-5" w:right="35"/>
      </w:pPr>
    </w:p>
    <w:p w14:paraId="064A2167" w14:textId="77777777" w:rsidR="00D92F25" w:rsidRDefault="00D92F25" w:rsidP="00CD1CA8">
      <w:pPr>
        <w:spacing w:after="0" w:line="240" w:lineRule="auto"/>
        <w:ind w:left="-5" w:right="35"/>
      </w:pPr>
    </w:p>
    <w:p w14:paraId="76240F8E" w14:textId="77777777" w:rsidR="006F24DF" w:rsidRDefault="006F24DF" w:rsidP="00CD1CA8">
      <w:pPr>
        <w:spacing w:after="0" w:line="240" w:lineRule="auto"/>
        <w:ind w:left="-5" w:right="35"/>
      </w:pPr>
    </w:p>
    <w:p w14:paraId="11B4B219" w14:textId="1150EB00" w:rsidR="00121274" w:rsidRDefault="00000000" w:rsidP="00EF78CD">
      <w:pPr>
        <w:spacing w:after="0" w:line="240" w:lineRule="auto"/>
        <w:ind w:left="-5" w:right="35"/>
      </w:pPr>
      <w:r>
        <w:t xml:space="preserve">Les données analysées proviennent de l'Atlas à l'échelle de la population des troubles croisés du cortex préfrontal humain (Lee et al., 2024), une ressource transcriptomique majeure accessible via le portail </w:t>
      </w:r>
      <w:proofErr w:type="spellStart"/>
      <w:r>
        <w:t>CellxGene</w:t>
      </w:r>
      <w:proofErr w:type="spellEnd"/>
      <w:r>
        <w:t xml:space="preserve"> </w:t>
      </w:r>
      <w:proofErr w:type="spellStart"/>
      <w:r>
        <w:t>Census</w:t>
      </w:r>
      <w:proofErr w:type="spellEnd"/>
      <w:r>
        <w:t xml:space="preserve"> (Chan Zuckerberg Initiative). Cet atlas initial profile plus de 6,3 millions de noyaux provenant de 1</w:t>
      </w:r>
      <w:r w:rsidR="00731603">
        <w:t xml:space="preserve"> </w:t>
      </w:r>
      <w:r>
        <w:t xml:space="preserve">494 donneurs post-mortem couvrant 26 diagnostics neuropsychiatriques distincts. Pour cette étude, nous avons extrait une cohorte ciblée et rigoureusement filtrée de 62 800 noyaux provenant de 17 donneurs, incluant 8 patients atteints de la maladie d'Alzheimer (AD), 3 patients atteints de la maladie de Parkinson (PD) et 6 contrôles neurotypiques (CTRL). Cette réduction drastique a été motivée par des contraintes de pureté analytique (exclusion des comorbidités) et des limitations matérielles (RAM disponible). </w:t>
      </w:r>
    </w:p>
    <w:p w14:paraId="5C21337C" w14:textId="5BB859F6" w:rsidR="00121274" w:rsidRDefault="00000000" w:rsidP="00E854FE">
      <w:pPr>
        <w:spacing w:after="0" w:line="240" w:lineRule="auto"/>
        <w:ind w:left="567" w:right="2783"/>
      </w:pPr>
      <w:r>
        <w:rPr>
          <w:rFonts w:ascii="Segoe UI Emoji" w:eastAsia="Segoe UI Emoji" w:hAnsi="Segoe UI Emoji" w:cs="Segoe UI Emoji"/>
          <w:color w:val="666666"/>
          <w:sz w:val="18"/>
        </w:rPr>
        <w:t>⚙️</w:t>
      </w:r>
      <w:r>
        <w:rPr>
          <w:rFonts w:ascii="Century Gothic" w:eastAsia="Century Gothic" w:hAnsi="Century Gothic" w:cs="Century Gothic"/>
          <w:b/>
          <w:color w:val="666666"/>
          <w:sz w:val="18"/>
        </w:rPr>
        <w:t xml:space="preserve"> NOTE TECHNIQUE - Problème de RAM et réduction du dataset </w:t>
      </w:r>
    </w:p>
    <w:p w14:paraId="0622BE35" w14:textId="50B9354B" w:rsidR="00A71389" w:rsidRDefault="007908F6" w:rsidP="00E854FE">
      <w:pPr>
        <w:spacing w:after="0" w:line="240" w:lineRule="auto"/>
        <w:ind w:left="567" w:right="2783" w:hanging="11"/>
        <w:rPr>
          <w:rFonts w:ascii="Century Gothic" w:eastAsia="Century Gothic" w:hAnsi="Century Gothic" w:cs="Century Gothic"/>
          <w:color w:val="666666"/>
          <w:sz w:val="18"/>
        </w:rPr>
      </w:pPr>
      <w:r>
        <w:rPr>
          <w:noProof/>
        </w:rPr>
        <w:drawing>
          <wp:anchor distT="0" distB="0" distL="114300" distR="114300" simplePos="0" relativeHeight="251658240" behindDoc="0" locked="0" layoutInCell="1" allowOverlap="1" wp14:anchorId="6640545C" wp14:editId="6C3E5071">
            <wp:simplePos x="0" y="0"/>
            <wp:positionH relativeFrom="margin">
              <wp:align>right</wp:align>
            </wp:positionH>
            <wp:positionV relativeFrom="paragraph">
              <wp:posOffset>454246</wp:posOffset>
            </wp:positionV>
            <wp:extent cx="1741805" cy="1273175"/>
            <wp:effectExtent l="0" t="0" r="0" b="3175"/>
            <wp:wrapSquare wrapText="bothSides"/>
            <wp:docPr id="165359857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98577" name="Image 1" descr="Une image contenant texte, capture d’écran, Police, nombre&#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1741805" cy="1273175"/>
                    </a:xfrm>
                    <a:prstGeom prst="rect">
                      <a:avLst/>
                    </a:prstGeom>
                  </pic:spPr>
                </pic:pic>
              </a:graphicData>
            </a:graphic>
          </wp:anchor>
        </w:drawing>
      </w:r>
      <w:r>
        <w:rPr>
          <w:rFonts w:ascii="Century Gothic" w:eastAsia="Century Gothic" w:hAnsi="Century Gothic" w:cs="Century Gothic"/>
          <w:color w:val="666666"/>
          <w:sz w:val="18"/>
        </w:rPr>
        <w:t>Le dataset initial (6,3 millions de noyaux, fichier .h5ad de 6,28 GB) dépasse largement les capacités mémoire d'une infrastructure de calcul standard (16-32 GB RAM). Le chargement en mémoire vive des métriques de QC provoquait systématiquement des erreurs</w:t>
      </w:r>
      <w:r w:rsidR="00A71389">
        <w:rPr>
          <w:rFonts w:ascii="Century Gothic" w:eastAsia="Century Gothic" w:hAnsi="Century Gothic" w:cs="Century Gothic"/>
          <w:color w:val="666666"/>
          <w:sz w:val="18"/>
        </w:rPr>
        <w:t xml:space="preserve"> de mémoire</w:t>
      </w:r>
      <w:r>
        <w:rPr>
          <w:rFonts w:ascii="Century Gothic" w:eastAsia="Century Gothic" w:hAnsi="Century Gothic" w:cs="Century Gothic"/>
          <w:color w:val="666666"/>
          <w:sz w:val="18"/>
        </w:rPr>
        <w:t xml:space="preserve">. </w:t>
      </w:r>
    </w:p>
    <w:p w14:paraId="0E5DDFDA" w14:textId="77777777" w:rsidR="00A71389" w:rsidRDefault="00000000" w:rsidP="00E854FE">
      <w:pPr>
        <w:spacing w:after="0" w:line="240" w:lineRule="auto"/>
        <w:ind w:left="567" w:right="2783" w:hanging="11"/>
        <w:rPr>
          <w:rFonts w:ascii="Century Gothic" w:eastAsia="Century Gothic" w:hAnsi="Century Gothic" w:cs="Century Gothic"/>
          <w:color w:val="666666"/>
          <w:sz w:val="18"/>
        </w:rPr>
      </w:pPr>
      <w:r>
        <w:rPr>
          <w:rFonts w:ascii="Century Gothic" w:eastAsia="Century Gothic" w:hAnsi="Century Gothic" w:cs="Century Gothic"/>
          <w:color w:val="666666"/>
          <w:sz w:val="18"/>
        </w:rPr>
        <w:t xml:space="preserve">Stratégie de contournement adoptée : </w:t>
      </w:r>
    </w:p>
    <w:p w14:paraId="30063177" w14:textId="66BE45B3" w:rsidR="00A71389" w:rsidRPr="00C36F5C" w:rsidRDefault="00000000" w:rsidP="00E854FE">
      <w:pPr>
        <w:pStyle w:val="Paragraphedeliste"/>
        <w:numPr>
          <w:ilvl w:val="0"/>
          <w:numId w:val="18"/>
        </w:numPr>
        <w:tabs>
          <w:tab w:val="left" w:pos="851"/>
        </w:tabs>
        <w:spacing w:after="0" w:line="240" w:lineRule="auto"/>
        <w:ind w:left="567" w:right="2783" w:firstLine="0"/>
        <w:rPr>
          <w:rFonts w:ascii="Century Gothic" w:eastAsia="Century Gothic" w:hAnsi="Century Gothic" w:cs="Century Gothic"/>
          <w:color w:val="666666"/>
          <w:sz w:val="18"/>
        </w:rPr>
      </w:pPr>
      <w:r w:rsidRPr="00C36F5C">
        <w:rPr>
          <w:rFonts w:ascii="Century Gothic" w:eastAsia="Century Gothic" w:hAnsi="Century Gothic" w:cs="Century Gothic"/>
          <w:color w:val="666666"/>
          <w:sz w:val="18"/>
        </w:rPr>
        <w:t xml:space="preserve">Exclusion précoce de l'ascendance 'African' (~58% du dataset) pour réduire le fichier à ~2,5 GB, </w:t>
      </w:r>
    </w:p>
    <w:p w14:paraId="13781AB2" w14:textId="29226470" w:rsidR="00DE25CB" w:rsidRDefault="00000000" w:rsidP="00E854FE">
      <w:pPr>
        <w:pStyle w:val="Paragraphedeliste"/>
        <w:numPr>
          <w:ilvl w:val="0"/>
          <w:numId w:val="18"/>
        </w:numPr>
        <w:tabs>
          <w:tab w:val="left" w:pos="851"/>
        </w:tabs>
        <w:spacing w:after="0" w:line="240" w:lineRule="auto"/>
        <w:ind w:left="567" w:right="2783" w:firstLine="0"/>
        <w:rPr>
          <w:rFonts w:ascii="Century Gothic" w:eastAsia="Century Gothic" w:hAnsi="Century Gothic" w:cs="Century Gothic"/>
          <w:color w:val="666666"/>
          <w:sz w:val="18"/>
        </w:rPr>
      </w:pPr>
      <w:r>
        <w:rPr>
          <w:rFonts w:ascii="Century Gothic" w:eastAsia="Century Gothic" w:hAnsi="Century Gothic" w:cs="Century Gothic"/>
          <w:color w:val="666666"/>
          <w:sz w:val="18"/>
        </w:rPr>
        <w:t>Lecture en mode backed ('</w:t>
      </w:r>
      <w:proofErr w:type="spellStart"/>
      <w:r>
        <w:rPr>
          <w:rFonts w:ascii="Century Gothic" w:eastAsia="Century Gothic" w:hAnsi="Century Gothic" w:cs="Century Gothic"/>
          <w:color w:val="666666"/>
          <w:sz w:val="18"/>
        </w:rPr>
        <w:t>r'</w:t>
      </w:r>
      <w:proofErr w:type="spellEnd"/>
      <w:r>
        <w:rPr>
          <w:rFonts w:ascii="Century Gothic" w:eastAsia="Century Gothic" w:hAnsi="Century Gothic" w:cs="Century Gothic"/>
          <w:color w:val="666666"/>
          <w:sz w:val="18"/>
        </w:rPr>
        <w:t xml:space="preserve">) </w:t>
      </w:r>
      <w:r w:rsidR="00DE25CB">
        <w:rPr>
          <w:rFonts w:ascii="Century Gothic" w:eastAsia="Century Gothic" w:hAnsi="Century Gothic" w:cs="Century Gothic"/>
          <w:color w:val="666666"/>
          <w:sz w:val="18"/>
        </w:rPr>
        <w:t>et c</w:t>
      </w:r>
      <w:r>
        <w:rPr>
          <w:rFonts w:ascii="Century Gothic" w:eastAsia="Century Gothic" w:hAnsi="Century Gothic" w:cs="Century Gothic"/>
          <w:color w:val="666666"/>
          <w:sz w:val="18"/>
        </w:rPr>
        <w:t>opie en RAM uniquement après filtrage initial</w:t>
      </w:r>
      <w:r w:rsidR="0079318A">
        <w:rPr>
          <w:rFonts w:ascii="Century Gothic" w:eastAsia="Century Gothic" w:hAnsi="Century Gothic" w:cs="Century Gothic"/>
          <w:color w:val="666666"/>
          <w:sz w:val="18"/>
        </w:rPr>
        <w:t>,</w:t>
      </w:r>
      <w:r w:rsidR="00F056C6" w:rsidRPr="00F056C6">
        <w:rPr>
          <w:rFonts w:ascii="Century Gothic" w:eastAsia="Century Gothic" w:hAnsi="Century Gothic" w:cs="Century Gothic"/>
          <w:color w:val="666666"/>
          <w:sz w:val="18"/>
        </w:rPr>
        <w:t xml:space="preserve"> </w:t>
      </w:r>
      <w:r w:rsidR="00F056C6">
        <w:rPr>
          <w:rFonts w:ascii="Century Gothic" w:eastAsia="Century Gothic" w:hAnsi="Century Gothic" w:cs="Century Gothic"/>
          <w:color w:val="666666"/>
          <w:sz w:val="18"/>
        </w:rPr>
        <w:t>limitant les opérations possibles.</w:t>
      </w:r>
    </w:p>
    <w:p w14:paraId="00C1040D" w14:textId="0A30F6C8" w:rsidR="00121274" w:rsidRDefault="00000000" w:rsidP="00E854FE">
      <w:pPr>
        <w:pStyle w:val="Paragraphedeliste"/>
        <w:numPr>
          <w:ilvl w:val="1"/>
          <w:numId w:val="18"/>
        </w:numPr>
        <w:tabs>
          <w:tab w:val="left" w:pos="851"/>
        </w:tabs>
        <w:spacing w:after="0" w:line="240" w:lineRule="auto"/>
        <w:ind w:left="567" w:right="2783" w:hanging="11"/>
        <w:rPr>
          <w:rFonts w:ascii="Century Gothic" w:eastAsia="Century Gothic" w:hAnsi="Century Gothic" w:cs="Century Gothic"/>
          <w:color w:val="666666"/>
          <w:sz w:val="18"/>
        </w:rPr>
      </w:pPr>
      <w:r>
        <w:rPr>
          <w:rFonts w:ascii="Century Gothic" w:eastAsia="Century Gothic" w:hAnsi="Century Gothic" w:cs="Century Gothic"/>
          <w:color w:val="666666"/>
          <w:sz w:val="18"/>
        </w:rPr>
        <w:t>Cette limitation technique majeure a imposé un sous-échantillonnage massif et constitue un biais méthodologique à discuter (section 4.2).</w:t>
      </w:r>
      <w:r w:rsidRPr="00F056C6">
        <w:rPr>
          <w:rFonts w:ascii="Century Gothic" w:eastAsia="Century Gothic" w:hAnsi="Century Gothic" w:cs="Century Gothic"/>
          <w:color w:val="666666"/>
          <w:sz w:val="18"/>
        </w:rPr>
        <w:t xml:space="preserve"> </w:t>
      </w:r>
    </w:p>
    <w:p w14:paraId="202490AE" w14:textId="5384D0B1" w:rsidR="0021431F" w:rsidRDefault="0021431F" w:rsidP="00B724CB">
      <w:pPr>
        <w:spacing w:after="0" w:line="240" w:lineRule="auto"/>
        <w:ind w:left="0" w:right="35" w:firstLine="0"/>
        <w:jc w:val="right"/>
      </w:pPr>
    </w:p>
    <w:p w14:paraId="59E13D0F" w14:textId="5AD8CDA7" w:rsidR="0021431F" w:rsidRDefault="0021431F" w:rsidP="0021431F">
      <w:pPr>
        <w:spacing w:after="0" w:line="240" w:lineRule="auto"/>
        <w:ind w:left="0" w:right="35" w:firstLine="0"/>
      </w:pPr>
      <w:r w:rsidRPr="0021431F">
        <w:rPr>
          <w:noProof/>
        </w:rPr>
        <w:lastRenderedPageBreak/>
        <w:drawing>
          <wp:inline distT="0" distB="0" distL="0" distR="0" wp14:anchorId="55129BC8" wp14:editId="668A70FF">
            <wp:extent cx="2819550" cy="1510666"/>
            <wp:effectExtent l="0" t="0" r="0" b="0"/>
            <wp:docPr id="4236784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78451" name=""/>
                    <pic:cNvPicPr/>
                  </pic:nvPicPr>
                  <pic:blipFill>
                    <a:blip r:embed="rId13"/>
                    <a:stretch>
                      <a:fillRect/>
                    </a:stretch>
                  </pic:blipFill>
                  <pic:spPr>
                    <a:xfrm>
                      <a:off x="0" y="0"/>
                      <a:ext cx="2819550" cy="1510666"/>
                    </a:xfrm>
                    <a:prstGeom prst="rect">
                      <a:avLst/>
                    </a:prstGeom>
                  </pic:spPr>
                </pic:pic>
              </a:graphicData>
            </a:graphic>
          </wp:inline>
        </w:drawing>
      </w:r>
      <w:r w:rsidR="00507032" w:rsidRPr="00507032">
        <w:rPr>
          <w:noProof/>
        </w:rPr>
        <w:t xml:space="preserve"> </w:t>
      </w:r>
      <w:r w:rsidR="00507032" w:rsidRPr="00507032">
        <w:rPr>
          <w:noProof/>
        </w:rPr>
        <w:drawing>
          <wp:inline distT="0" distB="0" distL="0" distR="0" wp14:anchorId="197CFF6F" wp14:editId="7D46CDC1">
            <wp:extent cx="3092400" cy="1512000"/>
            <wp:effectExtent l="0" t="0" r="0" b="0"/>
            <wp:docPr id="18577179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17927" name=""/>
                    <pic:cNvPicPr/>
                  </pic:nvPicPr>
                  <pic:blipFill>
                    <a:blip r:embed="rId14"/>
                    <a:stretch>
                      <a:fillRect/>
                    </a:stretch>
                  </pic:blipFill>
                  <pic:spPr>
                    <a:xfrm>
                      <a:off x="0" y="0"/>
                      <a:ext cx="3092400" cy="1512000"/>
                    </a:xfrm>
                    <a:prstGeom prst="rect">
                      <a:avLst/>
                    </a:prstGeom>
                  </pic:spPr>
                </pic:pic>
              </a:graphicData>
            </a:graphic>
          </wp:inline>
        </w:drawing>
      </w:r>
    </w:p>
    <w:p w14:paraId="689496D0" w14:textId="7282E527" w:rsidR="0021431F" w:rsidRDefault="0021431F" w:rsidP="0060104C">
      <w:pPr>
        <w:spacing w:after="0" w:line="240" w:lineRule="auto"/>
        <w:ind w:left="0" w:right="35" w:firstLine="0"/>
        <w:rPr>
          <w:noProof/>
        </w:rPr>
      </w:pPr>
      <w:r w:rsidRPr="0021431F">
        <w:rPr>
          <w:noProof/>
        </w:rPr>
        <w:drawing>
          <wp:inline distT="0" distB="0" distL="0" distR="0" wp14:anchorId="782E01EE" wp14:editId="7F6DA865">
            <wp:extent cx="1859270" cy="1143000"/>
            <wp:effectExtent l="0" t="0" r="8255" b="0"/>
            <wp:docPr id="13798676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67641" name=""/>
                    <pic:cNvPicPr/>
                  </pic:nvPicPr>
                  <pic:blipFill>
                    <a:blip r:embed="rId15"/>
                    <a:stretch>
                      <a:fillRect/>
                    </a:stretch>
                  </pic:blipFill>
                  <pic:spPr>
                    <a:xfrm>
                      <a:off x="0" y="0"/>
                      <a:ext cx="1879784" cy="1155611"/>
                    </a:xfrm>
                    <a:prstGeom prst="rect">
                      <a:avLst/>
                    </a:prstGeom>
                  </pic:spPr>
                </pic:pic>
              </a:graphicData>
            </a:graphic>
          </wp:inline>
        </w:drawing>
      </w:r>
      <w:r w:rsidR="00B2261A">
        <w:rPr>
          <w:noProof/>
        </w:rPr>
        <w:drawing>
          <wp:inline distT="0" distB="0" distL="0" distR="0" wp14:anchorId="0E41FCDF" wp14:editId="3FDEBB55">
            <wp:extent cx="2171700" cy="1083115"/>
            <wp:effectExtent l="0" t="0" r="0" b="3175"/>
            <wp:docPr id="395446587" name="Image 1" descr="Une image contenant diagramme, texte, cercl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46587" name="Image 1" descr="Une image contenant diagramme, texte, cercle, capture d’écran&#10;&#10;Le contenu généré par l’IA peut être incorrect."/>
                    <pic:cNvPicPr/>
                  </pic:nvPicPr>
                  <pic:blipFill>
                    <a:blip r:embed="rId16"/>
                    <a:stretch>
                      <a:fillRect/>
                    </a:stretch>
                  </pic:blipFill>
                  <pic:spPr>
                    <a:xfrm>
                      <a:off x="0" y="0"/>
                      <a:ext cx="2213454" cy="1103939"/>
                    </a:xfrm>
                    <a:prstGeom prst="rect">
                      <a:avLst/>
                    </a:prstGeom>
                  </pic:spPr>
                </pic:pic>
              </a:graphicData>
            </a:graphic>
          </wp:inline>
        </w:drawing>
      </w:r>
      <w:r w:rsidR="0043730C" w:rsidRPr="0043730C">
        <w:rPr>
          <w:noProof/>
        </w:rPr>
        <w:drawing>
          <wp:inline distT="0" distB="0" distL="0" distR="0" wp14:anchorId="1B65B7AB" wp14:editId="43A0D71E">
            <wp:extent cx="1842008" cy="1499191"/>
            <wp:effectExtent l="0" t="0" r="6350" b="6350"/>
            <wp:docPr id="956152215" name="Image 1" descr="Une image contenant texte, capture d’écran, nombr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52215" name="Image 1" descr="Une image contenant texte, capture d’écran, nombre, Parallèle&#10;&#10;Le contenu généré par l’IA peut être incorrect."/>
                    <pic:cNvPicPr/>
                  </pic:nvPicPr>
                  <pic:blipFill>
                    <a:blip r:embed="rId17"/>
                    <a:stretch>
                      <a:fillRect/>
                    </a:stretch>
                  </pic:blipFill>
                  <pic:spPr>
                    <a:xfrm>
                      <a:off x="0" y="0"/>
                      <a:ext cx="1860857" cy="1514532"/>
                    </a:xfrm>
                    <a:prstGeom prst="rect">
                      <a:avLst/>
                    </a:prstGeom>
                  </pic:spPr>
                </pic:pic>
              </a:graphicData>
            </a:graphic>
          </wp:inline>
        </w:drawing>
      </w:r>
    </w:p>
    <w:p w14:paraId="7A13E993" w14:textId="6E6F55A3" w:rsidR="00CF00A2" w:rsidRDefault="00CF00A2" w:rsidP="0060104C">
      <w:pPr>
        <w:spacing w:after="0" w:line="240" w:lineRule="auto"/>
        <w:ind w:left="0" w:right="35" w:firstLine="0"/>
        <w:rPr>
          <w:noProof/>
        </w:rPr>
      </w:pPr>
      <w:r w:rsidRPr="00CF00A2">
        <w:rPr>
          <w:noProof/>
        </w:rPr>
        <w:drawing>
          <wp:inline distT="0" distB="0" distL="0" distR="0" wp14:anchorId="788CD719" wp14:editId="0407073C">
            <wp:extent cx="1202400" cy="954000"/>
            <wp:effectExtent l="0" t="0" r="0" b="0"/>
            <wp:docPr id="108810765" name="Image 1" descr="Une image contenant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0765" name="Image 1" descr="Une image contenant texte&#10;&#10;Le contenu généré par l’IA peut être incorrect."/>
                    <pic:cNvPicPr/>
                  </pic:nvPicPr>
                  <pic:blipFill>
                    <a:blip r:embed="rId18"/>
                    <a:stretch>
                      <a:fillRect/>
                    </a:stretch>
                  </pic:blipFill>
                  <pic:spPr>
                    <a:xfrm>
                      <a:off x="0" y="0"/>
                      <a:ext cx="1202400" cy="954000"/>
                    </a:xfrm>
                    <a:prstGeom prst="rect">
                      <a:avLst/>
                    </a:prstGeom>
                  </pic:spPr>
                </pic:pic>
              </a:graphicData>
            </a:graphic>
          </wp:inline>
        </w:drawing>
      </w:r>
      <w:r w:rsidRPr="00CF00A2">
        <w:rPr>
          <w:noProof/>
        </w:rPr>
        <w:t xml:space="preserve"> </w:t>
      </w:r>
      <w:r w:rsidRPr="00CF00A2">
        <w:rPr>
          <w:noProof/>
        </w:rPr>
        <w:drawing>
          <wp:inline distT="0" distB="0" distL="0" distR="0" wp14:anchorId="05B3E5DD" wp14:editId="68BBB476">
            <wp:extent cx="3584673" cy="954800"/>
            <wp:effectExtent l="0" t="0" r="0" b="0"/>
            <wp:docPr id="1605675485"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75485" name="Image 1" descr="Une image contenant texte, capture d’écran&#10;&#10;Le contenu généré par l’IA peut être incorrect."/>
                    <pic:cNvPicPr/>
                  </pic:nvPicPr>
                  <pic:blipFill>
                    <a:blip r:embed="rId19"/>
                    <a:stretch>
                      <a:fillRect/>
                    </a:stretch>
                  </pic:blipFill>
                  <pic:spPr>
                    <a:xfrm>
                      <a:off x="0" y="0"/>
                      <a:ext cx="3633406" cy="967780"/>
                    </a:xfrm>
                    <a:prstGeom prst="rect">
                      <a:avLst/>
                    </a:prstGeom>
                  </pic:spPr>
                </pic:pic>
              </a:graphicData>
            </a:graphic>
          </wp:inline>
        </w:drawing>
      </w:r>
    </w:p>
    <w:p w14:paraId="3D6F7548" w14:textId="027BBD89" w:rsidR="00CF00A2" w:rsidRDefault="00CF00A2" w:rsidP="0060104C">
      <w:pPr>
        <w:spacing w:after="0" w:line="240" w:lineRule="auto"/>
        <w:ind w:left="0" w:right="35" w:firstLine="0"/>
        <w:rPr>
          <w:noProof/>
        </w:rPr>
      </w:pPr>
      <w:r w:rsidRPr="00CF00A2">
        <w:rPr>
          <w:noProof/>
        </w:rPr>
        <w:drawing>
          <wp:inline distT="0" distB="0" distL="0" distR="0" wp14:anchorId="6022D914" wp14:editId="12C3534E">
            <wp:extent cx="1512364" cy="824643"/>
            <wp:effectExtent l="0" t="0" r="0" b="0"/>
            <wp:docPr id="930756547"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56547" name="Image 1" descr="Une image contenant texte, capture d’écran&#10;&#10;Le contenu généré par l’IA peut être incorrect."/>
                    <pic:cNvPicPr/>
                  </pic:nvPicPr>
                  <pic:blipFill>
                    <a:blip r:embed="rId20"/>
                    <a:stretch>
                      <a:fillRect/>
                    </a:stretch>
                  </pic:blipFill>
                  <pic:spPr>
                    <a:xfrm>
                      <a:off x="0" y="0"/>
                      <a:ext cx="1535502" cy="837259"/>
                    </a:xfrm>
                    <a:prstGeom prst="rect">
                      <a:avLst/>
                    </a:prstGeom>
                  </pic:spPr>
                </pic:pic>
              </a:graphicData>
            </a:graphic>
          </wp:inline>
        </w:drawing>
      </w:r>
      <w:r w:rsidRPr="00CF00A2">
        <w:rPr>
          <w:noProof/>
        </w:rPr>
        <w:drawing>
          <wp:inline distT="0" distB="0" distL="0" distR="0" wp14:anchorId="16E793AC" wp14:editId="28CF3B20">
            <wp:extent cx="4266000" cy="954000"/>
            <wp:effectExtent l="0" t="0" r="1270" b="0"/>
            <wp:docPr id="168424491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44914" name="Image 1" descr="Une image contenant texte, capture d’écran, Police&#10;&#10;Le contenu généré par l’IA peut être incorrect."/>
                    <pic:cNvPicPr/>
                  </pic:nvPicPr>
                  <pic:blipFill>
                    <a:blip r:embed="rId21"/>
                    <a:stretch>
                      <a:fillRect/>
                    </a:stretch>
                  </pic:blipFill>
                  <pic:spPr>
                    <a:xfrm>
                      <a:off x="0" y="0"/>
                      <a:ext cx="4266000" cy="954000"/>
                    </a:xfrm>
                    <a:prstGeom prst="rect">
                      <a:avLst/>
                    </a:prstGeom>
                  </pic:spPr>
                </pic:pic>
              </a:graphicData>
            </a:graphic>
          </wp:inline>
        </w:drawing>
      </w:r>
    </w:p>
    <w:p w14:paraId="07C51EB3" w14:textId="77777777" w:rsidR="00121274" w:rsidRDefault="00000000" w:rsidP="00EF78CD">
      <w:pPr>
        <w:pStyle w:val="Titre2"/>
        <w:spacing w:after="0" w:line="240" w:lineRule="auto"/>
        <w:ind w:left="483" w:hanging="498"/>
      </w:pPr>
      <w:r>
        <w:t xml:space="preserve">Question biologique et objectifs </w:t>
      </w:r>
    </w:p>
    <w:p w14:paraId="3D239EE9" w14:textId="60BF8E16" w:rsidR="00121274" w:rsidRDefault="00000000" w:rsidP="00D3421E">
      <w:pPr>
        <w:tabs>
          <w:tab w:val="center" w:pos="1315"/>
          <w:tab w:val="center" w:pos="2887"/>
          <w:tab w:val="center" w:pos="4430"/>
          <w:tab w:val="center" w:pos="5577"/>
          <w:tab w:val="center" w:pos="6446"/>
          <w:tab w:val="center" w:pos="7485"/>
          <w:tab w:val="center" w:pos="8547"/>
          <w:tab w:val="right" w:pos="9447"/>
        </w:tabs>
        <w:spacing w:after="0" w:line="240" w:lineRule="auto"/>
        <w:ind w:left="-15" w:right="0" w:firstLine="0"/>
      </w:pPr>
      <w:r>
        <w:t>La question biologique centrale de ce projet est : « Quelles sont les signatures transcriptomiques cellulaires communes et spécifiques partagées entre la maladie d'Alzheimer (AD) et la maladie de Parkinson (PD) au niveau du cortex préfrontal dorsolatéral, et comment le sexe biologique module-t-il ces signatures ? »</w:t>
      </w:r>
    </w:p>
    <w:p w14:paraId="1A942FA8" w14:textId="77777777" w:rsidR="00121274" w:rsidRDefault="00000000" w:rsidP="00D3421E">
      <w:pPr>
        <w:spacing w:after="0" w:line="240" w:lineRule="auto"/>
        <w:ind w:left="-5" w:right="35"/>
      </w:pPr>
      <w:r>
        <w:t xml:space="preserve">Les objectifs secondaires sont les suivants : </w:t>
      </w:r>
    </w:p>
    <w:p w14:paraId="41F4FFCC" w14:textId="52117E0C" w:rsidR="00121274" w:rsidRDefault="00000000" w:rsidP="00D3421E">
      <w:pPr>
        <w:numPr>
          <w:ilvl w:val="0"/>
          <w:numId w:val="2"/>
        </w:numPr>
        <w:spacing w:after="0" w:line="240" w:lineRule="auto"/>
        <w:ind w:right="35" w:hanging="296"/>
      </w:pPr>
      <w:r>
        <w:t>Identifier et annoter de manière robuste les principaux types cellulaires du DLPFC (neurones, glie) et quantifier leur composition relative dans les groupes pathologiques versus contrôles.</w:t>
      </w:r>
    </w:p>
    <w:p w14:paraId="54088E03" w14:textId="4EFCD89E" w:rsidR="00121274" w:rsidRDefault="00000000" w:rsidP="00D3421E">
      <w:pPr>
        <w:numPr>
          <w:ilvl w:val="0"/>
          <w:numId w:val="2"/>
        </w:numPr>
        <w:spacing w:after="0" w:line="240" w:lineRule="auto"/>
        <w:ind w:right="35" w:hanging="296"/>
      </w:pPr>
      <w:r>
        <w:t>Détecter les gènes différentiellement exprimés (DEGs) dans chaque type cellulaire, en comparant AD vs CTRL et PD vs CTRL, tout en contrôlant les facteurs confondants (sexe, ascendance génétique).</w:t>
      </w:r>
    </w:p>
    <w:p w14:paraId="004E082F" w14:textId="77777777" w:rsidR="00A112C6" w:rsidRDefault="00000000" w:rsidP="00D3421E">
      <w:pPr>
        <w:numPr>
          <w:ilvl w:val="0"/>
          <w:numId w:val="2"/>
        </w:numPr>
        <w:spacing w:after="0" w:line="240" w:lineRule="auto"/>
        <w:ind w:right="35" w:hanging="296"/>
      </w:pPr>
      <w:r>
        <w:t>Caractériser fonctionnellement les signatures identifiées via des analyses d'enrichissement (G</w:t>
      </w:r>
      <w:r w:rsidR="00A112C6">
        <w:t>O</w:t>
      </w:r>
      <w:r>
        <w:t xml:space="preserve">, GSEA) pour interpréter les mécanismes biologiques sous-jacents. </w:t>
      </w:r>
    </w:p>
    <w:p w14:paraId="09D8E3D5" w14:textId="4C9C92EB" w:rsidR="00121274" w:rsidRDefault="00000000" w:rsidP="00D3421E">
      <w:pPr>
        <w:numPr>
          <w:ilvl w:val="0"/>
          <w:numId w:val="2"/>
        </w:numPr>
        <w:spacing w:after="0" w:line="240" w:lineRule="auto"/>
        <w:ind w:right="35" w:hanging="296"/>
      </w:pPr>
      <w:r>
        <w:t>Évaluer la convergence ou la divergence des altérations transcriptomiques entre AD et PD au niveau de types cellulaires spécifiques (notamment microglie, astrocytes, neurones excitateurs).</w:t>
      </w:r>
    </w:p>
    <w:p w14:paraId="60A912EE" w14:textId="77777777" w:rsidR="00121274" w:rsidRDefault="00000000" w:rsidP="00EF78CD">
      <w:pPr>
        <w:pStyle w:val="Titre2"/>
        <w:spacing w:after="0" w:line="240" w:lineRule="auto"/>
        <w:ind w:left="483" w:hanging="498"/>
      </w:pPr>
      <w:r>
        <w:t xml:space="preserve">Approche analytique globale </w:t>
      </w:r>
    </w:p>
    <w:p w14:paraId="27DB9B5B" w14:textId="2EE3C442" w:rsidR="00035065" w:rsidRDefault="00000000" w:rsidP="00EF78CD">
      <w:pPr>
        <w:spacing w:after="0" w:line="240" w:lineRule="auto"/>
        <w:ind w:left="-5" w:right="35"/>
      </w:pPr>
      <w:r>
        <w:t xml:space="preserve">Le pipeline analytique a été structuré en 4 notebooks </w:t>
      </w:r>
      <w:proofErr w:type="spellStart"/>
      <w:r w:rsidRPr="00925035">
        <w:rPr>
          <w:i/>
          <w:iCs/>
        </w:rPr>
        <w:t>Jupyter</w:t>
      </w:r>
      <w:proofErr w:type="spellEnd"/>
      <w:r>
        <w:t xml:space="preserve"> modulaires et séquentiels</w:t>
      </w:r>
      <w:r w:rsidR="00925035">
        <w:t xml:space="preserve"> (</w:t>
      </w:r>
      <w:r w:rsidR="00925035" w:rsidRPr="00925035">
        <w:rPr>
          <w:i/>
          <w:iCs/>
        </w:rPr>
        <w:t>IDE VSCode</w:t>
      </w:r>
      <w:r w:rsidR="00925035">
        <w:t>)</w:t>
      </w:r>
      <w:r>
        <w:t xml:space="preserve">, combinant des outils </w:t>
      </w:r>
      <w:r w:rsidRPr="00B02C2F">
        <w:rPr>
          <w:b/>
          <w:bCs/>
        </w:rPr>
        <w:t>Python</w:t>
      </w:r>
      <w:r>
        <w:t xml:space="preserve"> (</w:t>
      </w:r>
      <w:r w:rsidRPr="00925035">
        <w:rPr>
          <w:i/>
          <w:iCs/>
        </w:rPr>
        <w:t>Scanpy</w:t>
      </w:r>
      <w:r>
        <w:t xml:space="preserve"> pour le prétraitement, clustering et annotation) et </w:t>
      </w:r>
      <w:r w:rsidRPr="00B02C2F">
        <w:rPr>
          <w:b/>
          <w:bCs/>
        </w:rPr>
        <w:t>R</w:t>
      </w:r>
      <w:r>
        <w:t xml:space="preserve"> (</w:t>
      </w:r>
      <w:r w:rsidRPr="00B02C2F">
        <w:rPr>
          <w:i/>
          <w:iCs/>
        </w:rPr>
        <w:t>DESeq2</w:t>
      </w:r>
      <w:r>
        <w:t xml:space="preserve"> pour l'analyse différentielle</w:t>
      </w:r>
      <w:r w:rsidR="00B02C2F">
        <w:t>,</w:t>
      </w:r>
      <w:r>
        <w:t xml:space="preserve"> </w:t>
      </w:r>
      <w:r w:rsidRPr="00B02C2F">
        <w:rPr>
          <w:i/>
          <w:iCs/>
        </w:rPr>
        <w:t>clusterProfiler</w:t>
      </w:r>
      <w:r>
        <w:t xml:space="preserve"> pour l'enrichissement fonctionnel).</w:t>
      </w:r>
    </w:p>
    <w:p w14:paraId="51482946" w14:textId="7709A55E" w:rsidR="00121274" w:rsidRDefault="00000000" w:rsidP="004B5C14">
      <w:pPr>
        <w:spacing w:after="0" w:line="240" w:lineRule="auto"/>
        <w:ind w:left="-5" w:right="35"/>
      </w:pPr>
      <w:r>
        <w:lastRenderedPageBreak/>
        <w:t xml:space="preserve">Le cœur de la stratégie méthodologique repose sur l'approche </w:t>
      </w:r>
      <w:r w:rsidRPr="00CD3FE6">
        <w:rPr>
          <w:b/>
          <w:bCs/>
        </w:rPr>
        <w:t>pseudobulk</w:t>
      </w:r>
      <w:r>
        <w:t xml:space="preserve">, où les comptages de transcrits bruts sont agrégés par donneur et par type cellulaire avant l'analyse différentielle. Cette méthode corrige le problème de </w:t>
      </w:r>
      <w:r w:rsidR="00CD3FE6">
        <w:t>pseudo-réplication</w:t>
      </w:r>
      <w:r>
        <w:t xml:space="preserve"> inhérent aux données single-cell (où les milliers de cellules d'un même donneur ne sont pas des réplicas biologiques </w:t>
      </w:r>
      <w:r w:rsidRPr="004B5C14">
        <w:t>indépendants</w:t>
      </w:r>
      <w:r>
        <w:t>) et permet d'utiliser les méthodes statistiques développées pour le bulk RNA-seq (</w:t>
      </w:r>
      <w:r w:rsidRPr="004B5C14">
        <w:rPr>
          <w:i/>
          <w:iCs/>
        </w:rPr>
        <w:t>DESeq2</w:t>
      </w:r>
      <w:r>
        <w:t xml:space="preserve">, </w:t>
      </w:r>
      <w:r w:rsidRPr="004B5C14">
        <w:rPr>
          <w:i/>
          <w:iCs/>
        </w:rPr>
        <w:t>limma/voom</w:t>
      </w:r>
      <w:r>
        <w:t>).</w:t>
      </w:r>
    </w:p>
    <w:p w14:paraId="218FA655" w14:textId="77777777" w:rsidR="005B7B07" w:rsidRDefault="00000000" w:rsidP="00971218">
      <w:pPr>
        <w:tabs>
          <w:tab w:val="left" w:pos="851"/>
        </w:tabs>
        <w:spacing w:after="0" w:line="240" w:lineRule="auto"/>
        <w:ind w:left="567" w:right="2278"/>
        <w:rPr>
          <w:rFonts w:ascii="Century Gothic" w:eastAsia="Century Gothic" w:hAnsi="Century Gothic" w:cs="Century Gothic"/>
          <w:b/>
          <w:color w:val="1A5490"/>
          <w:sz w:val="18"/>
        </w:rPr>
      </w:pPr>
      <w:r>
        <w:rPr>
          <w:rFonts w:ascii="Segoe UI Emoji" w:eastAsia="Segoe UI Emoji" w:hAnsi="Segoe UI Emoji" w:cs="Segoe UI Emoji"/>
          <w:color w:val="1A5490"/>
          <w:sz w:val="18"/>
        </w:rPr>
        <w:t>📘</w:t>
      </w:r>
      <w:r>
        <w:rPr>
          <w:rFonts w:ascii="Century Gothic" w:eastAsia="Century Gothic" w:hAnsi="Century Gothic" w:cs="Century Gothic"/>
          <w:b/>
          <w:color w:val="1A5490"/>
          <w:sz w:val="18"/>
        </w:rPr>
        <w:t xml:space="preserve"> NOTE PÉDAGOGIQUE - Pipeline modulaire et reproductibilité </w:t>
      </w:r>
    </w:p>
    <w:p w14:paraId="58644316" w14:textId="7B384EC4" w:rsidR="00121274" w:rsidRDefault="00000000" w:rsidP="00971218">
      <w:pPr>
        <w:tabs>
          <w:tab w:val="left" w:pos="851"/>
        </w:tabs>
        <w:spacing w:after="0" w:line="240" w:lineRule="auto"/>
        <w:ind w:left="567" w:right="2278"/>
      </w:pPr>
      <w:r>
        <w:rPr>
          <w:rFonts w:ascii="Century Gothic" w:eastAsia="Century Gothic" w:hAnsi="Century Gothic" w:cs="Century Gothic"/>
          <w:color w:val="1A5490"/>
          <w:sz w:val="18"/>
        </w:rPr>
        <w:t xml:space="preserve">Le projet a été organisé en 4 notebooks </w:t>
      </w:r>
      <w:proofErr w:type="spellStart"/>
      <w:r>
        <w:rPr>
          <w:rFonts w:ascii="Century Gothic" w:eastAsia="Century Gothic" w:hAnsi="Century Gothic" w:cs="Century Gothic"/>
          <w:color w:val="1A5490"/>
          <w:sz w:val="18"/>
        </w:rPr>
        <w:t>Jupyter</w:t>
      </w:r>
      <w:proofErr w:type="spellEnd"/>
      <w:r>
        <w:rPr>
          <w:rFonts w:ascii="Century Gothic" w:eastAsia="Century Gothic" w:hAnsi="Century Gothic" w:cs="Century Gothic"/>
          <w:color w:val="1A5490"/>
          <w:sz w:val="18"/>
        </w:rPr>
        <w:t xml:space="preserve"> successifs</w:t>
      </w:r>
      <w:r w:rsidR="00A642F2">
        <w:rPr>
          <w:rFonts w:ascii="Century Gothic" w:eastAsia="Century Gothic" w:hAnsi="Century Gothic" w:cs="Century Gothic"/>
          <w:color w:val="1A5490"/>
          <w:sz w:val="18"/>
        </w:rPr>
        <w:t xml:space="preserve"> + 1 script R</w:t>
      </w:r>
      <w:r>
        <w:rPr>
          <w:rFonts w:ascii="Century Gothic" w:eastAsia="Century Gothic" w:hAnsi="Century Gothic" w:cs="Century Gothic"/>
          <w:color w:val="1A5490"/>
          <w:sz w:val="18"/>
        </w:rPr>
        <w:t xml:space="preserve"> : </w:t>
      </w:r>
    </w:p>
    <w:p w14:paraId="196E88F9" w14:textId="123DE7B5" w:rsidR="00121274" w:rsidRPr="005B7B07" w:rsidRDefault="005B7B07" w:rsidP="00971218">
      <w:pPr>
        <w:numPr>
          <w:ilvl w:val="0"/>
          <w:numId w:val="3"/>
        </w:numPr>
        <w:tabs>
          <w:tab w:val="left" w:pos="851"/>
        </w:tabs>
        <w:spacing w:after="0" w:line="240" w:lineRule="auto"/>
        <w:ind w:left="567" w:right="0"/>
      </w:pPr>
      <w:r w:rsidRPr="005B7B07">
        <w:rPr>
          <w:rFonts w:ascii="Century Gothic" w:eastAsia="Century Gothic" w:hAnsi="Century Gothic" w:cs="Century Gothic"/>
          <w:color w:val="1A5490"/>
          <w:sz w:val="18"/>
        </w:rPr>
        <w:t>Réduction du</w:t>
      </w:r>
      <w:r>
        <w:rPr>
          <w:rFonts w:ascii="Century Gothic" w:eastAsia="Century Gothic" w:hAnsi="Century Gothic" w:cs="Century Gothic"/>
          <w:color w:val="1A5490"/>
          <w:sz w:val="18"/>
        </w:rPr>
        <w:t xml:space="preserve"> </w:t>
      </w:r>
      <w:r w:rsidRPr="005B7B07">
        <w:rPr>
          <w:rFonts w:ascii="Century Gothic" w:eastAsia="Century Gothic" w:hAnsi="Century Gothic" w:cs="Century Gothic"/>
          <w:color w:val="1A5490"/>
          <w:sz w:val="18"/>
        </w:rPr>
        <w:t xml:space="preserve">dataset : QC cellulaire </w:t>
      </w:r>
      <w:r>
        <w:rPr>
          <w:rFonts w:ascii="Century Gothic" w:eastAsia="Century Gothic" w:hAnsi="Century Gothic" w:cs="Century Gothic"/>
          <w:color w:val="1A5490"/>
          <w:sz w:val="18"/>
        </w:rPr>
        <w:t>+</w:t>
      </w:r>
      <w:r w:rsidRPr="005B7B07">
        <w:rPr>
          <w:rFonts w:ascii="Century Gothic" w:eastAsia="Century Gothic" w:hAnsi="Century Gothic" w:cs="Century Gothic"/>
          <w:color w:val="1A5490"/>
          <w:sz w:val="18"/>
        </w:rPr>
        <w:t xml:space="preserve"> sélection de cohorte → </w:t>
      </w:r>
      <w:proofErr w:type="spellStart"/>
      <w:r w:rsidRPr="00647A77">
        <w:rPr>
          <w:rFonts w:ascii="Century Gothic" w:eastAsia="Century Gothic" w:hAnsi="Century Gothic" w:cs="Century Gothic"/>
          <w:i/>
          <w:iCs/>
          <w:color w:val="1A5490"/>
          <w:sz w:val="18"/>
        </w:rPr>
        <w:t>filtered</w:t>
      </w:r>
      <w:proofErr w:type="spellEnd"/>
      <w:r w:rsidRPr="00647A77">
        <w:rPr>
          <w:rFonts w:ascii="Century Gothic" w:eastAsia="Century Gothic" w:hAnsi="Century Gothic" w:cs="Century Gothic"/>
          <w:i/>
          <w:iCs/>
          <w:color w:val="1A5490"/>
          <w:sz w:val="18"/>
        </w:rPr>
        <w:t xml:space="preserve"> dataset</w:t>
      </w:r>
      <w:r>
        <w:rPr>
          <w:rFonts w:ascii="Century Gothic" w:eastAsia="Century Gothic" w:hAnsi="Century Gothic" w:cs="Century Gothic"/>
          <w:color w:val="1A5490"/>
          <w:sz w:val="18"/>
        </w:rPr>
        <w:t>.</w:t>
      </w:r>
    </w:p>
    <w:p w14:paraId="4089741A" w14:textId="1F2F4F92" w:rsidR="00121274" w:rsidRPr="002434EB" w:rsidRDefault="005B7B07" w:rsidP="00971218">
      <w:pPr>
        <w:numPr>
          <w:ilvl w:val="0"/>
          <w:numId w:val="3"/>
        </w:numPr>
        <w:tabs>
          <w:tab w:val="left" w:pos="851"/>
        </w:tabs>
        <w:spacing w:after="0" w:line="240" w:lineRule="auto"/>
        <w:ind w:left="567" w:right="0"/>
        <w:rPr>
          <w:lang w:val="en-US"/>
        </w:rPr>
      </w:pPr>
      <w:r>
        <w:rPr>
          <w:rFonts w:ascii="Century Gothic" w:eastAsia="Century Gothic" w:hAnsi="Century Gothic" w:cs="Century Gothic"/>
          <w:color w:val="1A5490"/>
          <w:sz w:val="18"/>
          <w:lang w:val="en-US"/>
        </w:rPr>
        <w:t>S</w:t>
      </w:r>
      <w:r w:rsidRPr="002434EB">
        <w:rPr>
          <w:rFonts w:ascii="Century Gothic" w:eastAsia="Century Gothic" w:hAnsi="Century Gothic" w:cs="Century Gothic"/>
          <w:color w:val="1A5490"/>
          <w:sz w:val="18"/>
          <w:lang w:val="en-US"/>
        </w:rPr>
        <w:t>ingle</w:t>
      </w:r>
      <w:r>
        <w:rPr>
          <w:rFonts w:ascii="Century Gothic" w:eastAsia="Century Gothic" w:hAnsi="Century Gothic" w:cs="Century Gothic"/>
          <w:color w:val="1A5490"/>
          <w:sz w:val="18"/>
          <w:lang w:val="en-US"/>
        </w:rPr>
        <w:t xml:space="preserve"> </w:t>
      </w:r>
      <w:r w:rsidRPr="002434EB">
        <w:rPr>
          <w:rFonts w:ascii="Century Gothic" w:eastAsia="Century Gothic" w:hAnsi="Century Gothic" w:cs="Century Gothic"/>
          <w:color w:val="1A5490"/>
          <w:sz w:val="18"/>
          <w:lang w:val="en-US"/>
        </w:rPr>
        <w:t>cell</w:t>
      </w:r>
      <w:r>
        <w:rPr>
          <w:rFonts w:ascii="Century Gothic" w:eastAsia="Century Gothic" w:hAnsi="Century Gothic" w:cs="Century Gothic"/>
          <w:color w:val="1A5490"/>
          <w:sz w:val="18"/>
          <w:lang w:val="en-US"/>
        </w:rPr>
        <w:t xml:space="preserve"> </w:t>
      </w:r>
      <w:r w:rsidRPr="002434EB">
        <w:rPr>
          <w:rFonts w:ascii="Century Gothic" w:eastAsia="Century Gothic" w:hAnsi="Century Gothic" w:cs="Century Gothic"/>
          <w:color w:val="1A5490"/>
          <w:sz w:val="18"/>
          <w:lang w:val="en-US"/>
        </w:rPr>
        <w:t>pipeline</w:t>
      </w:r>
      <w:r>
        <w:rPr>
          <w:rFonts w:ascii="Century Gothic" w:eastAsia="Century Gothic" w:hAnsi="Century Gothic" w:cs="Century Gothic"/>
          <w:color w:val="1A5490"/>
          <w:sz w:val="18"/>
          <w:lang w:val="en-US"/>
        </w:rPr>
        <w:t xml:space="preserve"> </w:t>
      </w:r>
      <w:r w:rsidRPr="002434EB">
        <w:rPr>
          <w:rFonts w:ascii="Century Gothic" w:eastAsia="Century Gothic" w:hAnsi="Century Gothic" w:cs="Century Gothic"/>
          <w:color w:val="1A5490"/>
          <w:sz w:val="18"/>
          <w:lang w:val="en-US"/>
        </w:rPr>
        <w:t xml:space="preserve">: Normalisation </w:t>
      </w:r>
      <w:r>
        <w:rPr>
          <w:rFonts w:ascii="Century Gothic" w:eastAsia="Century Gothic" w:hAnsi="Century Gothic" w:cs="Century Gothic"/>
          <w:color w:val="1A5490"/>
          <w:sz w:val="18"/>
          <w:lang w:val="en-US"/>
        </w:rPr>
        <w:t>+</w:t>
      </w:r>
      <w:r w:rsidRPr="005B7B07">
        <w:rPr>
          <w:rFonts w:ascii="Century Gothic" w:eastAsia="Century Gothic" w:hAnsi="Century Gothic" w:cs="Century Gothic"/>
          <w:color w:val="1A5490"/>
          <w:sz w:val="18"/>
          <w:lang w:val="en-US"/>
        </w:rPr>
        <w:t xml:space="preserve"> </w:t>
      </w:r>
      <w:r w:rsidRPr="002434EB">
        <w:rPr>
          <w:rFonts w:ascii="Century Gothic" w:eastAsia="Century Gothic" w:hAnsi="Century Gothic" w:cs="Century Gothic"/>
          <w:color w:val="1A5490"/>
          <w:sz w:val="18"/>
          <w:lang w:val="en-US"/>
        </w:rPr>
        <w:t xml:space="preserve">HVG </w:t>
      </w:r>
      <w:r>
        <w:rPr>
          <w:rFonts w:ascii="Century Gothic" w:eastAsia="Century Gothic" w:hAnsi="Century Gothic" w:cs="Century Gothic"/>
          <w:color w:val="1A5490"/>
          <w:sz w:val="18"/>
          <w:lang w:val="en-US"/>
        </w:rPr>
        <w:t xml:space="preserve">+ </w:t>
      </w:r>
      <w:r w:rsidRPr="002434EB">
        <w:rPr>
          <w:rFonts w:ascii="Century Gothic" w:eastAsia="Century Gothic" w:hAnsi="Century Gothic" w:cs="Century Gothic"/>
          <w:color w:val="1A5490"/>
          <w:sz w:val="18"/>
          <w:lang w:val="en-US"/>
        </w:rPr>
        <w:t xml:space="preserve">PCA </w:t>
      </w:r>
      <w:r>
        <w:rPr>
          <w:rFonts w:ascii="Century Gothic" w:eastAsia="Century Gothic" w:hAnsi="Century Gothic" w:cs="Century Gothic"/>
          <w:color w:val="1A5490"/>
          <w:sz w:val="18"/>
          <w:lang w:val="en-US"/>
        </w:rPr>
        <w:t>+</w:t>
      </w:r>
      <w:r w:rsidRPr="005B7B07">
        <w:rPr>
          <w:rFonts w:ascii="Century Gothic" w:eastAsia="Century Gothic" w:hAnsi="Century Gothic" w:cs="Century Gothic"/>
          <w:color w:val="1A5490"/>
          <w:sz w:val="18"/>
          <w:lang w:val="en-US"/>
        </w:rPr>
        <w:t xml:space="preserve"> </w:t>
      </w:r>
      <w:r w:rsidRPr="002434EB">
        <w:rPr>
          <w:rFonts w:ascii="Century Gothic" w:eastAsia="Century Gothic" w:hAnsi="Century Gothic" w:cs="Century Gothic"/>
          <w:color w:val="1A5490"/>
          <w:sz w:val="18"/>
          <w:lang w:val="en-US"/>
        </w:rPr>
        <w:t xml:space="preserve">UMAP </w:t>
      </w:r>
      <w:r>
        <w:rPr>
          <w:rFonts w:ascii="Century Gothic" w:eastAsia="Century Gothic" w:hAnsi="Century Gothic" w:cs="Century Gothic"/>
          <w:color w:val="1A5490"/>
          <w:sz w:val="18"/>
          <w:lang w:val="en-US"/>
        </w:rPr>
        <w:t>+</w:t>
      </w:r>
      <w:r w:rsidRPr="005B7B07">
        <w:rPr>
          <w:rFonts w:ascii="Century Gothic" w:eastAsia="Century Gothic" w:hAnsi="Century Gothic" w:cs="Century Gothic"/>
          <w:color w:val="1A5490"/>
          <w:sz w:val="18"/>
          <w:lang w:val="en-US"/>
        </w:rPr>
        <w:t xml:space="preserve"> </w:t>
      </w:r>
      <w:r w:rsidRPr="002434EB">
        <w:rPr>
          <w:rFonts w:ascii="Century Gothic" w:eastAsia="Century Gothic" w:hAnsi="Century Gothic" w:cs="Century Gothic"/>
          <w:color w:val="1A5490"/>
          <w:sz w:val="18"/>
          <w:lang w:val="en-US"/>
        </w:rPr>
        <w:t xml:space="preserve">Leiden → </w:t>
      </w:r>
      <w:r w:rsidRPr="00D87044">
        <w:rPr>
          <w:rFonts w:ascii="Century Gothic" w:eastAsia="Century Gothic" w:hAnsi="Century Gothic" w:cs="Century Gothic"/>
          <w:i/>
          <w:iCs/>
          <w:color w:val="1A5490"/>
          <w:sz w:val="18"/>
          <w:lang w:val="en-US"/>
        </w:rPr>
        <w:t>cleaned dataset</w:t>
      </w:r>
      <w:r>
        <w:rPr>
          <w:rFonts w:ascii="Century Gothic" w:eastAsia="Century Gothic" w:hAnsi="Century Gothic" w:cs="Century Gothic"/>
          <w:color w:val="1A5490"/>
          <w:sz w:val="18"/>
          <w:lang w:val="en-US"/>
        </w:rPr>
        <w:t>.</w:t>
      </w:r>
    </w:p>
    <w:p w14:paraId="7437D366" w14:textId="4885A139" w:rsidR="00121274" w:rsidRPr="002434EB" w:rsidRDefault="005B7B07" w:rsidP="00971218">
      <w:pPr>
        <w:numPr>
          <w:ilvl w:val="0"/>
          <w:numId w:val="3"/>
        </w:numPr>
        <w:tabs>
          <w:tab w:val="left" w:pos="851"/>
        </w:tabs>
        <w:spacing w:after="0" w:line="240" w:lineRule="auto"/>
        <w:ind w:left="567" w:right="0"/>
        <w:rPr>
          <w:lang w:val="en-US"/>
        </w:rPr>
      </w:pPr>
      <w:r>
        <w:rPr>
          <w:rFonts w:ascii="Century Gothic" w:eastAsia="Century Gothic" w:hAnsi="Century Gothic" w:cs="Century Gothic"/>
          <w:color w:val="1A5490"/>
          <w:sz w:val="18"/>
          <w:lang w:val="en-US"/>
        </w:rPr>
        <w:t>A</w:t>
      </w:r>
      <w:r w:rsidRPr="002434EB">
        <w:rPr>
          <w:rFonts w:ascii="Century Gothic" w:eastAsia="Century Gothic" w:hAnsi="Century Gothic" w:cs="Century Gothic"/>
          <w:color w:val="1A5490"/>
          <w:sz w:val="18"/>
          <w:lang w:val="en-US"/>
        </w:rPr>
        <w:t>nnotation</w:t>
      </w:r>
      <w:r>
        <w:rPr>
          <w:rFonts w:ascii="Century Gothic" w:eastAsia="Century Gothic" w:hAnsi="Century Gothic" w:cs="Century Gothic"/>
          <w:color w:val="1A5490"/>
          <w:sz w:val="18"/>
          <w:lang w:val="en-US"/>
        </w:rPr>
        <w:t xml:space="preserve"> des </w:t>
      </w:r>
      <w:r w:rsidR="00EF592E">
        <w:rPr>
          <w:rFonts w:ascii="Century Gothic" w:eastAsia="Century Gothic" w:hAnsi="Century Gothic" w:cs="Century Gothic"/>
          <w:color w:val="1A5490"/>
          <w:sz w:val="18"/>
          <w:lang w:val="en-US"/>
        </w:rPr>
        <w:t>c</w:t>
      </w:r>
      <w:r w:rsidRPr="002434EB">
        <w:rPr>
          <w:rFonts w:ascii="Century Gothic" w:eastAsia="Century Gothic" w:hAnsi="Century Gothic" w:cs="Century Gothic"/>
          <w:color w:val="1A5490"/>
          <w:sz w:val="18"/>
          <w:lang w:val="en-US"/>
        </w:rPr>
        <w:t>ell</w:t>
      </w:r>
      <w:r>
        <w:rPr>
          <w:rFonts w:ascii="Century Gothic" w:eastAsia="Century Gothic" w:hAnsi="Century Gothic" w:cs="Century Gothic"/>
          <w:color w:val="1A5490"/>
          <w:sz w:val="18"/>
          <w:lang w:val="en-US"/>
        </w:rPr>
        <w:t xml:space="preserve"> </w:t>
      </w:r>
      <w:r w:rsidRPr="002434EB">
        <w:rPr>
          <w:rFonts w:ascii="Century Gothic" w:eastAsia="Century Gothic" w:hAnsi="Century Gothic" w:cs="Century Gothic"/>
          <w:color w:val="1A5490"/>
          <w:sz w:val="18"/>
          <w:lang w:val="en-US"/>
        </w:rPr>
        <w:t>type</w:t>
      </w:r>
      <w:r w:rsidR="00EF592E">
        <w:rPr>
          <w:rFonts w:ascii="Century Gothic" w:eastAsia="Century Gothic" w:hAnsi="Century Gothic" w:cs="Century Gothic"/>
          <w:color w:val="1A5490"/>
          <w:sz w:val="18"/>
          <w:lang w:val="en-US"/>
        </w:rPr>
        <w:t>s</w:t>
      </w:r>
      <w:r>
        <w:rPr>
          <w:rFonts w:ascii="Century Gothic" w:eastAsia="Century Gothic" w:hAnsi="Century Gothic" w:cs="Century Gothic"/>
          <w:color w:val="1A5490"/>
          <w:sz w:val="18"/>
          <w:lang w:val="en-US"/>
        </w:rPr>
        <w:t xml:space="preserve"> </w:t>
      </w:r>
      <w:r w:rsidRPr="002434EB">
        <w:rPr>
          <w:rFonts w:ascii="Century Gothic" w:eastAsia="Century Gothic" w:hAnsi="Century Gothic" w:cs="Century Gothic"/>
          <w:color w:val="1A5490"/>
          <w:sz w:val="18"/>
          <w:lang w:val="en-US"/>
        </w:rPr>
        <w:t xml:space="preserve">: Annotation </w:t>
      </w:r>
      <w:proofErr w:type="spellStart"/>
      <w:r w:rsidR="00EF592E">
        <w:rPr>
          <w:rFonts w:ascii="Century Gothic" w:eastAsia="Century Gothic" w:hAnsi="Century Gothic" w:cs="Century Gothic"/>
          <w:color w:val="1A5490"/>
          <w:sz w:val="18"/>
          <w:lang w:val="en-US"/>
        </w:rPr>
        <w:t>manuelle</w:t>
      </w:r>
      <w:proofErr w:type="spellEnd"/>
      <w:r w:rsidR="00EF592E">
        <w:rPr>
          <w:rFonts w:ascii="Century Gothic" w:eastAsia="Century Gothic" w:hAnsi="Century Gothic" w:cs="Century Gothic"/>
          <w:color w:val="1A5490"/>
          <w:sz w:val="18"/>
          <w:lang w:val="en-US"/>
        </w:rPr>
        <w:t xml:space="preserve"> </w:t>
      </w:r>
      <w:r w:rsidRPr="002434EB">
        <w:rPr>
          <w:rFonts w:ascii="Century Gothic" w:eastAsia="Century Gothic" w:hAnsi="Century Gothic" w:cs="Century Gothic"/>
          <w:color w:val="1A5490"/>
          <w:sz w:val="18"/>
          <w:lang w:val="en-US"/>
        </w:rPr>
        <w:t>23 clusters</w:t>
      </w:r>
      <w:r w:rsidR="00EF592E">
        <w:rPr>
          <w:rFonts w:ascii="Century Gothic" w:eastAsia="Century Gothic" w:hAnsi="Century Gothic" w:cs="Century Gothic"/>
          <w:color w:val="1A5490"/>
          <w:sz w:val="18"/>
          <w:lang w:val="en-US"/>
        </w:rPr>
        <w:t>/</w:t>
      </w:r>
      <w:r w:rsidRPr="002434EB">
        <w:rPr>
          <w:rFonts w:ascii="Century Gothic" w:eastAsia="Century Gothic" w:hAnsi="Century Gothic" w:cs="Century Gothic"/>
          <w:color w:val="1A5490"/>
          <w:sz w:val="18"/>
          <w:lang w:val="en-US"/>
        </w:rPr>
        <w:t xml:space="preserve">8 macro-types → </w:t>
      </w:r>
      <w:r w:rsidRPr="00D87044">
        <w:rPr>
          <w:rFonts w:ascii="Century Gothic" w:eastAsia="Century Gothic" w:hAnsi="Century Gothic" w:cs="Century Gothic"/>
          <w:i/>
          <w:iCs/>
          <w:color w:val="1A5490"/>
          <w:sz w:val="18"/>
          <w:lang w:val="en-US"/>
        </w:rPr>
        <w:t>annotated</w:t>
      </w:r>
      <w:r w:rsidR="0006416F" w:rsidRPr="00D87044">
        <w:rPr>
          <w:rFonts w:ascii="Century Gothic" w:eastAsia="Century Gothic" w:hAnsi="Century Gothic" w:cs="Century Gothic"/>
          <w:i/>
          <w:iCs/>
          <w:color w:val="1A5490"/>
          <w:sz w:val="18"/>
          <w:lang w:val="en-US"/>
        </w:rPr>
        <w:t xml:space="preserve"> </w:t>
      </w:r>
      <w:r w:rsidR="00EF592E" w:rsidRPr="00D87044">
        <w:rPr>
          <w:rFonts w:ascii="Century Gothic" w:eastAsia="Century Gothic" w:hAnsi="Century Gothic" w:cs="Century Gothic"/>
          <w:i/>
          <w:iCs/>
          <w:color w:val="1A5490"/>
          <w:sz w:val="18"/>
          <w:lang w:val="en-US"/>
        </w:rPr>
        <w:t>dataset</w:t>
      </w:r>
      <w:r w:rsidR="00EF592E">
        <w:rPr>
          <w:rFonts w:ascii="Century Gothic" w:eastAsia="Century Gothic" w:hAnsi="Century Gothic" w:cs="Century Gothic"/>
          <w:color w:val="1A5490"/>
          <w:sz w:val="18"/>
          <w:lang w:val="en-US"/>
        </w:rPr>
        <w:t>.</w:t>
      </w:r>
    </w:p>
    <w:p w14:paraId="1CB5D49C" w14:textId="42D51F0D" w:rsidR="00121274" w:rsidRDefault="00105EEC" w:rsidP="00971218">
      <w:pPr>
        <w:numPr>
          <w:ilvl w:val="0"/>
          <w:numId w:val="3"/>
        </w:numPr>
        <w:tabs>
          <w:tab w:val="left" w:pos="851"/>
        </w:tabs>
        <w:spacing w:after="0" w:line="240" w:lineRule="auto"/>
        <w:ind w:left="567" w:right="0"/>
      </w:pPr>
      <w:r>
        <w:rPr>
          <w:rFonts w:ascii="Century Gothic" w:eastAsia="Century Gothic" w:hAnsi="Century Gothic" w:cs="Century Gothic"/>
          <w:color w:val="1A5490"/>
          <w:sz w:val="18"/>
        </w:rPr>
        <w:t>Préparation pour R : Agrégation pseudobulk + filtre</w:t>
      </w:r>
      <w:r w:rsidR="003957C3">
        <w:rPr>
          <w:rFonts w:ascii="Century Gothic" w:eastAsia="Century Gothic" w:hAnsi="Century Gothic" w:cs="Century Gothic"/>
          <w:color w:val="1A5490"/>
          <w:sz w:val="18"/>
        </w:rPr>
        <w:t xml:space="preserve"> «</w:t>
      </w:r>
      <w:r w:rsidR="003957C3" w:rsidRPr="003957C3">
        <w:rPr>
          <w:rFonts w:ascii="Century Gothic" w:eastAsia="Century Gothic" w:hAnsi="Century Gothic" w:cs="Century Gothic"/>
          <w:color w:val="1A5490"/>
          <w:sz w:val="18"/>
        </w:rPr>
        <w:t>Low-Expression</w:t>
      </w:r>
      <w:r w:rsidR="003957C3">
        <w:rPr>
          <w:rFonts w:ascii="Century Gothic" w:eastAsia="Century Gothic" w:hAnsi="Century Gothic" w:cs="Century Gothic"/>
          <w:color w:val="1A5490"/>
          <w:sz w:val="18"/>
        </w:rPr>
        <w:t>»</w:t>
      </w:r>
      <w:r>
        <w:rPr>
          <w:rFonts w:ascii="Century Gothic" w:eastAsia="Century Gothic" w:hAnsi="Century Gothic" w:cs="Century Gothic"/>
          <w:color w:val="1A5490"/>
          <w:sz w:val="18"/>
        </w:rPr>
        <w:t xml:space="preserve"> → </w:t>
      </w:r>
      <w:r w:rsidRPr="00105EEC">
        <w:rPr>
          <w:rFonts w:ascii="Century Gothic" w:eastAsia="Century Gothic" w:hAnsi="Century Gothic" w:cs="Century Gothic"/>
          <w:i/>
          <w:iCs/>
          <w:color w:val="1A5490"/>
          <w:sz w:val="18"/>
        </w:rPr>
        <w:t>exports CSV pour R</w:t>
      </w:r>
      <w:r>
        <w:rPr>
          <w:rFonts w:ascii="Century Gothic" w:eastAsia="Century Gothic" w:hAnsi="Century Gothic" w:cs="Century Gothic"/>
          <w:color w:val="1A5490"/>
          <w:sz w:val="18"/>
        </w:rPr>
        <w:t xml:space="preserve"> </w:t>
      </w:r>
    </w:p>
    <w:p w14:paraId="03D29168" w14:textId="77777777" w:rsidR="00014355" w:rsidRPr="00014355" w:rsidRDefault="00014355" w:rsidP="00971218">
      <w:pPr>
        <w:numPr>
          <w:ilvl w:val="0"/>
          <w:numId w:val="3"/>
        </w:numPr>
        <w:tabs>
          <w:tab w:val="left" w:pos="851"/>
        </w:tabs>
        <w:spacing w:after="0" w:line="240" w:lineRule="auto"/>
        <w:ind w:left="567" w:right="0"/>
        <w:rPr>
          <w:rFonts w:ascii="Century Gothic" w:eastAsia="Century Gothic" w:hAnsi="Century Gothic" w:cs="Century Gothic"/>
          <w:color w:val="1A5490"/>
          <w:sz w:val="18"/>
        </w:rPr>
      </w:pPr>
      <w:r w:rsidRPr="00014355">
        <w:rPr>
          <w:rFonts w:ascii="Century Gothic" w:eastAsia="Century Gothic" w:hAnsi="Century Gothic" w:cs="Century Gothic"/>
          <w:color w:val="1A5490"/>
          <w:sz w:val="18"/>
        </w:rPr>
        <w:t xml:space="preserve">R : Analyse différentielle (Limma-Voom) + Enrichissement fonctionnel (GSEA/ORA) → </w:t>
      </w:r>
      <w:r w:rsidRPr="00971218">
        <w:rPr>
          <w:rFonts w:ascii="Century Gothic" w:eastAsia="Century Gothic" w:hAnsi="Century Gothic" w:cs="Century Gothic"/>
          <w:i/>
          <w:iCs/>
          <w:color w:val="1A5490"/>
          <w:sz w:val="18"/>
        </w:rPr>
        <w:t>Résultats biologiques finaux</w:t>
      </w:r>
      <w:r w:rsidRPr="00014355">
        <w:rPr>
          <w:rFonts w:ascii="Century Gothic" w:eastAsia="Century Gothic" w:hAnsi="Century Gothic" w:cs="Century Gothic"/>
          <w:color w:val="1A5490"/>
          <w:sz w:val="18"/>
        </w:rPr>
        <w:t>.</w:t>
      </w:r>
    </w:p>
    <w:p w14:paraId="4361B5DA" w14:textId="4A56ED18" w:rsidR="00121274" w:rsidRDefault="00000000" w:rsidP="00971218">
      <w:pPr>
        <w:tabs>
          <w:tab w:val="left" w:pos="851"/>
        </w:tabs>
        <w:spacing w:after="0" w:line="240" w:lineRule="auto"/>
        <w:ind w:left="567" w:right="21"/>
      </w:pPr>
      <w:r>
        <w:rPr>
          <w:rFonts w:ascii="Century Gothic" w:eastAsia="Century Gothic" w:hAnsi="Century Gothic" w:cs="Century Gothic"/>
          <w:color w:val="1A5490"/>
          <w:sz w:val="18"/>
        </w:rPr>
        <w:t>Chaque notebook prend en entrée le fichier .h5ad de l'étape précédente, effectue une transformation précise, et exporte un nouveau fichier pour l'étape suivante. Analogie : Une chaîne de montage automobile où chaque station (QC, peinture, assemblage) effectue une tâche spécialisée avant de passer le produit à la station suivante. Cette modularité garantit la reproductibilité, facilite le débogage et permet de relancer le pipeline à partir de n'importe quelle étape intermédiaire.</w:t>
      </w:r>
      <w:r>
        <w:t xml:space="preserve"> </w:t>
      </w:r>
    </w:p>
    <w:p w14:paraId="168A33D4" w14:textId="77777777" w:rsidR="00121274" w:rsidRDefault="00000000" w:rsidP="00EF78CD">
      <w:pPr>
        <w:pStyle w:val="Titre1"/>
        <w:spacing w:after="0" w:line="240" w:lineRule="auto"/>
        <w:ind w:left="305" w:hanging="320"/>
      </w:pPr>
      <w:r>
        <w:t xml:space="preserve">Matériel et Méthodes </w:t>
      </w:r>
    </w:p>
    <w:p w14:paraId="6D32DEC0" w14:textId="77777777" w:rsidR="00047AE1" w:rsidRDefault="00047AE1" w:rsidP="00047AE1"/>
    <w:p w14:paraId="12BD9E96" w14:textId="77777777" w:rsidR="00047AE1" w:rsidRPr="00047AE1" w:rsidRDefault="00047AE1" w:rsidP="00047AE1">
      <w:pPr>
        <w:numPr>
          <w:ilvl w:val="0"/>
          <w:numId w:val="17"/>
        </w:numPr>
        <w:tabs>
          <w:tab w:val="num" w:pos="360"/>
        </w:tabs>
        <w:rPr>
          <w:b/>
          <w:bCs/>
        </w:rPr>
      </w:pPr>
      <w:r w:rsidRPr="00047AE1">
        <w:rPr>
          <w:b/>
          <w:bCs/>
        </w:rPr>
        <w:t>Note méthodologique — Construction et usage du dictionnaire de métadonnées (cohorte HBCC)</w:t>
      </w:r>
    </w:p>
    <w:p w14:paraId="0F79904D" w14:textId="77777777" w:rsidR="00047AE1" w:rsidRPr="00047AE1" w:rsidRDefault="00047AE1" w:rsidP="00047AE1">
      <w:pPr>
        <w:numPr>
          <w:ilvl w:val="0"/>
          <w:numId w:val="17"/>
        </w:numPr>
        <w:tabs>
          <w:tab w:val="num" w:pos="360"/>
        </w:tabs>
        <w:rPr>
          <w:b/>
          <w:bCs/>
        </w:rPr>
      </w:pPr>
      <w:r w:rsidRPr="00047AE1">
        <w:rPr>
          <w:b/>
          <w:bCs/>
        </w:rPr>
        <w:t>1. Objectif du dictionnaire de métadonnées</w:t>
      </w:r>
    </w:p>
    <w:p w14:paraId="45A1891A" w14:textId="77777777" w:rsidR="00047AE1" w:rsidRPr="00047AE1" w:rsidRDefault="00047AE1" w:rsidP="00047AE1">
      <w:r w:rsidRPr="00047AE1">
        <w:t>Un dictionnaire de métadonnées a été construit afin de :</w:t>
      </w:r>
    </w:p>
    <w:p w14:paraId="61158DF3" w14:textId="77777777" w:rsidR="00047AE1" w:rsidRPr="00047AE1" w:rsidRDefault="00047AE1" w:rsidP="00047AE1">
      <w:pPr>
        <w:numPr>
          <w:ilvl w:val="0"/>
          <w:numId w:val="32"/>
        </w:numPr>
      </w:pPr>
      <w:r w:rsidRPr="00047AE1">
        <w:t xml:space="preserve">documenter </w:t>
      </w:r>
      <w:r w:rsidRPr="00047AE1">
        <w:rPr>
          <w:b/>
          <w:bCs/>
        </w:rPr>
        <w:t>explicitement</w:t>
      </w:r>
      <w:r w:rsidRPr="00047AE1">
        <w:t xml:space="preserve"> les champs disponibles dans le fichier </w:t>
      </w:r>
      <w:proofErr w:type="spellStart"/>
      <w:r w:rsidRPr="00047AE1">
        <w:t>AnnData</w:t>
      </w:r>
      <w:proofErr w:type="spellEnd"/>
      <w:r w:rsidRPr="00047AE1">
        <w:t xml:space="preserve"> (.h5ad) de la cohorte HBCC ;</w:t>
      </w:r>
    </w:p>
    <w:p w14:paraId="12F38583" w14:textId="77777777" w:rsidR="00047AE1" w:rsidRPr="00047AE1" w:rsidRDefault="00047AE1" w:rsidP="00047AE1">
      <w:pPr>
        <w:numPr>
          <w:ilvl w:val="0"/>
          <w:numId w:val="32"/>
        </w:numPr>
      </w:pPr>
      <w:r w:rsidRPr="00047AE1">
        <w:t>relier chaque métadonnée :</w:t>
      </w:r>
    </w:p>
    <w:p w14:paraId="2355AB16" w14:textId="77777777" w:rsidR="00047AE1" w:rsidRPr="00047AE1" w:rsidRDefault="00047AE1" w:rsidP="00047AE1">
      <w:pPr>
        <w:numPr>
          <w:ilvl w:val="1"/>
          <w:numId w:val="32"/>
        </w:numPr>
      </w:pPr>
      <w:r w:rsidRPr="00047AE1">
        <w:t xml:space="preserve">à </w:t>
      </w:r>
      <w:r w:rsidRPr="00047AE1">
        <w:rPr>
          <w:b/>
          <w:bCs/>
        </w:rPr>
        <w:t>l’objet biologique concerné</w:t>
      </w:r>
      <w:r w:rsidRPr="00047AE1">
        <w:t xml:space="preserve"> (donneur, cellule, gène, technique),</w:t>
      </w:r>
    </w:p>
    <w:p w14:paraId="2891432F" w14:textId="77777777" w:rsidR="00047AE1" w:rsidRPr="00047AE1" w:rsidRDefault="00047AE1" w:rsidP="00047AE1">
      <w:pPr>
        <w:numPr>
          <w:ilvl w:val="1"/>
          <w:numId w:val="32"/>
        </w:numPr>
      </w:pPr>
      <w:r w:rsidRPr="00047AE1">
        <w:t xml:space="preserve">à </w:t>
      </w:r>
      <w:r w:rsidRPr="00047AE1">
        <w:rPr>
          <w:b/>
          <w:bCs/>
        </w:rPr>
        <w:t>l’étape du pipeline d’analyse single-cell</w:t>
      </w:r>
      <w:r w:rsidRPr="00047AE1">
        <w:t xml:space="preserve"> dans laquelle elle est utilisée ;</w:t>
      </w:r>
    </w:p>
    <w:p w14:paraId="67CB33E5" w14:textId="77777777" w:rsidR="00047AE1" w:rsidRPr="00047AE1" w:rsidRDefault="00047AE1" w:rsidP="00047AE1">
      <w:pPr>
        <w:numPr>
          <w:ilvl w:val="0"/>
          <w:numId w:val="32"/>
        </w:numPr>
      </w:pPr>
      <w:r w:rsidRPr="00047AE1">
        <w:t xml:space="preserve">garantir la </w:t>
      </w:r>
      <w:r w:rsidRPr="00047AE1">
        <w:rPr>
          <w:b/>
          <w:bCs/>
        </w:rPr>
        <w:t>traçabilité méthodologique</w:t>
      </w:r>
      <w:r w:rsidRPr="00047AE1">
        <w:t xml:space="preserve"> entre les données brutes, l’EDA, les choix analytiques et le rapport final.</w:t>
      </w:r>
    </w:p>
    <w:p w14:paraId="7992BF84" w14:textId="77777777" w:rsidR="00047AE1" w:rsidRPr="00047AE1" w:rsidRDefault="00047AE1" w:rsidP="00047AE1">
      <w:r w:rsidRPr="00047AE1">
        <w:t xml:space="preserve">Ce dictionnaire constitue une </w:t>
      </w:r>
      <w:r w:rsidRPr="00047AE1">
        <w:rPr>
          <w:b/>
          <w:bCs/>
        </w:rPr>
        <w:t>couche explicative indépendante du code</w:t>
      </w:r>
      <w:r w:rsidRPr="00047AE1">
        <w:t xml:space="preserve">, permettant de comprendre </w:t>
      </w:r>
      <w:r w:rsidRPr="00047AE1">
        <w:rPr>
          <w:i/>
          <w:iCs/>
        </w:rPr>
        <w:t>quoi est utilisé, quand, et pourquoi</w:t>
      </w:r>
      <w:r w:rsidRPr="00047AE1">
        <w:t>.</w:t>
      </w:r>
    </w:p>
    <w:p w14:paraId="0DCA174E" w14:textId="77777777" w:rsidR="00047AE1" w:rsidRPr="00047AE1" w:rsidRDefault="00000000" w:rsidP="00047AE1">
      <w:r>
        <w:pict w14:anchorId="669E7BC1">
          <v:rect id="_x0000_i1025" style="width:0;height:1.5pt" o:hralign="center" o:hrstd="t" o:hr="t" fillcolor="#a0a0a0" stroked="f"/>
        </w:pict>
      </w:r>
    </w:p>
    <w:p w14:paraId="1CECB1A0" w14:textId="77777777" w:rsidR="00047AE1" w:rsidRPr="00047AE1" w:rsidRDefault="00047AE1" w:rsidP="00047AE1">
      <w:pPr>
        <w:numPr>
          <w:ilvl w:val="0"/>
          <w:numId w:val="17"/>
        </w:numPr>
        <w:tabs>
          <w:tab w:val="num" w:pos="360"/>
        </w:tabs>
        <w:rPr>
          <w:b/>
          <w:bCs/>
        </w:rPr>
      </w:pPr>
      <w:r w:rsidRPr="00047AE1">
        <w:rPr>
          <w:b/>
          <w:bCs/>
        </w:rPr>
        <w:t>2. Principe fondamental : alignement strict avec le dataset réel</w:t>
      </w:r>
    </w:p>
    <w:p w14:paraId="3F6719FF" w14:textId="77777777" w:rsidR="00047AE1" w:rsidRPr="00047AE1" w:rsidRDefault="00047AE1" w:rsidP="00047AE1">
      <w:r w:rsidRPr="00047AE1">
        <w:t xml:space="preserve">Le dictionnaire est </w:t>
      </w:r>
      <w:r w:rsidRPr="00047AE1">
        <w:rPr>
          <w:b/>
          <w:bCs/>
        </w:rPr>
        <w:t>strictement aligné</w:t>
      </w:r>
      <w:r w:rsidRPr="00047AE1">
        <w:t xml:space="preserve"> sur les colonnes réellement présentes dans </w:t>
      </w:r>
      <w:proofErr w:type="spellStart"/>
      <w:r w:rsidRPr="00047AE1">
        <w:t>adata.obs</w:t>
      </w:r>
      <w:proofErr w:type="spellEnd"/>
      <w:r w:rsidRPr="00047AE1">
        <w:t xml:space="preserve"> et </w:t>
      </w:r>
      <w:proofErr w:type="spellStart"/>
      <w:r w:rsidRPr="00047AE1">
        <w:t>adata.var</w:t>
      </w:r>
      <w:proofErr w:type="spellEnd"/>
      <w:r w:rsidRPr="00047AE1">
        <w:t>.</w:t>
      </w:r>
    </w:p>
    <w:p w14:paraId="715D216D" w14:textId="77777777" w:rsidR="00047AE1" w:rsidRPr="00047AE1" w:rsidRDefault="00047AE1" w:rsidP="00047AE1">
      <w:pPr>
        <w:numPr>
          <w:ilvl w:val="0"/>
          <w:numId w:val="33"/>
        </w:numPr>
      </w:pPr>
      <w:r w:rsidRPr="00047AE1">
        <w:t>Aucune variable n’a été inventée.</w:t>
      </w:r>
    </w:p>
    <w:p w14:paraId="1CD851FA" w14:textId="77777777" w:rsidR="00047AE1" w:rsidRPr="00047AE1" w:rsidRDefault="00047AE1" w:rsidP="00047AE1">
      <w:pPr>
        <w:numPr>
          <w:ilvl w:val="0"/>
          <w:numId w:val="33"/>
        </w:numPr>
      </w:pPr>
      <w:r w:rsidRPr="00047AE1">
        <w:t>Aucune variable absente du dataset n’a été ajoutée “par plausibilité clinique”.</w:t>
      </w:r>
    </w:p>
    <w:p w14:paraId="31CDB591" w14:textId="77777777" w:rsidR="00047AE1" w:rsidRPr="00047AE1" w:rsidRDefault="00047AE1" w:rsidP="00047AE1">
      <w:pPr>
        <w:numPr>
          <w:ilvl w:val="0"/>
          <w:numId w:val="33"/>
        </w:numPr>
      </w:pPr>
      <w:r w:rsidRPr="00047AE1">
        <w:t>Une étape de vérification automatique compare :</w:t>
      </w:r>
    </w:p>
    <w:p w14:paraId="3BBB5C09" w14:textId="77777777" w:rsidR="00047AE1" w:rsidRPr="00047AE1" w:rsidRDefault="00047AE1" w:rsidP="00047AE1">
      <w:pPr>
        <w:numPr>
          <w:ilvl w:val="1"/>
          <w:numId w:val="33"/>
        </w:numPr>
      </w:pPr>
      <w:r w:rsidRPr="00047AE1">
        <w:t xml:space="preserve">les colonnes de </w:t>
      </w:r>
      <w:proofErr w:type="spellStart"/>
      <w:r w:rsidRPr="00047AE1">
        <w:t>adata.obs</w:t>
      </w:r>
      <w:proofErr w:type="spellEnd"/>
      <w:r w:rsidRPr="00047AE1">
        <w:t>,</w:t>
      </w:r>
    </w:p>
    <w:p w14:paraId="1DC68F60" w14:textId="77777777" w:rsidR="00047AE1" w:rsidRPr="00047AE1" w:rsidRDefault="00047AE1" w:rsidP="00047AE1">
      <w:pPr>
        <w:numPr>
          <w:ilvl w:val="1"/>
          <w:numId w:val="33"/>
        </w:numPr>
      </w:pPr>
      <w:r w:rsidRPr="00047AE1">
        <w:t>les champs documentés dans le dictionnaire JSON,</w:t>
      </w:r>
      <w:r w:rsidRPr="00047AE1">
        <w:br/>
        <w:t>afin d’identifier les colonnes présentes mais non documentées.</w:t>
      </w:r>
    </w:p>
    <w:p w14:paraId="65772200" w14:textId="77777777" w:rsidR="00047AE1" w:rsidRPr="00047AE1" w:rsidRDefault="00047AE1" w:rsidP="00047AE1">
      <w:r w:rsidRPr="00047AE1">
        <w:t>Ce choix garantit :</w:t>
      </w:r>
    </w:p>
    <w:p w14:paraId="266048D2" w14:textId="77777777" w:rsidR="00047AE1" w:rsidRPr="00047AE1" w:rsidRDefault="00047AE1" w:rsidP="00047AE1">
      <w:pPr>
        <w:numPr>
          <w:ilvl w:val="0"/>
          <w:numId w:val="34"/>
        </w:numPr>
      </w:pPr>
      <w:r w:rsidRPr="00047AE1">
        <w:t>la reproductibilité,</w:t>
      </w:r>
    </w:p>
    <w:p w14:paraId="56D66C91" w14:textId="77777777" w:rsidR="00047AE1" w:rsidRPr="00047AE1" w:rsidRDefault="00047AE1" w:rsidP="00047AE1">
      <w:pPr>
        <w:numPr>
          <w:ilvl w:val="0"/>
          <w:numId w:val="34"/>
        </w:numPr>
      </w:pPr>
      <w:r w:rsidRPr="00047AE1">
        <w:t>l’absence de biais lié à des hypothèses externes,</w:t>
      </w:r>
    </w:p>
    <w:p w14:paraId="7B0FCD11" w14:textId="77777777" w:rsidR="00047AE1" w:rsidRPr="00047AE1" w:rsidRDefault="00047AE1" w:rsidP="00047AE1">
      <w:pPr>
        <w:numPr>
          <w:ilvl w:val="0"/>
          <w:numId w:val="34"/>
        </w:numPr>
      </w:pPr>
      <w:r w:rsidRPr="00047AE1">
        <w:lastRenderedPageBreak/>
        <w:t>la cohérence entre données et interprétation.</w:t>
      </w:r>
    </w:p>
    <w:p w14:paraId="283AEF93" w14:textId="77777777" w:rsidR="00047AE1" w:rsidRPr="00047AE1" w:rsidRDefault="00000000" w:rsidP="00047AE1">
      <w:r>
        <w:pict w14:anchorId="68FE7E8A">
          <v:rect id="_x0000_i1026" style="width:0;height:1.5pt" o:hralign="center" o:hrstd="t" o:hr="t" fillcolor="#a0a0a0" stroked="f"/>
        </w:pict>
      </w:r>
    </w:p>
    <w:p w14:paraId="7805B18A" w14:textId="77777777" w:rsidR="00047AE1" w:rsidRPr="00047AE1" w:rsidRDefault="00047AE1" w:rsidP="00047AE1">
      <w:pPr>
        <w:numPr>
          <w:ilvl w:val="0"/>
          <w:numId w:val="17"/>
        </w:numPr>
        <w:tabs>
          <w:tab w:val="num" w:pos="360"/>
        </w:tabs>
        <w:rPr>
          <w:b/>
          <w:bCs/>
        </w:rPr>
      </w:pPr>
      <w:r w:rsidRPr="00047AE1">
        <w:rPr>
          <w:b/>
          <w:bCs/>
        </w:rPr>
        <w:t>3. Structuration du dictionnaire : champs ajoutés pour l’analyse</w:t>
      </w:r>
    </w:p>
    <w:p w14:paraId="0D7904DB" w14:textId="77777777" w:rsidR="00047AE1" w:rsidRPr="00047AE1" w:rsidRDefault="00047AE1" w:rsidP="00047AE1">
      <w:r w:rsidRPr="00047AE1">
        <w:t>Chaque métadonnée est décrite par :</w:t>
      </w:r>
    </w:p>
    <w:p w14:paraId="76BBF3A3" w14:textId="77777777" w:rsidR="00047AE1" w:rsidRPr="00047AE1" w:rsidRDefault="00047AE1" w:rsidP="00047AE1">
      <w:pPr>
        <w:numPr>
          <w:ilvl w:val="0"/>
          <w:numId w:val="35"/>
        </w:numPr>
      </w:pPr>
      <w:proofErr w:type="spellStart"/>
      <w:r w:rsidRPr="00047AE1">
        <w:t>column_name</w:t>
      </w:r>
      <w:proofErr w:type="spellEnd"/>
      <w:r w:rsidRPr="00047AE1">
        <w:t xml:space="preserve"> : nom exact de la colonne dans le dataset</w:t>
      </w:r>
    </w:p>
    <w:p w14:paraId="237EA941" w14:textId="77777777" w:rsidR="00047AE1" w:rsidRPr="00047AE1" w:rsidRDefault="00047AE1" w:rsidP="00047AE1">
      <w:pPr>
        <w:numPr>
          <w:ilvl w:val="0"/>
          <w:numId w:val="35"/>
        </w:numPr>
        <w:rPr>
          <w:lang w:val="en-US"/>
        </w:rPr>
      </w:pPr>
      <w:r w:rsidRPr="00047AE1">
        <w:rPr>
          <w:lang w:val="en-US"/>
        </w:rPr>
        <w:t>type : type de donnée (string, category, bool, int, float)</w:t>
      </w:r>
    </w:p>
    <w:p w14:paraId="4D2FF1F6" w14:textId="77777777" w:rsidR="00047AE1" w:rsidRPr="00047AE1" w:rsidRDefault="00047AE1" w:rsidP="00047AE1">
      <w:pPr>
        <w:numPr>
          <w:ilvl w:val="0"/>
          <w:numId w:val="35"/>
        </w:numPr>
      </w:pPr>
      <w:r w:rsidRPr="00047AE1">
        <w:t>description : description médicale ou technique explicite</w:t>
      </w:r>
    </w:p>
    <w:p w14:paraId="436251EB" w14:textId="77777777" w:rsidR="00047AE1" w:rsidRPr="00047AE1" w:rsidRDefault="00047AE1" w:rsidP="00047AE1">
      <w:pPr>
        <w:numPr>
          <w:ilvl w:val="0"/>
          <w:numId w:val="35"/>
        </w:numPr>
      </w:pPr>
      <w:proofErr w:type="spellStart"/>
      <w:r w:rsidRPr="00047AE1">
        <w:t>meta_level</w:t>
      </w:r>
      <w:proofErr w:type="spellEnd"/>
      <w:r w:rsidRPr="00047AE1">
        <w:t xml:space="preserve"> </w:t>
      </w:r>
      <w:r w:rsidRPr="00047AE1">
        <w:rPr>
          <w:i/>
          <w:iCs/>
        </w:rPr>
        <w:t>(champ ajouté)</w:t>
      </w:r>
    </w:p>
    <w:p w14:paraId="2DED7F43" w14:textId="77777777" w:rsidR="00047AE1" w:rsidRPr="00047AE1" w:rsidRDefault="00047AE1" w:rsidP="00047AE1">
      <w:pPr>
        <w:numPr>
          <w:ilvl w:val="0"/>
          <w:numId w:val="35"/>
        </w:numPr>
      </w:pPr>
      <w:proofErr w:type="spellStart"/>
      <w:r w:rsidRPr="00047AE1">
        <w:t>meta_step</w:t>
      </w:r>
      <w:proofErr w:type="spellEnd"/>
      <w:r w:rsidRPr="00047AE1">
        <w:t xml:space="preserve"> </w:t>
      </w:r>
      <w:r w:rsidRPr="00047AE1">
        <w:rPr>
          <w:i/>
          <w:iCs/>
        </w:rPr>
        <w:t>(champ ajouté)</w:t>
      </w:r>
    </w:p>
    <w:p w14:paraId="0B37ED7B" w14:textId="77777777" w:rsidR="00047AE1" w:rsidRPr="00047AE1" w:rsidRDefault="00047AE1" w:rsidP="00047AE1">
      <w:r w:rsidRPr="00047AE1">
        <w:t xml:space="preserve">Les deux derniers champs sont </w:t>
      </w:r>
      <w:r w:rsidRPr="00047AE1">
        <w:rPr>
          <w:b/>
          <w:bCs/>
        </w:rPr>
        <w:t>des ajouts méthodologiques volontaires</w:t>
      </w:r>
      <w:r w:rsidRPr="00047AE1">
        <w:t>, non présents dans le dataset, utilisés uniquement pour organiser l’analyse.</w:t>
      </w:r>
    </w:p>
    <w:p w14:paraId="7B9E4DBD" w14:textId="77777777" w:rsidR="00047AE1" w:rsidRPr="00047AE1" w:rsidRDefault="00000000" w:rsidP="00047AE1">
      <w:r>
        <w:pict w14:anchorId="064975C3">
          <v:rect id="_x0000_i1027" style="width:0;height:1.5pt" o:hralign="center" o:hrstd="t" o:hr="t" fillcolor="#a0a0a0" stroked="f"/>
        </w:pict>
      </w:r>
    </w:p>
    <w:p w14:paraId="0319457F" w14:textId="77777777" w:rsidR="00047AE1" w:rsidRPr="00047AE1" w:rsidRDefault="00047AE1" w:rsidP="00047AE1">
      <w:pPr>
        <w:numPr>
          <w:ilvl w:val="0"/>
          <w:numId w:val="17"/>
        </w:numPr>
        <w:tabs>
          <w:tab w:val="num" w:pos="360"/>
        </w:tabs>
        <w:rPr>
          <w:b/>
          <w:bCs/>
        </w:rPr>
      </w:pPr>
      <w:r w:rsidRPr="00047AE1">
        <w:rPr>
          <w:b/>
          <w:bCs/>
        </w:rPr>
        <w:t xml:space="preserve">4. Champ </w:t>
      </w:r>
      <w:proofErr w:type="spellStart"/>
      <w:r w:rsidRPr="00047AE1">
        <w:rPr>
          <w:b/>
          <w:bCs/>
        </w:rPr>
        <w:t>meta_level</w:t>
      </w:r>
      <w:proofErr w:type="spellEnd"/>
      <w:r w:rsidRPr="00047AE1">
        <w:rPr>
          <w:b/>
          <w:bCs/>
        </w:rPr>
        <w:t xml:space="preserve"> : sur quel objet porte la métadonnée</w:t>
      </w:r>
    </w:p>
    <w:p w14:paraId="7B8BDA19" w14:textId="77777777" w:rsidR="00047AE1" w:rsidRPr="00047AE1" w:rsidRDefault="00047AE1" w:rsidP="00047AE1">
      <w:proofErr w:type="spellStart"/>
      <w:r w:rsidRPr="00047AE1">
        <w:t>meta_level</w:t>
      </w:r>
      <w:proofErr w:type="spellEnd"/>
      <w:r w:rsidRPr="00047AE1">
        <w:t xml:space="preserve"> indique </w:t>
      </w:r>
      <w:r w:rsidRPr="00047AE1">
        <w:rPr>
          <w:b/>
          <w:bCs/>
        </w:rPr>
        <w:t>le niveau biologique ou technique</w:t>
      </w:r>
      <w:r w:rsidRPr="00047AE1">
        <w:t xml:space="preserve"> auquel la variable s’applique :</w:t>
      </w:r>
    </w:p>
    <w:p w14:paraId="3F3ADD6E" w14:textId="77777777" w:rsidR="00047AE1" w:rsidRPr="00047AE1" w:rsidRDefault="00047AE1" w:rsidP="00047AE1">
      <w:pPr>
        <w:numPr>
          <w:ilvl w:val="0"/>
          <w:numId w:val="36"/>
        </w:numPr>
      </w:pPr>
      <w:proofErr w:type="spellStart"/>
      <w:r w:rsidRPr="00047AE1">
        <w:t>donor</w:t>
      </w:r>
      <w:proofErr w:type="spellEnd"/>
      <w:r w:rsidRPr="00047AE1">
        <w:t xml:space="preserve"> : caractéristiques du donneur (âge, sexe, ascendance…)</w:t>
      </w:r>
    </w:p>
    <w:p w14:paraId="504DA88A" w14:textId="77777777" w:rsidR="00047AE1" w:rsidRPr="00047AE1" w:rsidRDefault="00047AE1" w:rsidP="00047AE1">
      <w:pPr>
        <w:numPr>
          <w:ilvl w:val="0"/>
          <w:numId w:val="36"/>
        </w:numPr>
      </w:pPr>
      <w:proofErr w:type="spellStart"/>
      <w:r w:rsidRPr="00047AE1">
        <w:t>clinical</w:t>
      </w:r>
      <w:proofErr w:type="spellEnd"/>
      <w:r w:rsidRPr="00047AE1">
        <w:t xml:space="preserve"> : diagnostics et statuts cliniques</w:t>
      </w:r>
    </w:p>
    <w:p w14:paraId="4E479F55" w14:textId="77777777" w:rsidR="00047AE1" w:rsidRPr="00047AE1" w:rsidRDefault="00047AE1" w:rsidP="00047AE1">
      <w:pPr>
        <w:numPr>
          <w:ilvl w:val="0"/>
          <w:numId w:val="36"/>
        </w:numPr>
      </w:pPr>
      <w:proofErr w:type="spellStart"/>
      <w:r w:rsidRPr="00047AE1">
        <w:t>sample</w:t>
      </w:r>
      <w:proofErr w:type="spellEnd"/>
      <w:r w:rsidRPr="00047AE1">
        <w:t xml:space="preserve"> : informations liées au tissu ou au prélèvement</w:t>
      </w:r>
    </w:p>
    <w:p w14:paraId="2CB85A9E" w14:textId="77777777" w:rsidR="00047AE1" w:rsidRPr="00047AE1" w:rsidRDefault="00047AE1" w:rsidP="00047AE1">
      <w:pPr>
        <w:numPr>
          <w:ilvl w:val="0"/>
          <w:numId w:val="36"/>
        </w:numPr>
      </w:pPr>
      <w:r w:rsidRPr="00047AE1">
        <w:t>cell : annotation cellulaire</w:t>
      </w:r>
    </w:p>
    <w:p w14:paraId="377937F7" w14:textId="77777777" w:rsidR="00047AE1" w:rsidRPr="00047AE1" w:rsidRDefault="00047AE1" w:rsidP="00047AE1">
      <w:pPr>
        <w:numPr>
          <w:ilvl w:val="0"/>
          <w:numId w:val="36"/>
        </w:numPr>
      </w:pPr>
      <w:proofErr w:type="spellStart"/>
      <w:r w:rsidRPr="00047AE1">
        <w:t>qc</w:t>
      </w:r>
      <w:proofErr w:type="spellEnd"/>
      <w:r w:rsidRPr="00047AE1">
        <w:t xml:space="preserve"> : métriques de contrôle qualité</w:t>
      </w:r>
    </w:p>
    <w:p w14:paraId="4064CD08" w14:textId="77777777" w:rsidR="00047AE1" w:rsidRPr="00047AE1" w:rsidRDefault="00047AE1" w:rsidP="00047AE1">
      <w:pPr>
        <w:numPr>
          <w:ilvl w:val="0"/>
          <w:numId w:val="36"/>
        </w:numPr>
      </w:pPr>
      <w:proofErr w:type="spellStart"/>
      <w:r w:rsidRPr="00047AE1">
        <w:t>technical</w:t>
      </w:r>
      <w:proofErr w:type="spellEnd"/>
      <w:r w:rsidRPr="00047AE1">
        <w:t xml:space="preserve"> : informations techniques (plateforme, alignement)</w:t>
      </w:r>
    </w:p>
    <w:p w14:paraId="761A7EA0" w14:textId="77777777" w:rsidR="00047AE1" w:rsidRPr="00047AE1" w:rsidRDefault="00047AE1" w:rsidP="00047AE1">
      <w:pPr>
        <w:numPr>
          <w:ilvl w:val="0"/>
          <w:numId w:val="36"/>
        </w:numPr>
      </w:pPr>
      <w:proofErr w:type="spellStart"/>
      <w:r w:rsidRPr="00047AE1">
        <w:t>feature</w:t>
      </w:r>
      <w:proofErr w:type="spellEnd"/>
      <w:r w:rsidRPr="00047AE1">
        <w:t xml:space="preserve"> : métadonnées au niveau des gènes (</w:t>
      </w:r>
      <w:proofErr w:type="spellStart"/>
      <w:r w:rsidRPr="00047AE1">
        <w:t>adata.var</w:t>
      </w:r>
      <w:proofErr w:type="spellEnd"/>
      <w:r w:rsidRPr="00047AE1">
        <w:t>)</w:t>
      </w:r>
    </w:p>
    <w:p w14:paraId="7178AE58" w14:textId="77777777" w:rsidR="00047AE1" w:rsidRPr="00047AE1" w:rsidRDefault="00047AE1" w:rsidP="00047AE1">
      <w:r w:rsidRPr="00047AE1">
        <w:t>Ce champ permet de :</w:t>
      </w:r>
    </w:p>
    <w:p w14:paraId="3DC5474D" w14:textId="77777777" w:rsidR="00047AE1" w:rsidRPr="00047AE1" w:rsidRDefault="00047AE1" w:rsidP="00047AE1">
      <w:pPr>
        <w:numPr>
          <w:ilvl w:val="0"/>
          <w:numId w:val="37"/>
        </w:numPr>
      </w:pPr>
      <w:r w:rsidRPr="00047AE1">
        <w:t xml:space="preserve">séparer clairement </w:t>
      </w:r>
      <w:r w:rsidRPr="00047AE1">
        <w:rPr>
          <w:b/>
          <w:bCs/>
        </w:rPr>
        <w:t>ce qui relève du patient</w:t>
      </w:r>
      <w:r w:rsidRPr="00047AE1">
        <w:t>, de la cellule, ou de la technique ;</w:t>
      </w:r>
    </w:p>
    <w:p w14:paraId="544D2D03" w14:textId="77777777" w:rsidR="00047AE1" w:rsidRPr="00047AE1" w:rsidRDefault="00047AE1" w:rsidP="00047AE1">
      <w:pPr>
        <w:numPr>
          <w:ilvl w:val="0"/>
          <w:numId w:val="37"/>
        </w:numPr>
      </w:pPr>
      <w:r w:rsidRPr="00047AE1">
        <w:t xml:space="preserve">structurer l’EDA par </w:t>
      </w:r>
      <w:r w:rsidRPr="00047AE1">
        <w:rPr>
          <w:b/>
          <w:bCs/>
        </w:rPr>
        <w:t>objet biologique</w:t>
      </w:r>
      <w:r w:rsidRPr="00047AE1">
        <w:t>, et non par simple liste de colonnes.</w:t>
      </w:r>
    </w:p>
    <w:p w14:paraId="2FC4B657" w14:textId="77777777" w:rsidR="00047AE1" w:rsidRPr="00047AE1" w:rsidRDefault="00000000" w:rsidP="00047AE1">
      <w:r>
        <w:pict w14:anchorId="4B377675">
          <v:rect id="_x0000_i1028" style="width:0;height:1.5pt" o:hralign="center" o:hrstd="t" o:hr="t" fillcolor="#a0a0a0" stroked="f"/>
        </w:pict>
      </w:r>
    </w:p>
    <w:p w14:paraId="2893F0D0" w14:textId="77777777" w:rsidR="00047AE1" w:rsidRPr="00047AE1" w:rsidRDefault="00047AE1" w:rsidP="00047AE1">
      <w:pPr>
        <w:numPr>
          <w:ilvl w:val="0"/>
          <w:numId w:val="17"/>
        </w:numPr>
        <w:tabs>
          <w:tab w:val="num" w:pos="360"/>
        </w:tabs>
        <w:rPr>
          <w:b/>
          <w:bCs/>
        </w:rPr>
      </w:pPr>
      <w:r w:rsidRPr="00047AE1">
        <w:rPr>
          <w:b/>
          <w:bCs/>
        </w:rPr>
        <w:t xml:space="preserve">5. Champ </w:t>
      </w:r>
      <w:proofErr w:type="spellStart"/>
      <w:r w:rsidRPr="00047AE1">
        <w:rPr>
          <w:b/>
          <w:bCs/>
        </w:rPr>
        <w:t>meta_step</w:t>
      </w:r>
      <w:proofErr w:type="spellEnd"/>
      <w:r w:rsidRPr="00047AE1">
        <w:rPr>
          <w:b/>
          <w:bCs/>
        </w:rPr>
        <w:t xml:space="preserve"> : à quelle étape du pipeline la variable est utilisée</w:t>
      </w:r>
    </w:p>
    <w:p w14:paraId="4E8A20CC" w14:textId="77777777" w:rsidR="00047AE1" w:rsidRPr="00047AE1" w:rsidRDefault="00047AE1" w:rsidP="00047AE1">
      <w:proofErr w:type="spellStart"/>
      <w:r w:rsidRPr="00047AE1">
        <w:t>meta_step</w:t>
      </w:r>
      <w:proofErr w:type="spellEnd"/>
      <w:r w:rsidRPr="00047AE1">
        <w:t xml:space="preserve"> indique </w:t>
      </w:r>
      <w:r w:rsidRPr="00047AE1">
        <w:rPr>
          <w:b/>
          <w:bCs/>
        </w:rPr>
        <w:t>le moment analytique</w:t>
      </w:r>
      <w:r w:rsidRPr="00047AE1">
        <w:t xml:space="preserve"> où la variable est mobilisée.</w:t>
      </w:r>
      <w:r w:rsidRPr="00047AE1">
        <w:br/>
        <w:t>Plusieurs valeurs peuvent être combinées (|) si nécessaire.</w:t>
      </w:r>
    </w:p>
    <w:p w14:paraId="241905A8" w14:textId="77777777" w:rsidR="00047AE1" w:rsidRPr="00047AE1" w:rsidRDefault="00047AE1" w:rsidP="00047AE1">
      <w:r w:rsidRPr="00047AE1">
        <w:t xml:space="preserve">Principaux </w:t>
      </w:r>
      <w:proofErr w:type="spellStart"/>
      <w:r w:rsidRPr="00047AE1">
        <w:t>meta_step</w:t>
      </w:r>
      <w:proofErr w:type="spellEnd"/>
      <w:r w:rsidRPr="00047AE1">
        <w:t xml:space="preserve"> utilisés :</w:t>
      </w:r>
    </w:p>
    <w:p w14:paraId="6EFAC5CF" w14:textId="77777777" w:rsidR="00047AE1" w:rsidRPr="00047AE1" w:rsidRDefault="00047AE1" w:rsidP="00047AE1">
      <w:pPr>
        <w:numPr>
          <w:ilvl w:val="0"/>
          <w:numId w:val="38"/>
        </w:numPr>
      </w:pPr>
      <w:proofErr w:type="spellStart"/>
      <w:r w:rsidRPr="00047AE1">
        <w:t>ingest</w:t>
      </w:r>
      <w:proofErr w:type="spellEnd"/>
      <w:r w:rsidRPr="00047AE1">
        <w:br/>
        <w:t>Métadonnées nécessaires à l’import, à l’identification ou à la traçabilité.</w:t>
      </w:r>
    </w:p>
    <w:p w14:paraId="258396DA" w14:textId="77777777" w:rsidR="00047AE1" w:rsidRPr="00047AE1" w:rsidRDefault="00047AE1" w:rsidP="00047AE1">
      <w:pPr>
        <w:numPr>
          <w:ilvl w:val="0"/>
          <w:numId w:val="38"/>
        </w:numPr>
      </w:pPr>
      <w:proofErr w:type="spellStart"/>
      <w:r w:rsidRPr="00047AE1">
        <w:t>qc</w:t>
      </w:r>
      <w:proofErr w:type="spellEnd"/>
      <w:r w:rsidRPr="00047AE1">
        <w:t xml:space="preserve"> / </w:t>
      </w:r>
      <w:proofErr w:type="spellStart"/>
      <w:r w:rsidRPr="00047AE1">
        <w:t>filtering</w:t>
      </w:r>
      <w:proofErr w:type="spellEnd"/>
      <w:r w:rsidRPr="00047AE1">
        <w:br/>
        <w:t>Variables utilisées pour le contrôle qualité et le filtrage des cellules ou gènes.</w:t>
      </w:r>
    </w:p>
    <w:p w14:paraId="443EFE64" w14:textId="77777777" w:rsidR="00047AE1" w:rsidRPr="00047AE1" w:rsidRDefault="00047AE1" w:rsidP="00047AE1">
      <w:pPr>
        <w:numPr>
          <w:ilvl w:val="0"/>
          <w:numId w:val="38"/>
        </w:numPr>
      </w:pPr>
      <w:r w:rsidRPr="00047AE1">
        <w:t>annotation</w:t>
      </w:r>
      <w:r w:rsidRPr="00047AE1">
        <w:br/>
        <w:t>Variables utilisées pour l’annotation cellulaire.</w:t>
      </w:r>
    </w:p>
    <w:p w14:paraId="3FB209F6" w14:textId="77777777" w:rsidR="00047AE1" w:rsidRPr="00047AE1" w:rsidRDefault="00047AE1" w:rsidP="00047AE1">
      <w:pPr>
        <w:numPr>
          <w:ilvl w:val="0"/>
          <w:numId w:val="38"/>
        </w:numPr>
      </w:pPr>
      <w:proofErr w:type="spellStart"/>
      <w:r w:rsidRPr="00047AE1">
        <w:t>eda</w:t>
      </w:r>
      <w:proofErr w:type="spellEnd"/>
      <w:r w:rsidRPr="00047AE1">
        <w:br/>
        <w:t>Variables explorées lors de l’analyse descriptive initiale.</w:t>
      </w:r>
    </w:p>
    <w:p w14:paraId="2C34EEB8" w14:textId="77777777" w:rsidR="00047AE1" w:rsidRPr="00047AE1" w:rsidRDefault="00047AE1" w:rsidP="00047AE1">
      <w:pPr>
        <w:numPr>
          <w:ilvl w:val="0"/>
          <w:numId w:val="38"/>
        </w:numPr>
      </w:pPr>
      <w:proofErr w:type="spellStart"/>
      <w:r w:rsidRPr="00047AE1">
        <w:t>experimental_design</w:t>
      </w:r>
      <w:proofErr w:type="spellEnd"/>
      <w:r w:rsidRPr="00047AE1">
        <w:br/>
        <w:t>Variables définissant les groupes biologiques comparés (SMI vs contrôles).</w:t>
      </w:r>
    </w:p>
    <w:p w14:paraId="05B6E635" w14:textId="77777777" w:rsidR="00047AE1" w:rsidRPr="00047AE1" w:rsidRDefault="00047AE1" w:rsidP="00047AE1">
      <w:pPr>
        <w:numPr>
          <w:ilvl w:val="0"/>
          <w:numId w:val="38"/>
        </w:numPr>
      </w:pPr>
      <w:proofErr w:type="spellStart"/>
      <w:r w:rsidRPr="00047AE1">
        <w:t>comorbidity_check</w:t>
      </w:r>
      <w:proofErr w:type="spellEnd"/>
      <w:r w:rsidRPr="00047AE1">
        <w:br/>
        <w:t>Variables cliniques observées pour vérifier des déséquilibres entre groupes, sans être des axes d’analyse principaux.</w:t>
      </w:r>
    </w:p>
    <w:p w14:paraId="54AA3F2B" w14:textId="77777777" w:rsidR="00047AE1" w:rsidRPr="00047AE1" w:rsidRDefault="00047AE1" w:rsidP="00047AE1">
      <w:pPr>
        <w:numPr>
          <w:ilvl w:val="0"/>
          <w:numId w:val="38"/>
        </w:numPr>
      </w:pPr>
      <w:r w:rsidRPr="00047AE1">
        <w:lastRenderedPageBreak/>
        <w:t>modeling</w:t>
      </w:r>
      <w:r w:rsidRPr="00047AE1">
        <w:br/>
        <w:t xml:space="preserve">Variables utilisées comme </w:t>
      </w:r>
      <w:proofErr w:type="spellStart"/>
      <w:r w:rsidRPr="00047AE1">
        <w:t>covariables</w:t>
      </w:r>
      <w:proofErr w:type="spellEnd"/>
      <w:r w:rsidRPr="00047AE1">
        <w:t xml:space="preserve"> dans les analyses statistiques.</w:t>
      </w:r>
    </w:p>
    <w:p w14:paraId="22462C24" w14:textId="77777777" w:rsidR="00047AE1" w:rsidRPr="00047AE1" w:rsidRDefault="00047AE1" w:rsidP="00047AE1">
      <w:pPr>
        <w:numPr>
          <w:ilvl w:val="0"/>
          <w:numId w:val="38"/>
        </w:numPr>
      </w:pPr>
      <w:proofErr w:type="spellStart"/>
      <w:r w:rsidRPr="00047AE1">
        <w:t>reporting</w:t>
      </w:r>
      <w:proofErr w:type="spellEnd"/>
      <w:r w:rsidRPr="00047AE1">
        <w:br/>
        <w:t>Variables utilisées pour la visualisation et l’interprétation finale.</w:t>
      </w:r>
    </w:p>
    <w:p w14:paraId="79181A8C" w14:textId="77777777" w:rsidR="00047AE1" w:rsidRPr="00047AE1" w:rsidRDefault="00047AE1" w:rsidP="00047AE1">
      <w:r w:rsidRPr="00047AE1">
        <w:t xml:space="preserve">Ce champ permet de </w:t>
      </w:r>
      <w:r w:rsidRPr="00047AE1">
        <w:rPr>
          <w:b/>
          <w:bCs/>
        </w:rPr>
        <w:t>visualiser le déroulement temporel de l’analyse</w:t>
      </w:r>
      <w:r w:rsidRPr="00047AE1">
        <w:t xml:space="preserve"> et d’éviter l’usage implicite ou non justifié de certaines métadonnées.</w:t>
      </w:r>
    </w:p>
    <w:p w14:paraId="2CBF52EA" w14:textId="77777777" w:rsidR="00047AE1" w:rsidRPr="00047AE1" w:rsidRDefault="00000000" w:rsidP="00047AE1">
      <w:r>
        <w:pict w14:anchorId="29C83E52">
          <v:rect id="_x0000_i1029" style="width:0;height:1.5pt" o:hralign="center" o:hrstd="t" o:hr="t" fillcolor="#a0a0a0" stroked="f"/>
        </w:pict>
      </w:r>
    </w:p>
    <w:p w14:paraId="42DC9DC5" w14:textId="77777777" w:rsidR="00047AE1" w:rsidRPr="00047AE1" w:rsidRDefault="00047AE1" w:rsidP="00047AE1">
      <w:pPr>
        <w:numPr>
          <w:ilvl w:val="0"/>
          <w:numId w:val="17"/>
        </w:numPr>
        <w:tabs>
          <w:tab w:val="num" w:pos="360"/>
        </w:tabs>
        <w:rPr>
          <w:b/>
          <w:bCs/>
        </w:rPr>
      </w:pPr>
      <w:r w:rsidRPr="00047AE1">
        <w:rPr>
          <w:b/>
          <w:bCs/>
        </w:rPr>
        <w:t>6. Choix cliniques : SMI, comorbidités et périmètre HBCC</w:t>
      </w:r>
    </w:p>
    <w:p w14:paraId="249D6257" w14:textId="77777777" w:rsidR="00047AE1" w:rsidRPr="00047AE1" w:rsidRDefault="00047AE1" w:rsidP="00047AE1">
      <w:pPr>
        <w:rPr>
          <w:b/>
          <w:bCs/>
        </w:rPr>
      </w:pPr>
      <w:r w:rsidRPr="00047AE1">
        <w:rPr>
          <w:b/>
          <w:bCs/>
        </w:rPr>
        <w:t>6.1 Diagnostics psychiatriques (SMI)</w:t>
      </w:r>
    </w:p>
    <w:p w14:paraId="44D259EE" w14:textId="77777777" w:rsidR="00047AE1" w:rsidRPr="00047AE1" w:rsidRDefault="00047AE1" w:rsidP="00047AE1">
      <w:r w:rsidRPr="00047AE1">
        <w:t>Les diagnostics neuropsychiatriques centraux pour le projet ont été explicitement inclus :</w:t>
      </w:r>
    </w:p>
    <w:p w14:paraId="54D0CD63" w14:textId="77777777" w:rsidR="00047AE1" w:rsidRPr="00047AE1" w:rsidRDefault="00047AE1" w:rsidP="00047AE1">
      <w:pPr>
        <w:numPr>
          <w:ilvl w:val="0"/>
          <w:numId w:val="39"/>
        </w:numPr>
      </w:pPr>
      <w:proofErr w:type="spellStart"/>
      <w:r w:rsidRPr="00047AE1">
        <w:t>Schizophrenia</w:t>
      </w:r>
      <w:proofErr w:type="spellEnd"/>
    </w:p>
    <w:p w14:paraId="69642535" w14:textId="77777777" w:rsidR="00047AE1" w:rsidRPr="00047AE1" w:rsidRDefault="00047AE1" w:rsidP="00047AE1">
      <w:pPr>
        <w:numPr>
          <w:ilvl w:val="0"/>
          <w:numId w:val="39"/>
        </w:numPr>
      </w:pPr>
      <w:proofErr w:type="spellStart"/>
      <w:r w:rsidRPr="00047AE1">
        <w:t>Bipolar_Disorder</w:t>
      </w:r>
      <w:proofErr w:type="spellEnd"/>
    </w:p>
    <w:p w14:paraId="41F43EB7" w14:textId="77777777" w:rsidR="00047AE1" w:rsidRPr="00047AE1" w:rsidRDefault="00047AE1" w:rsidP="00047AE1">
      <w:pPr>
        <w:numPr>
          <w:ilvl w:val="0"/>
          <w:numId w:val="39"/>
        </w:numPr>
      </w:pPr>
      <w:proofErr w:type="spellStart"/>
      <w:r w:rsidRPr="00047AE1">
        <w:t>Tardive_dyskinesia</w:t>
      </w:r>
      <w:proofErr w:type="spellEnd"/>
    </w:p>
    <w:p w14:paraId="5216D1DD" w14:textId="77777777" w:rsidR="00047AE1" w:rsidRPr="00047AE1" w:rsidRDefault="00047AE1" w:rsidP="00047AE1">
      <w:r w:rsidRPr="00047AE1">
        <w:t>Ils sont annotés avec :</w:t>
      </w:r>
    </w:p>
    <w:p w14:paraId="507DEDE4" w14:textId="77777777" w:rsidR="00047AE1" w:rsidRPr="00047AE1" w:rsidRDefault="00047AE1" w:rsidP="00047AE1">
      <w:pPr>
        <w:numPr>
          <w:ilvl w:val="0"/>
          <w:numId w:val="40"/>
        </w:numPr>
      </w:pPr>
      <w:proofErr w:type="spellStart"/>
      <w:r w:rsidRPr="00047AE1">
        <w:t>meta_level</w:t>
      </w:r>
      <w:proofErr w:type="spellEnd"/>
      <w:r w:rsidRPr="00047AE1">
        <w:t xml:space="preserve"> = </w:t>
      </w:r>
      <w:proofErr w:type="spellStart"/>
      <w:r w:rsidRPr="00047AE1">
        <w:t>clinical</w:t>
      </w:r>
      <w:proofErr w:type="spellEnd"/>
    </w:p>
    <w:p w14:paraId="0A1C1F2B" w14:textId="77777777" w:rsidR="00047AE1" w:rsidRPr="00047AE1" w:rsidRDefault="00047AE1" w:rsidP="00047AE1">
      <w:pPr>
        <w:numPr>
          <w:ilvl w:val="0"/>
          <w:numId w:val="40"/>
        </w:numPr>
      </w:pPr>
      <w:proofErr w:type="spellStart"/>
      <w:r w:rsidRPr="00047AE1">
        <w:t>meta_step</w:t>
      </w:r>
      <w:proofErr w:type="spellEnd"/>
      <w:r w:rsidRPr="00047AE1">
        <w:t xml:space="preserve"> = </w:t>
      </w:r>
      <w:proofErr w:type="spellStart"/>
      <w:r w:rsidRPr="00047AE1">
        <w:t>experimental_design</w:t>
      </w:r>
      <w:proofErr w:type="spellEnd"/>
    </w:p>
    <w:p w14:paraId="73E47834" w14:textId="77777777" w:rsidR="00047AE1" w:rsidRPr="00047AE1" w:rsidRDefault="00047AE1" w:rsidP="00047AE1">
      <w:r w:rsidRPr="00047AE1">
        <w:t>Ces variables définissent les groupes biologiques comparés dans l’analyse transcriptomique.</w:t>
      </w:r>
    </w:p>
    <w:p w14:paraId="1EE45CF3" w14:textId="77777777" w:rsidR="00047AE1" w:rsidRPr="00047AE1" w:rsidRDefault="00000000" w:rsidP="00047AE1">
      <w:r>
        <w:pict w14:anchorId="020BA523">
          <v:rect id="_x0000_i1030" style="width:0;height:1.5pt" o:hralign="center" o:hrstd="t" o:hr="t" fillcolor="#a0a0a0" stroked="f"/>
        </w:pict>
      </w:r>
    </w:p>
    <w:p w14:paraId="39CEAC12" w14:textId="77777777" w:rsidR="00047AE1" w:rsidRPr="00047AE1" w:rsidRDefault="00047AE1" w:rsidP="00047AE1">
      <w:pPr>
        <w:rPr>
          <w:b/>
          <w:bCs/>
        </w:rPr>
      </w:pPr>
      <w:r w:rsidRPr="00047AE1">
        <w:rPr>
          <w:b/>
          <w:bCs/>
        </w:rPr>
        <w:t>6.2 Comorbidités somatiques</w:t>
      </w:r>
    </w:p>
    <w:p w14:paraId="48AC078E" w14:textId="77777777" w:rsidR="00047AE1" w:rsidRPr="00047AE1" w:rsidRDefault="00047AE1" w:rsidP="00047AE1">
      <w:r w:rsidRPr="00047AE1">
        <w:t>Certaines comorbidités somatiques peuvent exister chez des donneurs contrôles ou SMI.</w:t>
      </w:r>
      <w:r w:rsidRPr="00047AE1">
        <w:br/>
        <w:t>Dans le dataset HBCC, la seule comorbidité somatique explicitement encodée est :</w:t>
      </w:r>
    </w:p>
    <w:p w14:paraId="0AAAA456" w14:textId="77777777" w:rsidR="00047AE1" w:rsidRPr="00047AE1" w:rsidRDefault="00047AE1" w:rsidP="00047AE1">
      <w:pPr>
        <w:numPr>
          <w:ilvl w:val="0"/>
          <w:numId w:val="41"/>
        </w:numPr>
      </w:pPr>
      <w:proofErr w:type="spellStart"/>
      <w:r w:rsidRPr="00047AE1">
        <w:t>ASCVD_status</w:t>
      </w:r>
      <w:proofErr w:type="spellEnd"/>
      <w:r w:rsidRPr="00047AE1">
        <w:t xml:space="preserve"> (maladie cardiovasculaire </w:t>
      </w:r>
      <w:proofErr w:type="spellStart"/>
      <w:r w:rsidRPr="00047AE1">
        <w:t>athéroscléreuse</w:t>
      </w:r>
      <w:proofErr w:type="spellEnd"/>
      <w:r w:rsidRPr="00047AE1">
        <w:t>)</w:t>
      </w:r>
    </w:p>
    <w:p w14:paraId="4F6F313C" w14:textId="77777777" w:rsidR="00047AE1" w:rsidRPr="00047AE1" w:rsidRDefault="00047AE1" w:rsidP="00047AE1">
      <w:r w:rsidRPr="00047AE1">
        <w:t>Cette variable est :</w:t>
      </w:r>
    </w:p>
    <w:p w14:paraId="77C0BB43" w14:textId="77777777" w:rsidR="00047AE1" w:rsidRPr="00047AE1" w:rsidRDefault="00047AE1" w:rsidP="00047AE1">
      <w:pPr>
        <w:numPr>
          <w:ilvl w:val="0"/>
          <w:numId w:val="42"/>
        </w:numPr>
      </w:pPr>
      <w:r w:rsidRPr="00047AE1">
        <w:rPr>
          <w:b/>
          <w:bCs/>
        </w:rPr>
        <w:t>documentée</w:t>
      </w:r>
      <w:r w:rsidRPr="00047AE1">
        <w:t>, mais</w:t>
      </w:r>
    </w:p>
    <w:p w14:paraId="37DCEBD5" w14:textId="77777777" w:rsidR="00047AE1" w:rsidRPr="00047AE1" w:rsidRDefault="00047AE1" w:rsidP="00047AE1">
      <w:pPr>
        <w:numPr>
          <w:ilvl w:val="0"/>
          <w:numId w:val="42"/>
        </w:numPr>
      </w:pPr>
      <w:r w:rsidRPr="00047AE1">
        <w:rPr>
          <w:b/>
          <w:bCs/>
        </w:rPr>
        <w:t>non utilisée comme critère d’exclusion</w:t>
      </w:r>
      <w:r w:rsidRPr="00047AE1">
        <w:t>,</w:t>
      </w:r>
    </w:p>
    <w:p w14:paraId="315012D6" w14:textId="77777777" w:rsidR="00047AE1" w:rsidRPr="00047AE1" w:rsidRDefault="00047AE1" w:rsidP="00047AE1">
      <w:pPr>
        <w:numPr>
          <w:ilvl w:val="0"/>
          <w:numId w:val="42"/>
        </w:numPr>
        <w:rPr>
          <w:lang w:val="en-US"/>
        </w:rPr>
      </w:pPr>
      <w:proofErr w:type="spellStart"/>
      <w:r w:rsidRPr="00047AE1">
        <w:rPr>
          <w:lang w:val="en-US"/>
        </w:rPr>
        <w:t>annotée</w:t>
      </w:r>
      <w:proofErr w:type="spellEnd"/>
      <w:r w:rsidRPr="00047AE1">
        <w:rPr>
          <w:lang w:val="en-US"/>
        </w:rPr>
        <w:t xml:space="preserve"> avec </w:t>
      </w:r>
      <w:proofErr w:type="spellStart"/>
      <w:r w:rsidRPr="00047AE1">
        <w:rPr>
          <w:lang w:val="en-US"/>
        </w:rPr>
        <w:t>meta_step</w:t>
      </w:r>
      <w:proofErr w:type="spellEnd"/>
      <w:r w:rsidRPr="00047AE1">
        <w:rPr>
          <w:lang w:val="en-US"/>
        </w:rPr>
        <w:t xml:space="preserve"> = </w:t>
      </w:r>
      <w:proofErr w:type="spellStart"/>
      <w:r w:rsidRPr="00047AE1">
        <w:rPr>
          <w:lang w:val="en-US"/>
        </w:rPr>
        <w:t>comorbidity_check</w:t>
      </w:r>
      <w:proofErr w:type="spellEnd"/>
      <w:r w:rsidRPr="00047AE1">
        <w:rPr>
          <w:lang w:val="en-US"/>
        </w:rPr>
        <w:t>.</w:t>
      </w:r>
    </w:p>
    <w:p w14:paraId="67EF6804" w14:textId="77777777" w:rsidR="00047AE1" w:rsidRPr="00047AE1" w:rsidRDefault="00047AE1" w:rsidP="00047AE1">
      <w:r w:rsidRPr="00047AE1">
        <w:t>Objectif :</w:t>
      </w:r>
    </w:p>
    <w:p w14:paraId="66765E35" w14:textId="77777777" w:rsidR="00047AE1" w:rsidRPr="00047AE1" w:rsidRDefault="00047AE1" w:rsidP="00047AE1">
      <w:pPr>
        <w:numPr>
          <w:ilvl w:val="0"/>
          <w:numId w:val="43"/>
        </w:numPr>
      </w:pPr>
      <w:r w:rsidRPr="00047AE1">
        <w:t>vérifier d’éventuels déséquilibres entre groupes,</w:t>
      </w:r>
    </w:p>
    <w:p w14:paraId="660901A6" w14:textId="77777777" w:rsidR="00047AE1" w:rsidRPr="00047AE1" w:rsidRDefault="00047AE1" w:rsidP="00047AE1">
      <w:pPr>
        <w:numPr>
          <w:ilvl w:val="0"/>
          <w:numId w:val="43"/>
        </w:numPr>
      </w:pPr>
      <w:r w:rsidRPr="00047AE1">
        <w:t>mentionner ces comorbidités comme facteur potentiel de confusion,</w:t>
      </w:r>
    </w:p>
    <w:p w14:paraId="02913AD0" w14:textId="77777777" w:rsidR="00047AE1" w:rsidRPr="00047AE1" w:rsidRDefault="00047AE1" w:rsidP="00047AE1">
      <w:pPr>
        <w:numPr>
          <w:ilvl w:val="0"/>
          <w:numId w:val="43"/>
        </w:numPr>
      </w:pPr>
      <w:r w:rsidRPr="00047AE1">
        <w:t>sans restreindre artificiellement la population analysée.</w:t>
      </w:r>
    </w:p>
    <w:p w14:paraId="1889FA8F" w14:textId="77777777" w:rsidR="00047AE1" w:rsidRPr="00047AE1" w:rsidRDefault="00000000" w:rsidP="00047AE1">
      <w:r>
        <w:pict w14:anchorId="13CADEEC">
          <v:rect id="_x0000_i1031" style="width:0;height:1.5pt" o:hralign="center" o:hrstd="t" o:hr="t" fillcolor="#a0a0a0" stroked="f"/>
        </w:pict>
      </w:r>
    </w:p>
    <w:p w14:paraId="005DEDE3" w14:textId="77777777" w:rsidR="00047AE1" w:rsidRPr="00047AE1" w:rsidRDefault="00047AE1" w:rsidP="00047AE1">
      <w:pPr>
        <w:rPr>
          <w:b/>
          <w:bCs/>
        </w:rPr>
      </w:pPr>
      <w:r w:rsidRPr="00047AE1">
        <w:rPr>
          <w:b/>
          <w:bCs/>
        </w:rPr>
        <w:t>6.3 Exclusion des maladies neurodégénératives</w:t>
      </w:r>
    </w:p>
    <w:p w14:paraId="2E7BCED8" w14:textId="77777777" w:rsidR="00047AE1" w:rsidRPr="00047AE1" w:rsidRDefault="00047AE1" w:rsidP="00047AE1">
      <w:r w:rsidRPr="00047AE1">
        <w:t xml:space="preserve">Les variables liées aux maladies neurodégénératives (AD, Parkinson, tauopathies, etc.) ne sont </w:t>
      </w:r>
      <w:r w:rsidRPr="00047AE1">
        <w:rPr>
          <w:b/>
          <w:bCs/>
        </w:rPr>
        <w:t>pas intégrées</w:t>
      </w:r>
      <w:r w:rsidRPr="00047AE1">
        <w:t xml:space="preserve"> au dictionnaire analytique :</w:t>
      </w:r>
    </w:p>
    <w:p w14:paraId="5EBB02D8" w14:textId="77777777" w:rsidR="00047AE1" w:rsidRPr="00047AE1" w:rsidRDefault="00047AE1" w:rsidP="00047AE1">
      <w:pPr>
        <w:numPr>
          <w:ilvl w:val="0"/>
          <w:numId w:val="44"/>
        </w:numPr>
      </w:pPr>
      <w:r w:rsidRPr="00047AE1">
        <w:t>elles ne sont pas pertinentes pour la cohorte HBCC,</w:t>
      </w:r>
    </w:p>
    <w:p w14:paraId="4769008B" w14:textId="77777777" w:rsidR="00047AE1" w:rsidRPr="00047AE1" w:rsidRDefault="00047AE1" w:rsidP="00047AE1">
      <w:pPr>
        <w:numPr>
          <w:ilvl w:val="0"/>
          <w:numId w:val="44"/>
        </w:numPr>
      </w:pPr>
      <w:r w:rsidRPr="00047AE1">
        <w:t>elles sortent du périmètre biologique du projet (SMI, donneurs majoritairement jeunes),</w:t>
      </w:r>
    </w:p>
    <w:p w14:paraId="2246B9CD" w14:textId="77777777" w:rsidR="00047AE1" w:rsidRPr="00047AE1" w:rsidRDefault="00047AE1" w:rsidP="00047AE1">
      <w:pPr>
        <w:numPr>
          <w:ilvl w:val="0"/>
          <w:numId w:val="44"/>
        </w:numPr>
      </w:pPr>
      <w:r w:rsidRPr="00047AE1">
        <w:t xml:space="preserve">leur exclusion est </w:t>
      </w:r>
      <w:r w:rsidRPr="00047AE1">
        <w:rPr>
          <w:b/>
          <w:bCs/>
        </w:rPr>
        <w:t>assumée et documentée</w:t>
      </w:r>
      <w:r w:rsidRPr="00047AE1">
        <w:t>.</w:t>
      </w:r>
    </w:p>
    <w:p w14:paraId="0E52B721" w14:textId="77777777" w:rsidR="00047AE1" w:rsidRPr="00047AE1" w:rsidRDefault="00000000" w:rsidP="00047AE1">
      <w:r>
        <w:pict w14:anchorId="68D6C7D8">
          <v:rect id="_x0000_i1032" style="width:0;height:1.5pt" o:hralign="center" o:hrstd="t" o:hr="t" fillcolor="#a0a0a0" stroked="f"/>
        </w:pict>
      </w:r>
    </w:p>
    <w:p w14:paraId="164835AC" w14:textId="77777777" w:rsidR="00047AE1" w:rsidRPr="00047AE1" w:rsidRDefault="00047AE1" w:rsidP="00047AE1">
      <w:pPr>
        <w:numPr>
          <w:ilvl w:val="0"/>
          <w:numId w:val="17"/>
        </w:numPr>
        <w:tabs>
          <w:tab w:val="num" w:pos="360"/>
        </w:tabs>
        <w:rPr>
          <w:b/>
          <w:bCs/>
        </w:rPr>
      </w:pPr>
      <w:r w:rsidRPr="00047AE1">
        <w:rPr>
          <w:b/>
          <w:bCs/>
        </w:rPr>
        <w:t>7. Justification générale (point clé pour le rapport)</w:t>
      </w:r>
    </w:p>
    <w:p w14:paraId="6B3FC24D" w14:textId="77777777" w:rsidR="00047AE1" w:rsidRPr="00047AE1" w:rsidRDefault="00047AE1" w:rsidP="00047AE1">
      <w:r w:rsidRPr="00047AE1">
        <w:t>La stratégie adoptée privilégie :</w:t>
      </w:r>
    </w:p>
    <w:p w14:paraId="080DF45E" w14:textId="77777777" w:rsidR="00047AE1" w:rsidRPr="00047AE1" w:rsidRDefault="00047AE1" w:rsidP="00047AE1">
      <w:pPr>
        <w:numPr>
          <w:ilvl w:val="0"/>
          <w:numId w:val="45"/>
        </w:numPr>
      </w:pPr>
      <w:r w:rsidRPr="00047AE1">
        <w:t xml:space="preserve">une </w:t>
      </w:r>
      <w:r w:rsidRPr="00047AE1">
        <w:rPr>
          <w:b/>
          <w:bCs/>
        </w:rPr>
        <w:t>définition réaliste des groupes contrôles</w:t>
      </w:r>
      <w:r w:rsidRPr="00047AE1">
        <w:t xml:space="preserve"> (non “super-sains”),</w:t>
      </w:r>
    </w:p>
    <w:p w14:paraId="1A647F4F" w14:textId="77777777" w:rsidR="00047AE1" w:rsidRPr="00047AE1" w:rsidRDefault="00047AE1" w:rsidP="00047AE1">
      <w:pPr>
        <w:numPr>
          <w:ilvl w:val="0"/>
          <w:numId w:val="45"/>
        </w:numPr>
      </w:pPr>
      <w:r w:rsidRPr="00047AE1">
        <w:t xml:space="preserve">l’acceptation des </w:t>
      </w:r>
      <w:r w:rsidRPr="00047AE1">
        <w:rPr>
          <w:b/>
          <w:bCs/>
        </w:rPr>
        <w:t>comorbidités cliniques réelles</w:t>
      </w:r>
      <w:r w:rsidRPr="00047AE1">
        <w:t>,</w:t>
      </w:r>
    </w:p>
    <w:p w14:paraId="1C74C647" w14:textId="77777777" w:rsidR="00047AE1" w:rsidRPr="00047AE1" w:rsidRDefault="00047AE1" w:rsidP="00047AE1">
      <w:pPr>
        <w:numPr>
          <w:ilvl w:val="0"/>
          <w:numId w:val="45"/>
        </w:numPr>
      </w:pPr>
      <w:r w:rsidRPr="00047AE1">
        <w:lastRenderedPageBreak/>
        <w:t>une distinction claire entre :</w:t>
      </w:r>
    </w:p>
    <w:p w14:paraId="46E75DB2" w14:textId="77777777" w:rsidR="00047AE1" w:rsidRPr="00047AE1" w:rsidRDefault="00047AE1" w:rsidP="00047AE1">
      <w:pPr>
        <w:numPr>
          <w:ilvl w:val="1"/>
          <w:numId w:val="45"/>
        </w:numPr>
      </w:pPr>
      <w:r w:rsidRPr="00047AE1">
        <w:t>variables centrales,</w:t>
      </w:r>
    </w:p>
    <w:p w14:paraId="35024F94" w14:textId="77777777" w:rsidR="00047AE1" w:rsidRPr="00047AE1" w:rsidRDefault="00047AE1" w:rsidP="00047AE1">
      <w:pPr>
        <w:numPr>
          <w:ilvl w:val="1"/>
          <w:numId w:val="45"/>
        </w:numPr>
      </w:pPr>
      <w:r w:rsidRPr="00047AE1">
        <w:t>variables de contrôle,</w:t>
      </w:r>
    </w:p>
    <w:p w14:paraId="34B3B968" w14:textId="77777777" w:rsidR="00047AE1" w:rsidRPr="00047AE1" w:rsidRDefault="00047AE1" w:rsidP="00047AE1">
      <w:pPr>
        <w:numPr>
          <w:ilvl w:val="1"/>
          <w:numId w:val="45"/>
        </w:numPr>
      </w:pPr>
      <w:r w:rsidRPr="00047AE1">
        <w:t>variables hors périmètre.</w:t>
      </w:r>
    </w:p>
    <w:p w14:paraId="6DDCA00C" w14:textId="77777777" w:rsidR="00047AE1" w:rsidRPr="00047AE1" w:rsidRDefault="00047AE1" w:rsidP="00047AE1">
      <w:r w:rsidRPr="00047AE1">
        <w:t>Cette approche reflète les contraintes de la médecine réelle et renforce la validité biologique des analyses transcriptomiques.</w:t>
      </w:r>
    </w:p>
    <w:p w14:paraId="1475FAD0" w14:textId="77777777" w:rsidR="00047AE1" w:rsidRDefault="00047AE1" w:rsidP="00047AE1"/>
    <w:p w14:paraId="3B7219CF" w14:textId="77777777" w:rsidR="00047AE1" w:rsidRDefault="00047AE1" w:rsidP="00047AE1"/>
    <w:p w14:paraId="4BA32C7C" w14:textId="77777777" w:rsidR="00047AE1" w:rsidRPr="00047AE1" w:rsidRDefault="00047AE1" w:rsidP="00047AE1">
      <w:r w:rsidRPr="00047AE1">
        <w:t>Justification implicite (solide médicalement) :</w:t>
      </w:r>
    </w:p>
    <w:p w14:paraId="4DEE6018" w14:textId="77777777" w:rsidR="00047AE1" w:rsidRPr="00047AE1" w:rsidRDefault="00047AE1" w:rsidP="00047AE1">
      <w:pPr>
        <w:numPr>
          <w:ilvl w:val="0"/>
          <w:numId w:val="46"/>
        </w:numPr>
      </w:pPr>
      <w:r w:rsidRPr="00047AE1">
        <w:t xml:space="preserve">le vasculaire est </w:t>
      </w:r>
      <w:r w:rsidRPr="00047AE1">
        <w:rPr>
          <w:b/>
          <w:bCs/>
        </w:rPr>
        <w:t>somatique</w:t>
      </w:r>
      <w:r w:rsidRPr="00047AE1">
        <w:t>, fréquent chez contrôles et SMI,</w:t>
      </w:r>
    </w:p>
    <w:p w14:paraId="4CE96AC2" w14:textId="77777777" w:rsidR="00047AE1" w:rsidRPr="00047AE1" w:rsidRDefault="00047AE1" w:rsidP="00047AE1">
      <w:pPr>
        <w:numPr>
          <w:ilvl w:val="0"/>
          <w:numId w:val="46"/>
        </w:numPr>
      </w:pPr>
      <w:r w:rsidRPr="00047AE1">
        <w:t>peut influencer le transcriptome,</w:t>
      </w:r>
    </w:p>
    <w:p w14:paraId="31B17FDA" w14:textId="77777777" w:rsidR="00047AE1" w:rsidRPr="00047AE1" w:rsidRDefault="00047AE1" w:rsidP="00047AE1">
      <w:pPr>
        <w:numPr>
          <w:ilvl w:val="0"/>
          <w:numId w:val="46"/>
        </w:numPr>
      </w:pPr>
      <w:r w:rsidRPr="00047AE1">
        <w:t xml:space="preserve">mais n’est </w:t>
      </w:r>
      <w:r w:rsidRPr="00047AE1">
        <w:rPr>
          <w:b/>
          <w:bCs/>
        </w:rPr>
        <w:t>ni psychiatrique ni neurodégénératif primaire</w:t>
      </w:r>
      <w:r w:rsidRPr="00047AE1">
        <w:t xml:space="preserve"> dans HBCC.</w:t>
      </w:r>
    </w:p>
    <w:p w14:paraId="0E6206F4" w14:textId="77777777" w:rsidR="00047AE1" w:rsidRDefault="00047AE1" w:rsidP="00047AE1"/>
    <w:p w14:paraId="026EAF09" w14:textId="77777777" w:rsidR="00047AE1" w:rsidRPr="00047AE1" w:rsidRDefault="00047AE1" w:rsidP="00047AE1">
      <w:pPr>
        <w:ind w:left="0" w:firstLine="0"/>
        <w:rPr>
          <w:b/>
          <w:bCs/>
        </w:rPr>
      </w:pPr>
      <w:r w:rsidRPr="00047AE1">
        <w:rPr>
          <w:b/>
          <w:bCs/>
        </w:rPr>
        <w:t>Prise en compte des comorbidités somatiques et exclusion ciblée des pathologies neurodégénératives</w:t>
      </w:r>
    </w:p>
    <w:p w14:paraId="6B3D9CBF" w14:textId="77777777" w:rsidR="00047AE1" w:rsidRPr="00047AE1" w:rsidRDefault="00047AE1" w:rsidP="00047AE1">
      <w:r w:rsidRPr="00047AE1">
        <w:t>Dans le cadre de l’analyse de la cohorte HBCC, une distinction méthodologique explicite a été opérée entre les pathologies neuropsychiatriques d’intérêt principal (SMI), les comorbidités somatiques, et les maladies neurodégénératives. Les variables associées aux maladies neurodégénératives (maladie d’Alzheimer, Parkinson, démences fronto-temporales, tauopathies) ont été exclues du dictionnaire analytique, ces pathologies étant hors périmètre biologique de la cohorte HBCC, composée majoritairement de donneurs jeunes, et non pertinentes pour la question scientifique centrée sur les troubles psychiatriques sévères.</w:t>
      </w:r>
    </w:p>
    <w:p w14:paraId="35B3393C" w14:textId="77777777" w:rsidR="00047AE1" w:rsidRPr="00047AE1" w:rsidRDefault="00047AE1" w:rsidP="00047AE1">
      <w:r w:rsidRPr="00047AE1">
        <w:t xml:space="preserve">À l’inverse, les variables reflétant des atteintes somatiques vasculaires ou cardiovasculaires (par exemple </w:t>
      </w:r>
      <w:proofErr w:type="spellStart"/>
      <w:r w:rsidRPr="00047AE1">
        <w:t>ASCVD_status</w:t>
      </w:r>
      <w:proofErr w:type="spellEnd"/>
      <w:r w:rsidRPr="00047AE1">
        <w:t xml:space="preserve"> et </w:t>
      </w:r>
      <w:proofErr w:type="spellStart"/>
      <w:r w:rsidRPr="00047AE1">
        <w:t>Vascular_status</w:t>
      </w:r>
      <w:proofErr w:type="spellEnd"/>
      <w:r w:rsidRPr="00047AE1">
        <w:t xml:space="preserve">) ont été conservées comme </w:t>
      </w:r>
      <w:r w:rsidRPr="00047AE1">
        <w:rPr>
          <w:b/>
          <w:bCs/>
        </w:rPr>
        <w:t>comorbidités observables</w:t>
      </w:r>
      <w:r w:rsidRPr="00047AE1">
        <w:t>, sans être utilisées comme axes principaux de stratification. Ce choix vise à maintenir une représentation réaliste des populations contrôles et SMI, tout en permettant la vérification d’éventuels déséquilibres cliniques susceptibles d’influencer le transcriptome. Ces comorbidités sont ainsi intégrées dans l’analyse exploratoire à des fins de contrôle, mais ne constituent ni des critères d’exclusion, ni des groupes biologiques comparés.</w:t>
      </w:r>
    </w:p>
    <w:p w14:paraId="37A7884A" w14:textId="77777777" w:rsidR="00047AE1" w:rsidRPr="00047AE1" w:rsidRDefault="00047AE1" w:rsidP="00047AE1">
      <w:r w:rsidRPr="00047AE1">
        <w:t>Cette approche permet de concilier rigueur clinique, validité biologique et faisabilité analytique, en évitant une définition artificiellement restrictive des groupes tout en assumant explicitement le périmètre d’analyse retenu.</w:t>
      </w:r>
    </w:p>
    <w:p w14:paraId="38347AEA" w14:textId="77777777" w:rsidR="00047AE1" w:rsidRDefault="00047AE1" w:rsidP="00047AE1"/>
    <w:p w14:paraId="0FFB8720" w14:textId="77777777" w:rsidR="00047AE1" w:rsidRDefault="00047AE1" w:rsidP="00047AE1"/>
    <w:p w14:paraId="2C85473B" w14:textId="77777777" w:rsidR="00047AE1" w:rsidRPr="00047AE1" w:rsidRDefault="00047AE1" w:rsidP="00047AE1"/>
    <w:p w14:paraId="272D9410" w14:textId="18B34560" w:rsidR="00913ACD" w:rsidRDefault="00913ACD" w:rsidP="00913ACD">
      <w:r>
        <w:t xml:space="preserve">Note méthodo : </w:t>
      </w:r>
      <w:r w:rsidRPr="00913ACD">
        <w:t>Un dictionnaire de métadonnées au format CSV a été utilisé pour associer chaque métadonnée à une étape spécifique du pipeline single-cell (contrôle qualité, annotation cellulaire, regroupement clinique), facilitant la reproductibilité et la compréhension de l’analyse.</w:t>
      </w:r>
    </w:p>
    <w:p w14:paraId="0AC101C6" w14:textId="77777777" w:rsidR="00913ACD" w:rsidRDefault="00913ACD" w:rsidP="00913ACD"/>
    <w:p w14:paraId="56359CD8" w14:textId="77777777" w:rsidR="00DE27DC" w:rsidRDefault="00DE27DC" w:rsidP="00913ACD"/>
    <w:p w14:paraId="3D5EB6F5" w14:textId="77777777" w:rsidR="00DE27DC" w:rsidRPr="00DE27DC" w:rsidRDefault="00DE27DC" w:rsidP="00DE27DC">
      <w:pPr>
        <w:rPr>
          <w:lang w:val="en-US"/>
        </w:rPr>
      </w:pPr>
      <w:r w:rsidRPr="00DE27DC">
        <w:rPr>
          <w:lang w:val="en-US"/>
        </w:rPr>
        <w:t xml:space="preserve">Tu </w:t>
      </w:r>
      <w:proofErr w:type="spellStart"/>
      <w:r w:rsidRPr="00DE27DC">
        <w:rPr>
          <w:lang w:val="en-US"/>
        </w:rPr>
        <w:t>peux</w:t>
      </w:r>
      <w:proofErr w:type="spellEnd"/>
      <w:r w:rsidRPr="00DE27DC">
        <w:rPr>
          <w:lang w:val="en-US"/>
        </w:rPr>
        <w:t xml:space="preserve"> dire </w:t>
      </w:r>
      <w:proofErr w:type="spellStart"/>
      <w:r w:rsidRPr="00DE27DC">
        <w:rPr>
          <w:lang w:val="en-US"/>
        </w:rPr>
        <w:t>exactement</w:t>
      </w:r>
      <w:proofErr w:type="spellEnd"/>
      <w:r w:rsidRPr="00DE27DC">
        <w:rPr>
          <w:lang w:val="en-US"/>
        </w:rPr>
        <w:t xml:space="preserve"> :</w:t>
      </w:r>
    </w:p>
    <w:p w14:paraId="759DA6F9" w14:textId="77777777" w:rsidR="00DE27DC" w:rsidRPr="00DE27DC" w:rsidRDefault="00DE27DC" w:rsidP="00DE27DC">
      <w:pPr>
        <w:rPr>
          <w:lang w:val="en-US"/>
        </w:rPr>
      </w:pPr>
      <w:r w:rsidRPr="00DE27DC">
        <w:rPr>
          <w:i/>
          <w:iCs/>
          <w:lang w:val="en-US"/>
        </w:rPr>
        <w:lastRenderedPageBreak/>
        <w:t xml:space="preserve">We generated a reduced raw </w:t>
      </w:r>
      <w:proofErr w:type="spellStart"/>
      <w:r w:rsidRPr="00DE27DC">
        <w:rPr>
          <w:i/>
          <w:iCs/>
          <w:lang w:val="en-US"/>
        </w:rPr>
        <w:t>AnnData</w:t>
      </w:r>
      <w:proofErr w:type="spellEnd"/>
      <w:r w:rsidRPr="00DE27DC">
        <w:rPr>
          <w:i/>
          <w:iCs/>
          <w:lang w:val="en-US"/>
        </w:rPr>
        <w:t xml:space="preserve"> object by restricting the HBCC dataset to European donors and subsampling nuclei per donor, in order to ensure computational feasibility. No quality control, normalization, or transformation was applied at this stage.</w:t>
      </w:r>
    </w:p>
    <w:p w14:paraId="3C1B93B8" w14:textId="77777777" w:rsidR="00DE27DC" w:rsidRPr="00DE27DC" w:rsidRDefault="00DE27DC" w:rsidP="00DE27DC">
      <w:r w:rsidRPr="00DE27DC">
        <w:t>Ou en français :</w:t>
      </w:r>
    </w:p>
    <w:p w14:paraId="08FEDE07" w14:textId="77777777" w:rsidR="00DE27DC" w:rsidRPr="00DE27DC" w:rsidRDefault="00DE27DC" w:rsidP="00DE27DC">
      <w:r w:rsidRPr="00DE27DC">
        <w:rPr>
          <w:i/>
          <w:iCs/>
        </w:rPr>
        <w:t>Une version brute filtrée du jeu de données HBCC a été construite par restriction de la cohorte et sous-échantillonnage cellulaire, sans aucun traitement d’expression génique.</w:t>
      </w:r>
    </w:p>
    <w:p w14:paraId="5C2D18EF" w14:textId="77777777" w:rsidR="00DE27DC" w:rsidRDefault="00DE27DC" w:rsidP="00913ACD"/>
    <w:p w14:paraId="0DB658F8" w14:textId="77777777" w:rsidR="006553B5" w:rsidRPr="006553B5" w:rsidRDefault="006553B5" w:rsidP="006553B5">
      <w:r w:rsidRPr="006553B5">
        <w:t xml:space="preserve">C’est </w:t>
      </w:r>
      <w:r w:rsidRPr="006553B5">
        <w:rPr>
          <w:b/>
          <w:bCs/>
        </w:rPr>
        <w:t>parfaitement cohérent</w:t>
      </w:r>
      <w:r w:rsidRPr="006553B5">
        <w:t xml:space="preserve"> et méthodologiquement </w:t>
      </w:r>
      <w:r w:rsidRPr="006553B5">
        <w:rPr>
          <w:b/>
          <w:bCs/>
        </w:rPr>
        <w:t>très propre</w:t>
      </w:r>
      <w:r w:rsidRPr="006553B5">
        <w:t xml:space="preserve">. </w:t>
      </w:r>
      <w:r w:rsidRPr="006553B5">
        <w:rPr>
          <w:rFonts w:ascii="Segoe UI Emoji" w:hAnsi="Segoe UI Emoji" w:cs="Segoe UI Emoji"/>
        </w:rPr>
        <w:t>✅</w:t>
      </w:r>
    </w:p>
    <w:p w14:paraId="277FD6EC" w14:textId="77777777" w:rsidR="006553B5" w:rsidRPr="006553B5" w:rsidRDefault="006553B5" w:rsidP="006553B5">
      <w:r w:rsidRPr="006553B5">
        <w:t>Lecture rapide (et ce que ça prouve) :</w:t>
      </w:r>
    </w:p>
    <w:p w14:paraId="6E64D161" w14:textId="77777777" w:rsidR="006553B5" w:rsidRPr="006553B5" w:rsidRDefault="006553B5" w:rsidP="006553B5">
      <w:pPr>
        <w:numPr>
          <w:ilvl w:val="0"/>
          <w:numId w:val="47"/>
        </w:numPr>
      </w:pPr>
      <w:r w:rsidRPr="006553B5">
        <w:rPr>
          <w:b/>
          <w:bCs/>
        </w:rPr>
        <w:t>Taille disque</w:t>
      </w:r>
      <w:r w:rsidRPr="006553B5">
        <w:t xml:space="preserve"> :</w:t>
      </w:r>
      <w:r w:rsidRPr="006553B5">
        <w:br/>
        <w:t xml:space="preserve">13.18 GB → </w:t>
      </w:r>
      <w:r w:rsidRPr="006553B5">
        <w:rPr>
          <w:b/>
          <w:bCs/>
        </w:rPr>
        <w:t>1.33 GB</w:t>
      </w:r>
      <w:r w:rsidRPr="006553B5">
        <w:br/>
      </w:r>
      <w:r w:rsidRPr="006553B5">
        <w:rPr>
          <w:rFonts w:ascii="Segoe UI Symbol" w:hAnsi="Segoe UI Symbol" w:cs="Segoe UI Symbol"/>
        </w:rPr>
        <w:t>➜</w:t>
      </w:r>
      <w:r w:rsidRPr="006553B5">
        <w:t xml:space="preserve"> réduction massive </w:t>
      </w:r>
      <w:r w:rsidRPr="006553B5">
        <w:rPr>
          <w:b/>
          <w:bCs/>
        </w:rPr>
        <w:t xml:space="preserve">sans toucher aux gènes ni aux </w:t>
      </w:r>
      <w:proofErr w:type="spellStart"/>
      <w:r w:rsidRPr="006553B5">
        <w:rPr>
          <w:b/>
          <w:bCs/>
        </w:rPr>
        <w:t>counts</w:t>
      </w:r>
      <w:proofErr w:type="spellEnd"/>
    </w:p>
    <w:p w14:paraId="2CC1788A" w14:textId="77777777" w:rsidR="006553B5" w:rsidRPr="006553B5" w:rsidRDefault="006553B5" w:rsidP="006553B5">
      <w:pPr>
        <w:numPr>
          <w:ilvl w:val="0"/>
          <w:numId w:val="47"/>
        </w:numPr>
      </w:pPr>
      <w:r w:rsidRPr="006553B5">
        <w:rPr>
          <w:b/>
          <w:bCs/>
        </w:rPr>
        <w:t>Cellules</w:t>
      </w:r>
      <w:r w:rsidRPr="006553B5">
        <w:t xml:space="preserve"> :</w:t>
      </w:r>
      <w:r w:rsidRPr="006553B5">
        <w:br/>
        <w:t xml:space="preserve">1 486 324 → </w:t>
      </w:r>
      <w:r w:rsidRPr="006553B5">
        <w:rPr>
          <w:b/>
          <w:bCs/>
        </w:rPr>
        <w:t>146 360</w:t>
      </w:r>
      <w:r w:rsidRPr="006553B5">
        <w:br/>
      </w:r>
      <w:r w:rsidRPr="006553B5">
        <w:rPr>
          <w:rFonts w:ascii="Segoe UI Symbol" w:hAnsi="Segoe UI Symbol" w:cs="Segoe UI Symbol"/>
        </w:rPr>
        <w:t>➜</w:t>
      </w:r>
      <w:r w:rsidRPr="006553B5">
        <w:t xml:space="preserve"> sous-échantillonnage contrôlé (≈ 10 %), compatible RAM</w:t>
      </w:r>
    </w:p>
    <w:p w14:paraId="153A1B2E" w14:textId="77777777" w:rsidR="006553B5" w:rsidRPr="006553B5" w:rsidRDefault="006553B5" w:rsidP="006553B5">
      <w:pPr>
        <w:numPr>
          <w:ilvl w:val="0"/>
          <w:numId w:val="47"/>
        </w:numPr>
      </w:pPr>
      <w:r w:rsidRPr="006553B5">
        <w:rPr>
          <w:b/>
          <w:bCs/>
        </w:rPr>
        <w:t>Donneurs</w:t>
      </w:r>
      <w:r w:rsidRPr="006553B5">
        <w:t xml:space="preserve"> :</w:t>
      </w:r>
      <w:r w:rsidRPr="006553B5">
        <w:br/>
        <w:t xml:space="preserve">300 → </w:t>
      </w:r>
      <w:r w:rsidRPr="006553B5">
        <w:rPr>
          <w:b/>
          <w:bCs/>
        </w:rPr>
        <w:t>149</w:t>
      </w:r>
      <w:r w:rsidRPr="006553B5">
        <w:br/>
      </w:r>
      <w:r w:rsidRPr="006553B5">
        <w:rPr>
          <w:rFonts w:ascii="Segoe UI Symbol" w:hAnsi="Segoe UI Symbol" w:cs="Segoe UI Symbol"/>
        </w:rPr>
        <w:t>➜</w:t>
      </w:r>
      <w:r w:rsidRPr="006553B5">
        <w:t xml:space="preserve"> exactement la population </w:t>
      </w:r>
      <w:r w:rsidRPr="006553B5">
        <w:rPr>
          <w:b/>
          <w:bCs/>
        </w:rPr>
        <w:t>européenne</w:t>
      </w:r>
      <w:r w:rsidRPr="006553B5">
        <w:t xml:space="preserve"> ciblée</w:t>
      </w:r>
    </w:p>
    <w:p w14:paraId="71316D67" w14:textId="77777777" w:rsidR="006553B5" w:rsidRPr="006553B5" w:rsidRDefault="006553B5" w:rsidP="006553B5">
      <w:pPr>
        <w:numPr>
          <w:ilvl w:val="0"/>
          <w:numId w:val="47"/>
        </w:numPr>
      </w:pPr>
      <w:r w:rsidRPr="006553B5">
        <w:rPr>
          <w:b/>
          <w:bCs/>
        </w:rPr>
        <w:t>Gènes</w:t>
      </w:r>
      <w:r w:rsidRPr="006553B5">
        <w:t xml:space="preserve"> :</w:t>
      </w:r>
      <w:r w:rsidRPr="006553B5">
        <w:br/>
        <w:t xml:space="preserve">34 176 → </w:t>
      </w:r>
      <w:r w:rsidRPr="006553B5">
        <w:rPr>
          <w:b/>
          <w:bCs/>
        </w:rPr>
        <w:t>34 176</w:t>
      </w:r>
      <w:r w:rsidRPr="006553B5">
        <w:br/>
      </w:r>
      <w:r w:rsidRPr="006553B5">
        <w:rPr>
          <w:rFonts w:ascii="Segoe UI Symbol" w:hAnsi="Segoe UI Symbol" w:cs="Segoe UI Symbol"/>
        </w:rPr>
        <w:t>➜</w:t>
      </w:r>
      <w:r w:rsidRPr="006553B5">
        <w:t xml:space="preserve"> </w:t>
      </w:r>
      <w:r w:rsidRPr="006553B5">
        <w:rPr>
          <w:b/>
          <w:bCs/>
        </w:rPr>
        <w:t>aucune perte d’information transcriptomique</w:t>
      </w:r>
    </w:p>
    <w:p w14:paraId="103F0361" w14:textId="77777777" w:rsidR="006553B5" w:rsidRPr="006553B5" w:rsidRDefault="006553B5" w:rsidP="006553B5">
      <w:pPr>
        <w:numPr>
          <w:ilvl w:val="0"/>
          <w:numId w:val="47"/>
        </w:numPr>
      </w:pPr>
      <w:r w:rsidRPr="006553B5">
        <w:rPr>
          <w:b/>
          <w:bCs/>
        </w:rPr>
        <w:t>Donneurs européens</w:t>
      </w:r>
      <w:r w:rsidRPr="006553B5">
        <w:t xml:space="preserve"> :</w:t>
      </w:r>
      <w:r w:rsidRPr="006553B5">
        <w:br/>
        <w:t xml:space="preserve">149 → </w:t>
      </w:r>
      <w:r w:rsidRPr="006553B5">
        <w:rPr>
          <w:b/>
          <w:bCs/>
        </w:rPr>
        <w:t>149</w:t>
      </w:r>
      <w:r w:rsidRPr="006553B5">
        <w:br/>
      </w:r>
      <w:r w:rsidRPr="006553B5">
        <w:rPr>
          <w:rFonts w:ascii="Segoe UI Symbol" w:hAnsi="Segoe UI Symbol" w:cs="Segoe UI Symbol"/>
        </w:rPr>
        <w:t>➜</w:t>
      </w:r>
      <w:r w:rsidRPr="006553B5">
        <w:t xml:space="preserve"> conservation intégrale de la cohorte d’intérêt</w:t>
      </w:r>
    </w:p>
    <w:p w14:paraId="5C71568F" w14:textId="77777777" w:rsidR="006553B5" w:rsidRPr="006553B5" w:rsidRDefault="006553B5" w:rsidP="006553B5">
      <w:r w:rsidRPr="006553B5">
        <w:rPr>
          <w:rFonts w:ascii="Segoe UI Emoji" w:hAnsi="Segoe UI Emoji" w:cs="Segoe UI Emoji"/>
        </w:rPr>
        <w:t>👉</w:t>
      </w:r>
      <w:r w:rsidRPr="006553B5">
        <w:t xml:space="preserve"> Conclusion claire (que tu peux écrire telle quelle dans le rapport) :</w:t>
      </w:r>
    </w:p>
    <w:p w14:paraId="0312A03E" w14:textId="77777777" w:rsidR="006553B5" w:rsidRPr="006553B5" w:rsidRDefault="006553B5" w:rsidP="006553B5">
      <w:pPr>
        <w:rPr>
          <w:lang w:val="en-US"/>
        </w:rPr>
      </w:pPr>
      <w:r w:rsidRPr="006553B5">
        <w:rPr>
          <w:i/>
          <w:iCs/>
          <w:lang w:val="en-US"/>
        </w:rPr>
        <w:t xml:space="preserve">A reduced raw </w:t>
      </w:r>
      <w:proofErr w:type="spellStart"/>
      <w:r w:rsidRPr="006553B5">
        <w:rPr>
          <w:i/>
          <w:iCs/>
          <w:lang w:val="en-US"/>
        </w:rPr>
        <w:t>AnnData</w:t>
      </w:r>
      <w:proofErr w:type="spellEnd"/>
      <w:r w:rsidRPr="006553B5">
        <w:rPr>
          <w:i/>
          <w:iCs/>
          <w:lang w:val="en-US"/>
        </w:rPr>
        <w:t xml:space="preserve"> object was generated by restricting the HBCC dataset to European donors and subsampling nuclei per donor, achieving a ~10× reduction in size while preserving all genes and donor diversity.</w:t>
      </w:r>
    </w:p>
    <w:p w14:paraId="3804F905" w14:textId="77777777" w:rsidR="00E1262C" w:rsidRDefault="00E1262C" w:rsidP="00913ACD">
      <w:pPr>
        <w:rPr>
          <w:lang w:val="en-US"/>
        </w:rPr>
      </w:pPr>
    </w:p>
    <w:p w14:paraId="4102B5F4" w14:textId="77777777" w:rsidR="006553B5" w:rsidRPr="006553B5" w:rsidRDefault="006553B5" w:rsidP="006553B5">
      <w:pPr>
        <w:rPr>
          <w:lang w:val="en-US"/>
        </w:rPr>
      </w:pPr>
      <w:r w:rsidRPr="006553B5">
        <w:rPr>
          <w:lang w:val="en-US"/>
        </w:rPr>
        <w:t xml:space="preserve">#### </w:t>
      </w:r>
      <w:r w:rsidRPr="006553B5">
        <w:rPr>
          <w:b/>
          <w:bCs/>
          <w:lang w:val="en-US"/>
        </w:rPr>
        <w:t>**Cohort Restriction and Cell-Level Subsampling**</w:t>
      </w:r>
    </w:p>
    <w:p w14:paraId="200B3B4B" w14:textId="77777777" w:rsidR="006553B5" w:rsidRPr="006553B5" w:rsidRDefault="006553B5" w:rsidP="006553B5">
      <w:pPr>
        <w:rPr>
          <w:lang w:val="en-US"/>
        </w:rPr>
      </w:pPr>
      <w:r w:rsidRPr="006553B5">
        <w:rPr>
          <w:lang w:val="en-US"/>
        </w:rPr>
        <w:t>&lt;small&gt;To ensure computational feasibility while preserving inter-individual biological variability, the HBCC dataset was first restricted at the donor level to individuals with European genetic ancestry. This step reduces population stratification and defines the primary analytical cohort without altering gene expression values.</w:t>
      </w:r>
    </w:p>
    <w:p w14:paraId="69EE6411" w14:textId="77777777" w:rsidR="006553B5" w:rsidRPr="006553B5" w:rsidRDefault="006553B5" w:rsidP="006553B5">
      <w:pPr>
        <w:rPr>
          <w:lang w:val="en-US"/>
        </w:rPr>
      </w:pPr>
    </w:p>
    <w:p w14:paraId="7981C660" w14:textId="77777777" w:rsidR="006553B5" w:rsidRPr="003F5132" w:rsidRDefault="006553B5" w:rsidP="006553B5">
      <w:pPr>
        <w:rPr>
          <w:lang w:val="en-US"/>
        </w:rPr>
      </w:pPr>
      <w:r w:rsidRPr="003F5132">
        <w:rPr>
          <w:lang w:val="en-US"/>
        </w:rPr>
        <w:t>Within this restricted cohort, all available European donors were retained (149 donors: 77 controls and 72 SMI), reflecting the full extent of the population of interest in the dataset. To further control memory usage while maintaining broad cellular representation, a cell-level subsampling strategy was then applied, limiting the number of nuclei to a maximum of 1,000 cells per donor.</w:t>
      </w:r>
    </w:p>
    <w:p w14:paraId="02A447CA" w14:textId="77777777" w:rsidR="006553B5" w:rsidRPr="003F5132" w:rsidRDefault="006553B5" w:rsidP="006553B5">
      <w:pPr>
        <w:rPr>
          <w:lang w:val="en-US"/>
        </w:rPr>
      </w:pPr>
    </w:p>
    <w:p w14:paraId="7362CE0C" w14:textId="77777777" w:rsidR="006553B5" w:rsidRPr="003F5132" w:rsidRDefault="006553B5" w:rsidP="006553B5">
      <w:pPr>
        <w:rPr>
          <w:lang w:val="en-US"/>
        </w:rPr>
      </w:pPr>
      <w:r w:rsidRPr="003F5132">
        <w:rPr>
          <w:lang w:val="en-US"/>
        </w:rPr>
        <w:t xml:space="preserve">This approach results in a reduced raw </w:t>
      </w:r>
      <w:proofErr w:type="spellStart"/>
      <w:r w:rsidRPr="003F5132">
        <w:rPr>
          <w:lang w:val="en-US"/>
        </w:rPr>
        <w:t>AnnData</w:t>
      </w:r>
      <w:proofErr w:type="spellEnd"/>
      <w:r w:rsidRPr="003F5132">
        <w:rPr>
          <w:lang w:val="en-US"/>
        </w:rPr>
        <w:t xml:space="preserve"> object that preserves:</w:t>
      </w:r>
    </w:p>
    <w:p w14:paraId="30878F02" w14:textId="77777777" w:rsidR="006553B5" w:rsidRPr="003F5132" w:rsidRDefault="006553B5" w:rsidP="006553B5">
      <w:pPr>
        <w:rPr>
          <w:lang w:val="en-US"/>
        </w:rPr>
      </w:pPr>
      <w:r w:rsidRPr="003F5132">
        <w:rPr>
          <w:lang w:val="en-US"/>
        </w:rPr>
        <w:t>- all genes,</w:t>
      </w:r>
    </w:p>
    <w:p w14:paraId="5B8618D1" w14:textId="77777777" w:rsidR="006553B5" w:rsidRPr="003F5132" w:rsidRDefault="006553B5" w:rsidP="006553B5">
      <w:pPr>
        <w:rPr>
          <w:lang w:val="en-US"/>
        </w:rPr>
      </w:pPr>
      <w:r w:rsidRPr="003F5132">
        <w:rPr>
          <w:lang w:val="en-US"/>
        </w:rPr>
        <w:lastRenderedPageBreak/>
        <w:t>- all European donors,</w:t>
      </w:r>
    </w:p>
    <w:p w14:paraId="4272E2A4" w14:textId="77777777" w:rsidR="006553B5" w:rsidRPr="003F5132" w:rsidRDefault="006553B5" w:rsidP="006553B5">
      <w:pPr>
        <w:rPr>
          <w:lang w:val="en-US"/>
        </w:rPr>
      </w:pPr>
      <w:r w:rsidRPr="003F5132">
        <w:rPr>
          <w:lang w:val="en-US"/>
        </w:rPr>
        <w:t>- and a balanced cellular contribution across individuals,</w:t>
      </w:r>
    </w:p>
    <w:p w14:paraId="4C6D89D0" w14:textId="77777777" w:rsidR="006553B5" w:rsidRPr="003F5132" w:rsidRDefault="006553B5" w:rsidP="006553B5">
      <w:pPr>
        <w:rPr>
          <w:lang w:val="en-US"/>
        </w:rPr>
      </w:pPr>
    </w:p>
    <w:p w14:paraId="214CE168" w14:textId="77777777" w:rsidR="006553B5" w:rsidRPr="003F5132" w:rsidRDefault="006553B5" w:rsidP="006553B5">
      <w:pPr>
        <w:rPr>
          <w:lang w:val="en-US"/>
        </w:rPr>
      </w:pPr>
      <w:r w:rsidRPr="003F5132">
        <w:rPr>
          <w:lang w:val="en-US"/>
        </w:rPr>
        <w:t>while remaining compatible with in-memory downstream analyses. Other ancestry groups and excluded cells are retained in the original dataset and may be explored in independent secondary analyses.&lt;/small&gt;</w:t>
      </w:r>
    </w:p>
    <w:p w14:paraId="2384FA49" w14:textId="77777777" w:rsidR="006553B5" w:rsidRDefault="006553B5" w:rsidP="00913ACD">
      <w:pPr>
        <w:rPr>
          <w:lang w:val="en-US"/>
        </w:rPr>
      </w:pPr>
    </w:p>
    <w:p w14:paraId="35E4A269" w14:textId="77777777" w:rsidR="00121585" w:rsidRDefault="00121585" w:rsidP="00121585">
      <w:pPr>
        <w:ind w:left="0" w:firstLine="0"/>
        <w:rPr>
          <w:b/>
          <w:bCs/>
        </w:rPr>
      </w:pPr>
      <w:r w:rsidRPr="00121585">
        <w:rPr>
          <w:b/>
          <w:bCs/>
        </w:rPr>
        <w:t>Impact du sous-échantillonnage sur la structure biologique du dataset HBCC</w:t>
      </w:r>
    </w:p>
    <w:p w14:paraId="57F2A991" w14:textId="43CC5FE0" w:rsidR="008D4C41" w:rsidRDefault="008D4C41" w:rsidP="00121585">
      <w:pPr>
        <w:ind w:left="0" w:firstLine="0"/>
        <w:rPr>
          <w:b/>
          <w:bCs/>
        </w:rPr>
      </w:pPr>
      <w:r>
        <w:rPr>
          <w:b/>
          <w:bCs/>
        </w:rPr>
        <w:t>Sur le fichier brut</w:t>
      </w:r>
    </w:p>
    <w:p w14:paraId="66580253" w14:textId="2D0BEB65" w:rsidR="00121585" w:rsidRDefault="00121585" w:rsidP="00121585">
      <w:pPr>
        <w:ind w:left="0" w:firstLine="0"/>
        <w:rPr>
          <w:b/>
          <w:bCs/>
        </w:rPr>
      </w:pPr>
      <w:r w:rsidRPr="00121585">
        <w:rPr>
          <w:b/>
          <w:bCs/>
        </w:rPr>
        <w:drawing>
          <wp:inline distT="0" distB="0" distL="0" distR="0" wp14:anchorId="3D525D41" wp14:editId="7D4A5AB5">
            <wp:extent cx="5998210" cy="3002915"/>
            <wp:effectExtent l="0" t="0" r="2540" b="6985"/>
            <wp:docPr id="885957293"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57293" name="Image 1" descr="Une image contenant texte, capture d’écran, Police, diagramme&#10;&#10;Le contenu généré par l’IA peut être incorrect."/>
                    <pic:cNvPicPr/>
                  </pic:nvPicPr>
                  <pic:blipFill>
                    <a:blip r:embed="rId22"/>
                    <a:stretch>
                      <a:fillRect/>
                    </a:stretch>
                  </pic:blipFill>
                  <pic:spPr>
                    <a:xfrm>
                      <a:off x="0" y="0"/>
                      <a:ext cx="5998210" cy="3002915"/>
                    </a:xfrm>
                    <a:prstGeom prst="rect">
                      <a:avLst/>
                    </a:prstGeom>
                  </pic:spPr>
                </pic:pic>
              </a:graphicData>
            </a:graphic>
          </wp:inline>
        </w:drawing>
      </w:r>
    </w:p>
    <w:p w14:paraId="061FBEED" w14:textId="77777777" w:rsidR="008D4C41" w:rsidRDefault="008D4C41" w:rsidP="00121585">
      <w:pPr>
        <w:ind w:left="0" w:firstLine="0"/>
        <w:rPr>
          <w:b/>
          <w:bCs/>
        </w:rPr>
      </w:pPr>
    </w:p>
    <w:p w14:paraId="2C14F3E1" w14:textId="51825345" w:rsidR="00121585" w:rsidRDefault="008D4C41" w:rsidP="00121585">
      <w:pPr>
        <w:ind w:left="0" w:firstLine="0"/>
        <w:rPr>
          <w:b/>
          <w:bCs/>
        </w:rPr>
      </w:pPr>
      <w:r>
        <w:rPr>
          <w:b/>
          <w:bCs/>
        </w:rPr>
        <w:t>Après sous-échantillonnage Option B</w:t>
      </w:r>
    </w:p>
    <w:p w14:paraId="0C1D6625" w14:textId="77777777" w:rsidR="008D4C41" w:rsidRDefault="008D4C41" w:rsidP="00121585">
      <w:pPr>
        <w:rPr>
          <w:b/>
          <w:bCs/>
        </w:rPr>
      </w:pPr>
    </w:p>
    <w:p w14:paraId="76C6AC48" w14:textId="77777777" w:rsidR="008D4C41" w:rsidRDefault="008D4C41" w:rsidP="00121585">
      <w:pPr>
        <w:rPr>
          <w:b/>
          <w:bCs/>
        </w:rPr>
      </w:pPr>
    </w:p>
    <w:p w14:paraId="20F8E44E" w14:textId="5EE448B8" w:rsidR="00121585" w:rsidRDefault="00121585" w:rsidP="00121585">
      <w:pPr>
        <w:rPr>
          <w:b/>
          <w:bCs/>
        </w:rPr>
      </w:pPr>
      <w:r w:rsidRPr="001E66A0">
        <w:lastRenderedPageBreak/>
        <w:drawing>
          <wp:anchor distT="0" distB="0" distL="114300" distR="114300" simplePos="0" relativeHeight="251659264" behindDoc="0" locked="0" layoutInCell="1" allowOverlap="1" wp14:anchorId="3C30DFDB" wp14:editId="0C96269C">
            <wp:simplePos x="897147" y="5960853"/>
            <wp:positionH relativeFrom="column">
              <wp:align>left</wp:align>
            </wp:positionH>
            <wp:positionV relativeFrom="paragraph">
              <wp:align>top</wp:align>
            </wp:positionV>
            <wp:extent cx="5998210" cy="2877185"/>
            <wp:effectExtent l="0" t="0" r="2540" b="0"/>
            <wp:wrapSquare wrapText="bothSides"/>
            <wp:docPr id="679609987" name="Image 1" descr="Une image contenant texte, graphisme, Graphiqu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09987" name="Image 1" descr="Une image contenant texte, graphisme, Graphique, capture d’écran&#10;&#10;Le contenu généré par l’IA peut êtr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98210" cy="2877185"/>
                    </a:xfrm>
                    <a:prstGeom prst="rect">
                      <a:avLst/>
                    </a:prstGeom>
                  </pic:spPr>
                </pic:pic>
              </a:graphicData>
            </a:graphic>
          </wp:anchor>
        </w:drawing>
      </w:r>
    </w:p>
    <w:p w14:paraId="44C23BC8" w14:textId="77777777" w:rsidR="008D4C41" w:rsidRPr="008D4C41" w:rsidRDefault="008D4C41" w:rsidP="008D4C41">
      <w:pPr>
        <w:rPr>
          <w:b/>
          <w:bCs/>
        </w:rPr>
      </w:pPr>
      <w:proofErr w:type="spellStart"/>
      <w:r w:rsidRPr="008D4C41">
        <w:rPr>
          <w:b/>
          <w:bCs/>
        </w:rPr>
        <w:t>Fig</w:t>
      </w:r>
      <w:proofErr w:type="spellEnd"/>
      <w:r w:rsidRPr="008D4C41">
        <w:rPr>
          <w:b/>
          <w:bCs/>
        </w:rPr>
        <w:t xml:space="preserve"> X — Répartition du sexe, de l’ascendance génétique et des classes d’âge dans la cohorte HBCC.</w:t>
      </w:r>
    </w:p>
    <w:p w14:paraId="6A7C43F7" w14:textId="77777777" w:rsidR="008D4C41" w:rsidRPr="008D4C41" w:rsidRDefault="008D4C41" w:rsidP="008D4C41">
      <w:pPr>
        <w:rPr>
          <w:b/>
          <w:bCs/>
        </w:rPr>
      </w:pPr>
      <w:r w:rsidRPr="008D4C41">
        <w:rPr>
          <w:b/>
          <w:bCs/>
        </w:rPr>
        <w:t>Cette figure décrit la composition démographique de la cohorte avant filtrage et souligne les biais populationnels pertinents pour l'analyse transcriptomique.</w:t>
      </w:r>
    </w:p>
    <w:p w14:paraId="3C48528B" w14:textId="77777777" w:rsidR="008D4C41" w:rsidRPr="008D4C41" w:rsidRDefault="008D4C41" w:rsidP="008D4C41">
      <w:pPr>
        <w:rPr>
          <w:b/>
          <w:bCs/>
          <w:lang w:val="en-US"/>
        </w:rPr>
      </w:pPr>
      <w:r w:rsidRPr="008D4C41">
        <w:rPr>
          <w:b/>
          <w:bCs/>
        </w:rPr>
        <w:t xml:space="preserve">   </w:t>
      </w:r>
      <w:r w:rsidRPr="008D4C41">
        <w:rPr>
          <w:b/>
          <w:bCs/>
          <w:lang w:val="en-US"/>
        </w:rPr>
        <w:t xml:space="preserve">male         1,034,413 (69.6%)             European     739,039 (49.7%)            Infancy (0-1year)   32,257 ( 2.2%)         </w:t>
      </w:r>
    </w:p>
    <w:p w14:paraId="3D9362FB" w14:textId="77777777" w:rsidR="008D4C41" w:rsidRPr="008D4C41" w:rsidRDefault="008D4C41" w:rsidP="008D4C41">
      <w:pPr>
        <w:rPr>
          <w:b/>
          <w:bCs/>
          <w:lang w:val="en-US"/>
        </w:rPr>
      </w:pPr>
      <w:r w:rsidRPr="008D4C41">
        <w:rPr>
          <w:b/>
          <w:bCs/>
          <w:lang w:val="en-US"/>
        </w:rPr>
        <w:t xml:space="preserve">   female       451,911 (30.4%)               African      623,886 (42.0%)            Childhood (1-12 years)  58,288 ( 3.9%)     </w:t>
      </w:r>
    </w:p>
    <w:p w14:paraId="5A4911C5" w14:textId="77777777" w:rsidR="008D4C41" w:rsidRPr="008D4C41" w:rsidRDefault="008D4C41" w:rsidP="008D4C41">
      <w:pPr>
        <w:rPr>
          <w:b/>
          <w:bCs/>
          <w:lang w:val="en-US"/>
        </w:rPr>
      </w:pPr>
      <w:r w:rsidRPr="008D4C41">
        <w:rPr>
          <w:b/>
          <w:bCs/>
          <w:lang w:val="en-US"/>
        </w:rPr>
        <w:t xml:space="preserve">                                              unknown       70,566 ( 4.7%)            Adolescence (12-20 years) 215,035 (14.5%)  </w:t>
      </w:r>
    </w:p>
    <w:p w14:paraId="403BA38F" w14:textId="77777777" w:rsidR="008D4C41" w:rsidRPr="008D4C41" w:rsidRDefault="008D4C41" w:rsidP="008D4C41">
      <w:pPr>
        <w:rPr>
          <w:b/>
          <w:bCs/>
          <w:lang w:val="en-US"/>
        </w:rPr>
      </w:pPr>
      <w:r w:rsidRPr="008D4C41">
        <w:rPr>
          <w:b/>
          <w:bCs/>
          <w:lang w:val="en-US"/>
        </w:rPr>
        <w:t xml:space="preserve">                                              East Asian    29,925 ( 2.0%)            Young adult (20-40 years) 414,946 (27.9%)  </w:t>
      </w:r>
    </w:p>
    <w:p w14:paraId="4AFE7B7E" w14:textId="77777777" w:rsidR="008D4C41" w:rsidRPr="008D4C41" w:rsidRDefault="008D4C41" w:rsidP="008D4C41">
      <w:pPr>
        <w:rPr>
          <w:b/>
          <w:bCs/>
          <w:lang w:val="en-US"/>
        </w:rPr>
      </w:pPr>
      <w:r w:rsidRPr="008D4C41">
        <w:rPr>
          <w:b/>
          <w:bCs/>
          <w:lang w:val="en-US"/>
        </w:rPr>
        <w:t xml:space="preserve">                                              South Asian   15,173 ( 1.0%)            Middle adult (40-60 years) 631,657 (42.5%) </w:t>
      </w:r>
    </w:p>
    <w:p w14:paraId="3DB9C8E9" w14:textId="1FD462BF" w:rsidR="008D4C41" w:rsidRPr="008D4C41" w:rsidRDefault="008D4C41" w:rsidP="008D4C41">
      <w:pPr>
        <w:rPr>
          <w:b/>
          <w:bCs/>
          <w:lang w:val="en-US"/>
        </w:rPr>
      </w:pPr>
      <w:r w:rsidRPr="008D4C41">
        <w:rPr>
          <w:b/>
          <w:bCs/>
          <w:lang w:val="en-US"/>
        </w:rPr>
        <w:t xml:space="preserve">                                              Asian          7,735 ( 0.5%)            Late adult (over 64 years) 134,141 ( 9.0%)</w:t>
      </w:r>
    </w:p>
    <w:p w14:paraId="69D585B1" w14:textId="77777777" w:rsidR="008D4C41" w:rsidRPr="008D4C41" w:rsidRDefault="008D4C41" w:rsidP="00121585">
      <w:pPr>
        <w:rPr>
          <w:b/>
          <w:bCs/>
          <w:lang w:val="en-US"/>
        </w:rPr>
      </w:pPr>
    </w:p>
    <w:p w14:paraId="4A1A055C" w14:textId="77777777" w:rsidR="008D4C41" w:rsidRPr="008D4C41" w:rsidRDefault="008D4C41" w:rsidP="00121585">
      <w:pPr>
        <w:rPr>
          <w:b/>
          <w:bCs/>
          <w:lang w:val="en-US"/>
        </w:rPr>
      </w:pPr>
    </w:p>
    <w:p w14:paraId="00A3FCF2" w14:textId="3F76C2C0" w:rsidR="00121585" w:rsidRDefault="00121585" w:rsidP="00121585">
      <w:pPr>
        <w:rPr>
          <w:b/>
          <w:bCs/>
        </w:rPr>
      </w:pPr>
      <w:r w:rsidRPr="001E66A0">
        <w:lastRenderedPageBreak/>
        <w:drawing>
          <wp:inline distT="0" distB="0" distL="0" distR="0" wp14:anchorId="1932B80F" wp14:editId="356FD4C5">
            <wp:extent cx="5998210" cy="2877185"/>
            <wp:effectExtent l="0" t="0" r="2540" b="0"/>
            <wp:docPr id="2099633378" name="Image 1" descr="Une image contenant texte,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33378" name="Image 1" descr="Une image contenant texte, illustration&#10;&#10;Le contenu généré par l’IA peut être incorrect."/>
                    <pic:cNvPicPr/>
                  </pic:nvPicPr>
                  <pic:blipFill>
                    <a:blip r:embed="rId24"/>
                    <a:stretch>
                      <a:fillRect/>
                    </a:stretch>
                  </pic:blipFill>
                  <pic:spPr>
                    <a:xfrm>
                      <a:off x="0" y="0"/>
                      <a:ext cx="5998210" cy="2877185"/>
                    </a:xfrm>
                    <a:prstGeom prst="rect">
                      <a:avLst/>
                    </a:prstGeom>
                  </pic:spPr>
                </pic:pic>
              </a:graphicData>
            </a:graphic>
          </wp:inline>
        </w:drawing>
      </w:r>
    </w:p>
    <w:p w14:paraId="2135EFEF" w14:textId="77777777" w:rsidR="008D4C41" w:rsidRPr="008D4C41" w:rsidRDefault="008D4C41" w:rsidP="008D4C41">
      <w:pPr>
        <w:rPr>
          <w:b/>
          <w:bCs/>
        </w:rPr>
      </w:pPr>
      <w:proofErr w:type="spellStart"/>
      <w:r w:rsidRPr="008D4C41">
        <w:rPr>
          <w:b/>
          <w:bCs/>
        </w:rPr>
        <w:t>Fig</w:t>
      </w:r>
      <w:proofErr w:type="spellEnd"/>
      <w:r w:rsidRPr="008D4C41">
        <w:rPr>
          <w:b/>
          <w:bCs/>
        </w:rPr>
        <w:t xml:space="preserve"> X — Répartition du sexe, de l’ascendance génétique et des classes d’âge dans le sous-échantillon de la cohorte HBCC.</w:t>
      </w:r>
    </w:p>
    <w:p w14:paraId="2D426EAE" w14:textId="77777777" w:rsidR="008D4C41" w:rsidRPr="008D4C41" w:rsidRDefault="008D4C41" w:rsidP="008D4C41">
      <w:pPr>
        <w:rPr>
          <w:b/>
          <w:bCs/>
        </w:rPr>
      </w:pPr>
      <w:r w:rsidRPr="008D4C41">
        <w:rPr>
          <w:b/>
          <w:bCs/>
        </w:rPr>
        <w:t>Cette figure décrit la composition démographique de la cohorte avant filtrage et souligne les biais populationnels pertinents pour l'analyse transcriptomique.</w:t>
      </w:r>
    </w:p>
    <w:p w14:paraId="689CCE4B" w14:textId="77777777" w:rsidR="008D4C41" w:rsidRPr="008D4C41" w:rsidRDefault="008D4C41" w:rsidP="008D4C41">
      <w:pPr>
        <w:rPr>
          <w:b/>
          <w:bCs/>
          <w:lang w:val="en-US"/>
        </w:rPr>
      </w:pPr>
      <w:r w:rsidRPr="008D4C41">
        <w:rPr>
          <w:b/>
          <w:bCs/>
        </w:rPr>
        <w:t xml:space="preserve">   </w:t>
      </w:r>
      <w:r w:rsidRPr="008D4C41">
        <w:rPr>
          <w:b/>
          <w:bCs/>
          <w:lang w:val="en-US"/>
        </w:rPr>
        <w:t xml:space="preserve">male         275,339 (66.4%)               European     207,969 (50.1%)            Infancy (0-1year)   14,740 ( 3.6%)         </w:t>
      </w:r>
    </w:p>
    <w:p w14:paraId="62A2FF37" w14:textId="77777777" w:rsidR="008D4C41" w:rsidRPr="008D4C41" w:rsidRDefault="008D4C41" w:rsidP="008D4C41">
      <w:pPr>
        <w:rPr>
          <w:b/>
          <w:bCs/>
          <w:lang w:val="en-US"/>
        </w:rPr>
      </w:pPr>
      <w:r w:rsidRPr="008D4C41">
        <w:rPr>
          <w:b/>
          <w:bCs/>
          <w:lang w:val="en-US"/>
        </w:rPr>
        <w:t xml:space="preserve">   female       139,453 (33.6%)               African      174,526 (42.1%)            Childhood (1-12 years)  18,142 ( 4.4%)     </w:t>
      </w:r>
    </w:p>
    <w:p w14:paraId="2225D75F" w14:textId="77777777" w:rsidR="008D4C41" w:rsidRPr="008D4C41" w:rsidRDefault="008D4C41" w:rsidP="008D4C41">
      <w:pPr>
        <w:rPr>
          <w:b/>
          <w:bCs/>
          <w:lang w:val="en-US"/>
        </w:rPr>
      </w:pPr>
      <w:r w:rsidRPr="008D4C41">
        <w:rPr>
          <w:b/>
          <w:bCs/>
          <w:lang w:val="en-US"/>
        </w:rPr>
        <w:t xml:space="preserve">                                              unknown       19,332 ( 4.7%)            Adolescence (12-20 years)  54,587 (13.2%)  </w:t>
      </w:r>
    </w:p>
    <w:p w14:paraId="20C40AB1" w14:textId="77777777" w:rsidR="008D4C41" w:rsidRPr="008D4C41" w:rsidRDefault="008D4C41" w:rsidP="008D4C41">
      <w:pPr>
        <w:rPr>
          <w:b/>
          <w:bCs/>
          <w:lang w:val="en-US"/>
        </w:rPr>
      </w:pPr>
      <w:r w:rsidRPr="008D4C41">
        <w:rPr>
          <w:b/>
          <w:bCs/>
          <w:lang w:val="en-US"/>
        </w:rPr>
        <w:t xml:space="preserve">                                              East Asian     7,211 ( 1.7%)            Young adult (20-40 years) 115,646 (27.9%)  </w:t>
      </w:r>
    </w:p>
    <w:p w14:paraId="1BDADE1A" w14:textId="77777777" w:rsidR="008D4C41" w:rsidRPr="008D4C41" w:rsidRDefault="008D4C41" w:rsidP="008D4C41">
      <w:pPr>
        <w:rPr>
          <w:b/>
          <w:bCs/>
          <w:lang w:val="en-US"/>
        </w:rPr>
      </w:pPr>
      <w:r w:rsidRPr="008D4C41">
        <w:rPr>
          <w:b/>
          <w:bCs/>
          <w:lang w:val="en-US"/>
        </w:rPr>
        <w:t xml:space="preserve">                                              South Asian    4,322 ( 1.0%)            Middle adult (40-60 years) 169,847 (40.9%) </w:t>
      </w:r>
    </w:p>
    <w:p w14:paraId="36874EF5" w14:textId="77777777" w:rsidR="008D4C41" w:rsidRPr="008D4C41" w:rsidRDefault="008D4C41" w:rsidP="008D4C41">
      <w:pPr>
        <w:rPr>
          <w:b/>
          <w:bCs/>
          <w:lang w:val="en-US"/>
        </w:rPr>
      </w:pPr>
      <w:r w:rsidRPr="008D4C41">
        <w:rPr>
          <w:b/>
          <w:bCs/>
          <w:lang w:val="en-US"/>
        </w:rPr>
        <w:t xml:space="preserve">                                              Asian          1,432 ( 0.3%)            Late adult (over 64 years)  41,830 (10.1%) </w:t>
      </w:r>
    </w:p>
    <w:p w14:paraId="7FECD9BA" w14:textId="77777777" w:rsidR="008D4C41" w:rsidRPr="008D4C41" w:rsidRDefault="008D4C41" w:rsidP="008D4C41">
      <w:pPr>
        <w:rPr>
          <w:b/>
          <w:bCs/>
        </w:rPr>
      </w:pPr>
      <w:r w:rsidRPr="008D4C41">
        <w:rPr>
          <w:b/>
          <w:bCs/>
        </w:rPr>
        <w:t>====================================================================================================</w:t>
      </w:r>
    </w:p>
    <w:p w14:paraId="3C69B4C6" w14:textId="77777777" w:rsidR="008D4C41" w:rsidRPr="008D4C41" w:rsidRDefault="008D4C41" w:rsidP="008D4C41">
      <w:pPr>
        <w:rPr>
          <w:b/>
          <w:bCs/>
        </w:rPr>
      </w:pPr>
      <w:r w:rsidRPr="008D4C41">
        <w:rPr>
          <w:rFonts w:ascii="Segoe UI Emoji" w:hAnsi="Segoe UI Emoji" w:cs="Segoe UI Emoji"/>
          <w:b/>
          <w:bCs/>
        </w:rPr>
        <w:t>➡️</w:t>
      </w:r>
      <w:r w:rsidRPr="008D4C41">
        <w:rPr>
          <w:b/>
          <w:bCs/>
        </w:rPr>
        <w:t xml:space="preserve"> Validation du sous-échantillonnage et justification des choix analytiques (Option B)</w:t>
      </w:r>
    </w:p>
    <w:p w14:paraId="3E48E1AD" w14:textId="77777777" w:rsidR="008D4C41" w:rsidRPr="008D4C41" w:rsidRDefault="008D4C41" w:rsidP="008D4C41">
      <w:pPr>
        <w:rPr>
          <w:b/>
          <w:bCs/>
        </w:rPr>
      </w:pPr>
    </w:p>
    <w:p w14:paraId="0D068A35" w14:textId="77777777" w:rsidR="008D4C41" w:rsidRPr="008D4C41" w:rsidRDefault="008D4C41" w:rsidP="008D4C41">
      <w:pPr>
        <w:rPr>
          <w:b/>
          <w:bCs/>
        </w:rPr>
      </w:pPr>
      <w:r w:rsidRPr="008D4C41">
        <w:rPr>
          <w:b/>
          <w:bCs/>
        </w:rPr>
        <w:t>Le dataset utilisé à ce stade correspond à un sous-échantillon contrôlé de la cohorte HBCC,</w:t>
      </w:r>
    </w:p>
    <w:p w14:paraId="4EF0DD5B" w14:textId="77777777" w:rsidR="008D4C41" w:rsidRPr="008D4C41" w:rsidRDefault="008D4C41" w:rsidP="008D4C41">
      <w:pPr>
        <w:rPr>
          <w:b/>
          <w:bCs/>
        </w:rPr>
      </w:pPr>
      <w:r w:rsidRPr="008D4C41">
        <w:rPr>
          <w:b/>
          <w:bCs/>
        </w:rPr>
        <w:t>obtenu par un sous-échantillonnage cellulaire (Option B) visant à garantir la faisabilité</w:t>
      </w:r>
    </w:p>
    <w:p w14:paraId="0968DE8D" w14:textId="77777777" w:rsidR="008D4C41" w:rsidRPr="008D4C41" w:rsidRDefault="008D4C41" w:rsidP="008D4C41">
      <w:pPr>
        <w:rPr>
          <w:b/>
          <w:bCs/>
        </w:rPr>
      </w:pPr>
      <w:r w:rsidRPr="008D4C41">
        <w:rPr>
          <w:b/>
          <w:bCs/>
        </w:rPr>
        <w:t>computationnelle tout en préservant la structure biologique et démographique du jeu de données.</w:t>
      </w:r>
    </w:p>
    <w:p w14:paraId="172E8FAE" w14:textId="77777777" w:rsidR="008D4C41" w:rsidRPr="008D4C41" w:rsidRDefault="008D4C41" w:rsidP="008D4C41">
      <w:pPr>
        <w:rPr>
          <w:b/>
          <w:bCs/>
        </w:rPr>
      </w:pPr>
    </w:p>
    <w:p w14:paraId="704AD27C" w14:textId="77777777" w:rsidR="008D4C41" w:rsidRPr="008D4C41" w:rsidRDefault="008D4C41" w:rsidP="008D4C41">
      <w:pPr>
        <w:rPr>
          <w:b/>
          <w:bCs/>
        </w:rPr>
      </w:pPr>
      <w:r w:rsidRPr="008D4C41">
        <w:rPr>
          <w:b/>
          <w:bCs/>
        </w:rPr>
        <w:t>La comparaison directe entre la cohorte originale (13 GB) et le sous-échantillon obtenu</w:t>
      </w:r>
    </w:p>
    <w:p w14:paraId="0179DBCE" w14:textId="77777777" w:rsidR="008D4C41" w:rsidRPr="008D4C41" w:rsidRDefault="008D4C41" w:rsidP="008D4C41">
      <w:pPr>
        <w:rPr>
          <w:b/>
          <w:bCs/>
        </w:rPr>
      </w:pPr>
      <w:r w:rsidRPr="008D4C41">
        <w:rPr>
          <w:b/>
          <w:bCs/>
        </w:rPr>
        <w:t>(~4 GB) montre que le sous-échantillonnage n’a pas dénaturé la cohorte de départ :</w:t>
      </w:r>
    </w:p>
    <w:p w14:paraId="3AF231F2" w14:textId="77777777" w:rsidR="008D4C41" w:rsidRPr="008D4C41" w:rsidRDefault="008D4C41" w:rsidP="008D4C41">
      <w:pPr>
        <w:rPr>
          <w:b/>
          <w:bCs/>
        </w:rPr>
      </w:pPr>
    </w:p>
    <w:p w14:paraId="7872EF06" w14:textId="77777777" w:rsidR="008D4C41" w:rsidRPr="008D4C41" w:rsidRDefault="008D4C41" w:rsidP="008D4C41">
      <w:pPr>
        <w:rPr>
          <w:b/>
          <w:bCs/>
        </w:rPr>
      </w:pPr>
      <w:r w:rsidRPr="008D4C41">
        <w:rPr>
          <w:b/>
          <w:bCs/>
        </w:rPr>
        <w:lastRenderedPageBreak/>
        <w:t>- les proportions relatives de sexe sont conservées,</w:t>
      </w:r>
    </w:p>
    <w:p w14:paraId="6C48A3E0" w14:textId="77777777" w:rsidR="008D4C41" w:rsidRPr="008D4C41" w:rsidRDefault="008D4C41" w:rsidP="008D4C41">
      <w:pPr>
        <w:rPr>
          <w:b/>
          <w:bCs/>
        </w:rPr>
      </w:pPr>
      <w:r w:rsidRPr="008D4C41">
        <w:rPr>
          <w:b/>
          <w:bCs/>
        </w:rPr>
        <w:t>- la distribution des ascendances génétiques est globalement inchangée,</w:t>
      </w:r>
    </w:p>
    <w:p w14:paraId="39C3BB64" w14:textId="77777777" w:rsidR="008D4C41" w:rsidRPr="008D4C41" w:rsidRDefault="008D4C41" w:rsidP="008D4C41">
      <w:pPr>
        <w:rPr>
          <w:b/>
          <w:bCs/>
        </w:rPr>
      </w:pPr>
      <w:r w:rsidRPr="008D4C41">
        <w:rPr>
          <w:b/>
          <w:bCs/>
        </w:rPr>
        <w:t>- les classes d’âge majeures restent dominantes dans des proportions comparables,</w:t>
      </w:r>
    </w:p>
    <w:p w14:paraId="24F8BE47" w14:textId="77777777" w:rsidR="008D4C41" w:rsidRPr="008D4C41" w:rsidRDefault="008D4C41" w:rsidP="008D4C41">
      <w:pPr>
        <w:rPr>
          <w:b/>
          <w:bCs/>
        </w:rPr>
      </w:pPr>
      <w:r w:rsidRPr="008D4C41">
        <w:rPr>
          <w:b/>
          <w:bCs/>
        </w:rPr>
        <w:t>- l’ensemble des types cellulaires annotés est intégralement préservé,</w:t>
      </w:r>
    </w:p>
    <w:p w14:paraId="75A86030" w14:textId="77777777" w:rsidR="008D4C41" w:rsidRPr="008D4C41" w:rsidRDefault="008D4C41" w:rsidP="008D4C41">
      <w:pPr>
        <w:rPr>
          <w:b/>
          <w:bCs/>
        </w:rPr>
      </w:pPr>
      <w:r w:rsidRPr="008D4C41">
        <w:rPr>
          <w:b/>
          <w:bCs/>
        </w:rPr>
        <w:t>- tous les donneurs initiaux (N = 300) sont maintenus.</w:t>
      </w:r>
    </w:p>
    <w:p w14:paraId="577F0CB2" w14:textId="77777777" w:rsidR="008D4C41" w:rsidRPr="008D4C41" w:rsidRDefault="008D4C41" w:rsidP="008D4C41">
      <w:pPr>
        <w:rPr>
          <w:b/>
          <w:bCs/>
        </w:rPr>
      </w:pPr>
      <w:r w:rsidRPr="008D4C41">
        <w:rPr>
          <w:b/>
          <w:bCs/>
        </w:rPr>
        <w:t>...</w:t>
      </w:r>
    </w:p>
    <w:p w14:paraId="4016DADC" w14:textId="77777777" w:rsidR="008D4C41" w:rsidRPr="008D4C41" w:rsidRDefault="008D4C41" w:rsidP="008D4C41">
      <w:pPr>
        <w:rPr>
          <w:b/>
          <w:bCs/>
        </w:rPr>
      </w:pPr>
      <w:r w:rsidRPr="008D4C41">
        <w:rPr>
          <w:b/>
          <w:bCs/>
        </w:rPr>
        <w:t>À partir de ce point, le sous-échantillon préfiltré est considéré comme le</w:t>
      </w:r>
    </w:p>
    <w:p w14:paraId="47D70DBA" w14:textId="77777777" w:rsidR="008D4C41" w:rsidRPr="008D4C41" w:rsidRDefault="008D4C41" w:rsidP="008D4C41">
      <w:pPr>
        <w:rPr>
          <w:b/>
          <w:bCs/>
        </w:rPr>
      </w:pPr>
      <w:r w:rsidRPr="008D4C41">
        <w:rPr>
          <w:b/>
          <w:bCs/>
        </w:rPr>
        <w:t xml:space="preserve">« </w:t>
      </w:r>
      <w:proofErr w:type="spellStart"/>
      <w:r w:rsidRPr="008D4C41">
        <w:rPr>
          <w:b/>
          <w:bCs/>
        </w:rPr>
        <w:t>raw</w:t>
      </w:r>
      <w:proofErr w:type="spellEnd"/>
      <w:r w:rsidRPr="008D4C41">
        <w:rPr>
          <w:b/>
          <w:bCs/>
        </w:rPr>
        <w:t xml:space="preserve"> de travail » pour les étapes suivantes du pipeline</w:t>
      </w:r>
    </w:p>
    <w:p w14:paraId="541C79D8" w14:textId="20367050" w:rsidR="00121585" w:rsidRDefault="008D4C41" w:rsidP="008D4C41">
      <w:pPr>
        <w:rPr>
          <w:b/>
          <w:bCs/>
        </w:rPr>
      </w:pPr>
      <w:r w:rsidRPr="008D4C41">
        <w:rPr>
          <w:b/>
          <w:bCs/>
        </w:rPr>
        <w:t>(calcul des métriques de QC, filtrage cellulaire et analyses aval).</w:t>
      </w:r>
    </w:p>
    <w:p w14:paraId="490EECC6" w14:textId="77777777" w:rsidR="008D4C41" w:rsidRPr="00121585" w:rsidRDefault="008D4C41" w:rsidP="00121585">
      <w:pPr>
        <w:rPr>
          <w:b/>
          <w:bCs/>
        </w:rPr>
      </w:pPr>
    </w:p>
    <w:p w14:paraId="1F3756BC" w14:textId="77777777" w:rsidR="00121585" w:rsidRPr="00121585" w:rsidRDefault="00121585" w:rsidP="00121585">
      <w:r w:rsidRPr="00121585">
        <w:t>La comparaison entre le dataset HBCC complet (~13 GB) et le dataset sous-échantillonné selon l’option B (~4 GB) met en évidence que la stratégie de sous-échantillonnage adoptée permet de réduire drastiquement la taille des données tout en préservant la structure biologique essentielle du jeu de données.</w:t>
      </w:r>
    </w:p>
    <w:p w14:paraId="290733CE" w14:textId="77777777" w:rsidR="00121585" w:rsidRPr="00121585" w:rsidRDefault="00121585" w:rsidP="00121585">
      <w:pPr>
        <w:numPr>
          <w:ilvl w:val="0"/>
          <w:numId w:val="17"/>
        </w:numPr>
        <w:tabs>
          <w:tab w:val="num" w:pos="360"/>
        </w:tabs>
        <w:rPr>
          <w:b/>
          <w:bCs/>
        </w:rPr>
      </w:pPr>
      <w:r w:rsidRPr="00121585">
        <w:rPr>
          <w:b/>
          <w:bCs/>
        </w:rPr>
        <w:t>Préservation de la structure cellulaire globale</w:t>
      </w:r>
    </w:p>
    <w:p w14:paraId="145B2095" w14:textId="77777777" w:rsidR="00121585" w:rsidRPr="00121585" w:rsidRDefault="00121585" w:rsidP="00121585">
      <w:r w:rsidRPr="00121585">
        <w:t xml:space="preserve">Les projections UMAP du cortex préfrontal dorsolatéral (DLPFC) montrent une </w:t>
      </w:r>
      <w:r w:rsidRPr="00121585">
        <w:rPr>
          <w:b/>
          <w:bCs/>
        </w:rPr>
        <w:t>concordance remarquable</w:t>
      </w:r>
      <w:r w:rsidRPr="00121585">
        <w:t xml:space="preserve"> entre le dataset complet et le sous-échantillon.</w:t>
      </w:r>
      <w:r w:rsidRPr="00121585">
        <w:br/>
        <w:t>Dans les deux cas :</w:t>
      </w:r>
    </w:p>
    <w:p w14:paraId="06FDB732" w14:textId="77777777" w:rsidR="00121585" w:rsidRPr="00121585" w:rsidRDefault="00121585" w:rsidP="00121585">
      <w:pPr>
        <w:numPr>
          <w:ilvl w:val="0"/>
          <w:numId w:val="66"/>
        </w:numPr>
      </w:pPr>
      <w:r w:rsidRPr="00121585">
        <w:t xml:space="preserve">Les </w:t>
      </w:r>
      <w:r w:rsidRPr="00121585">
        <w:rPr>
          <w:b/>
          <w:bCs/>
        </w:rPr>
        <w:t>8 grandes classes cellulaires</w:t>
      </w:r>
      <w:r w:rsidRPr="00121585">
        <w:t xml:space="preserve"> sont clairement séparées et occupent des régions comparables de l’espace latent.</w:t>
      </w:r>
    </w:p>
    <w:p w14:paraId="4E699C15" w14:textId="77777777" w:rsidR="00121585" w:rsidRPr="00121585" w:rsidRDefault="00121585" w:rsidP="00121585">
      <w:pPr>
        <w:numPr>
          <w:ilvl w:val="0"/>
          <w:numId w:val="66"/>
        </w:numPr>
      </w:pPr>
      <w:r w:rsidRPr="00121585">
        <w:t xml:space="preserve">Les </w:t>
      </w:r>
      <w:r w:rsidRPr="00121585">
        <w:rPr>
          <w:b/>
          <w:bCs/>
        </w:rPr>
        <w:t>65 types cellulaires annotés</w:t>
      </w:r>
      <w:r w:rsidRPr="00121585">
        <w:t xml:space="preserve"> restent identifiables, sans disparition de populations rares ni fusion artificielle de clusters.</w:t>
      </w:r>
    </w:p>
    <w:p w14:paraId="44959DD5" w14:textId="77777777" w:rsidR="00121585" w:rsidRPr="00121585" w:rsidRDefault="00121585" w:rsidP="00121585">
      <w:pPr>
        <w:numPr>
          <w:ilvl w:val="0"/>
          <w:numId w:val="66"/>
        </w:numPr>
      </w:pPr>
      <w:r w:rsidRPr="00121585">
        <w:t>La hiérarchie Class → Cell Type est conservée, indiquant que le sous-échantillonnage n’introduit pas de distorsion majeure de la structure transcriptionnelle.</w:t>
      </w:r>
    </w:p>
    <w:p w14:paraId="3AD4C3CE" w14:textId="77777777" w:rsidR="00121585" w:rsidRPr="00121585" w:rsidRDefault="00121585" w:rsidP="00121585">
      <w:r w:rsidRPr="00121585">
        <w:t>Ces observations suggèrent que la réduction du nombre de cellules n’altère pas l’organisation globale du transcriptome cérébral capturée par l’UMAP.</w:t>
      </w:r>
    </w:p>
    <w:p w14:paraId="0F687DFF" w14:textId="77777777" w:rsidR="00121585" w:rsidRPr="00121585" w:rsidRDefault="00121585" w:rsidP="00121585">
      <w:pPr>
        <w:numPr>
          <w:ilvl w:val="0"/>
          <w:numId w:val="17"/>
        </w:numPr>
        <w:tabs>
          <w:tab w:val="num" w:pos="360"/>
        </w:tabs>
        <w:rPr>
          <w:b/>
          <w:bCs/>
        </w:rPr>
      </w:pPr>
      <w:r w:rsidRPr="00121585">
        <w:rPr>
          <w:b/>
          <w:bCs/>
        </w:rPr>
        <w:t>Stabilité démographique après sous-échantillonnage</w:t>
      </w:r>
    </w:p>
    <w:p w14:paraId="36B6500B" w14:textId="77777777" w:rsidR="00121585" w:rsidRPr="00121585" w:rsidRDefault="00121585" w:rsidP="00121585">
      <w:r w:rsidRPr="00121585">
        <w:t>La comparaison des distributions démographiques (sexe, ascendance génétique, classes d’âge) avant et après sous-échantillonnage montre que :</w:t>
      </w:r>
    </w:p>
    <w:p w14:paraId="0B297683" w14:textId="77777777" w:rsidR="00121585" w:rsidRPr="00121585" w:rsidRDefault="00121585" w:rsidP="00121585">
      <w:pPr>
        <w:numPr>
          <w:ilvl w:val="0"/>
          <w:numId w:val="67"/>
        </w:numPr>
      </w:pPr>
      <w:r w:rsidRPr="00121585">
        <w:t xml:space="preserve">Les </w:t>
      </w:r>
      <w:r w:rsidRPr="00121585">
        <w:rPr>
          <w:b/>
          <w:bCs/>
        </w:rPr>
        <w:t>proportions relatives</w:t>
      </w:r>
      <w:r w:rsidRPr="00121585">
        <w:t xml:space="preserve"> sont globalement maintenues.</w:t>
      </w:r>
    </w:p>
    <w:p w14:paraId="50B44220" w14:textId="77777777" w:rsidR="00121585" w:rsidRPr="00121585" w:rsidRDefault="00121585" w:rsidP="00121585">
      <w:pPr>
        <w:numPr>
          <w:ilvl w:val="0"/>
          <w:numId w:val="67"/>
        </w:numPr>
      </w:pPr>
      <w:r w:rsidRPr="00121585">
        <w:t xml:space="preserve">Les biais populationnels présents dans le dataset brut (dominance de l’ascendance européenne, sur-représentation des adultes jeunes et d’âge moyen) sont </w:t>
      </w:r>
      <w:r w:rsidRPr="00121585">
        <w:rPr>
          <w:b/>
          <w:bCs/>
        </w:rPr>
        <w:t>conservés</w:t>
      </w:r>
      <w:r w:rsidRPr="00121585">
        <w:t>, ce qui est attendu et souhaitable pour garantir la comparabilité analytique.</w:t>
      </w:r>
    </w:p>
    <w:p w14:paraId="2E59AADB" w14:textId="77777777" w:rsidR="00121585" w:rsidRPr="00121585" w:rsidRDefault="00121585" w:rsidP="00121585">
      <w:pPr>
        <w:numPr>
          <w:ilvl w:val="0"/>
          <w:numId w:val="67"/>
        </w:numPr>
      </w:pPr>
      <w:r w:rsidRPr="00121585">
        <w:t>Aucun groupe majeur n’est artificiellement amplifié ou supprimé par le sous-échantillonnage.</w:t>
      </w:r>
    </w:p>
    <w:p w14:paraId="40FC563F" w14:textId="77777777" w:rsidR="00121585" w:rsidRPr="00121585" w:rsidRDefault="00121585" w:rsidP="00121585">
      <w:r w:rsidRPr="00121585">
        <w:t>Ainsi, le sous-échantillon reste représentatif de la cohorte HBCC initiale du point de vue démographique.</w:t>
      </w:r>
    </w:p>
    <w:p w14:paraId="2B857BB1" w14:textId="77777777" w:rsidR="00121585" w:rsidRPr="00121585" w:rsidRDefault="00121585" w:rsidP="00121585">
      <w:pPr>
        <w:numPr>
          <w:ilvl w:val="0"/>
          <w:numId w:val="17"/>
        </w:numPr>
        <w:tabs>
          <w:tab w:val="num" w:pos="360"/>
        </w:tabs>
        <w:rPr>
          <w:b/>
          <w:bCs/>
        </w:rPr>
      </w:pPr>
      <w:r w:rsidRPr="00121585">
        <w:rPr>
          <w:b/>
          <w:bCs/>
        </w:rPr>
        <w:t>Compromis méthodologique et justification finale</w:t>
      </w:r>
    </w:p>
    <w:p w14:paraId="3AE6EFBF" w14:textId="77777777" w:rsidR="00121585" w:rsidRPr="00121585" w:rsidRDefault="00121585" w:rsidP="00121585">
      <w:r w:rsidRPr="00121585">
        <w:t>La stratégie de sous-échantillonnage retenue (Option B) repose sur :</w:t>
      </w:r>
    </w:p>
    <w:p w14:paraId="48883FF0" w14:textId="77777777" w:rsidR="00121585" w:rsidRPr="00121585" w:rsidRDefault="00121585" w:rsidP="00121585">
      <w:pPr>
        <w:numPr>
          <w:ilvl w:val="0"/>
          <w:numId w:val="68"/>
        </w:numPr>
      </w:pPr>
      <w:r w:rsidRPr="00121585">
        <w:t xml:space="preserve">un </w:t>
      </w:r>
      <w:r w:rsidRPr="00121585">
        <w:rPr>
          <w:b/>
          <w:bCs/>
        </w:rPr>
        <w:t>plafond de cellules par donneur</w:t>
      </w:r>
      <w:r w:rsidRPr="00121585">
        <w:t xml:space="preserve"> afin de préserver l’équilibre inter-individuel,</w:t>
      </w:r>
    </w:p>
    <w:p w14:paraId="2E09B3F4" w14:textId="77777777" w:rsidR="00121585" w:rsidRPr="00121585" w:rsidRDefault="00121585" w:rsidP="00121585">
      <w:pPr>
        <w:numPr>
          <w:ilvl w:val="0"/>
          <w:numId w:val="68"/>
        </w:numPr>
      </w:pPr>
      <w:r w:rsidRPr="00121585">
        <w:t xml:space="preserve">un </w:t>
      </w:r>
      <w:r w:rsidRPr="00121585">
        <w:rPr>
          <w:b/>
          <w:bCs/>
        </w:rPr>
        <w:t>plancher de cellules par type cellulaire et par donneur</w:t>
      </w:r>
      <w:r w:rsidRPr="00121585">
        <w:t>, garantissant le maintien d’une hétérogénéité intra-donneur minimale.</w:t>
      </w:r>
    </w:p>
    <w:p w14:paraId="45496258" w14:textId="77777777" w:rsidR="00121585" w:rsidRPr="00121585" w:rsidRDefault="00121585" w:rsidP="00121585">
      <w:r w:rsidRPr="00121585">
        <w:lastRenderedPageBreak/>
        <w:t>Ce compromis permet :</w:t>
      </w:r>
    </w:p>
    <w:p w14:paraId="2B4EA77B" w14:textId="77777777" w:rsidR="00121585" w:rsidRPr="00121585" w:rsidRDefault="00121585" w:rsidP="00121585">
      <w:pPr>
        <w:numPr>
          <w:ilvl w:val="0"/>
          <w:numId w:val="69"/>
        </w:numPr>
      </w:pPr>
      <w:r w:rsidRPr="00121585">
        <w:t xml:space="preserve">de </w:t>
      </w:r>
      <w:r w:rsidRPr="00121585">
        <w:rPr>
          <w:b/>
          <w:bCs/>
        </w:rPr>
        <w:t>préserver l’ensemble des donneurs (N = 300)</w:t>
      </w:r>
      <w:r w:rsidRPr="00121585">
        <w:t>,</w:t>
      </w:r>
    </w:p>
    <w:p w14:paraId="037BE78A" w14:textId="77777777" w:rsidR="00121585" w:rsidRPr="00121585" w:rsidRDefault="00121585" w:rsidP="00121585">
      <w:pPr>
        <w:numPr>
          <w:ilvl w:val="0"/>
          <w:numId w:val="69"/>
        </w:numPr>
      </w:pPr>
      <w:r w:rsidRPr="00121585">
        <w:t xml:space="preserve">de </w:t>
      </w:r>
      <w:r w:rsidRPr="00121585">
        <w:rPr>
          <w:b/>
          <w:bCs/>
        </w:rPr>
        <w:t>conserver tous les gènes et tous les types cellulaires annotés</w:t>
      </w:r>
      <w:r w:rsidRPr="00121585">
        <w:t>,</w:t>
      </w:r>
    </w:p>
    <w:p w14:paraId="436E420B" w14:textId="77777777" w:rsidR="00121585" w:rsidRPr="00121585" w:rsidRDefault="00121585" w:rsidP="00121585">
      <w:pPr>
        <w:numPr>
          <w:ilvl w:val="0"/>
          <w:numId w:val="69"/>
        </w:numPr>
      </w:pPr>
      <w:r w:rsidRPr="00121585">
        <w:t xml:space="preserve">tout en rendant le dataset </w:t>
      </w:r>
      <w:r w:rsidRPr="00121585">
        <w:rPr>
          <w:b/>
          <w:bCs/>
        </w:rPr>
        <w:t>compatible avec les analyses en mémoire</w:t>
      </w:r>
      <w:r w:rsidRPr="00121585">
        <w:t xml:space="preserve"> nécessaires aux étapes ultérieures (QC, filtrage, sélection de cohorte, analyses différentielles).</w:t>
      </w:r>
    </w:p>
    <w:p w14:paraId="77E88093" w14:textId="77777777" w:rsidR="00121585" w:rsidRPr="00121585" w:rsidRDefault="00121585" w:rsidP="00121585">
      <w:pPr>
        <w:numPr>
          <w:ilvl w:val="0"/>
          <w:numId w:val="17"/>
        </w:numPr>
        <w:tabs>
          <w:tab w:val="num" w:pos="360"/>
        </w:tabs>
        <w:rPr>
          <w:b/>
          <w:bCs/>
        </w:rPr>
      </w:pPr>
      <w:r w:rsidRPr="00121585">
        <w:rPr>
          <w:b/>
          <w:bCs/>
        </w:rPr>
        <w:t>Décision méthodologique</w:t>
      </w:r>
    </w:p>
    <w:p w14:paraId="2D998CC7" w14:textId="77777777" w:rsidR="00121585" w:rsidRPr="00121585" w:rsidRDefault="00121585" w:rsidP="00121585">
      <w:r w:rsidRPr="00121585">
        <w:t xml:space="preserve">Au regard de ces éléments, le dataset sous-échantillonné (~4 GB) est considéré comme un </w:t>
      </w:r>
      <w:r w:rsidRPr="00121585">
        <w:rPr>
          <w:b/>
          <w:bCs/>
        </w:rPr>
        <w:t>nouveau “</w:t>
      </w:r>
      <w:proofErr w:type="spellStart"/>
      <w:r w:rsidRPr="00121585">
        <w:rPr>
          <w:b/>
          <w:bCs/>
        </w:rPr>
        <w:t>raw</w:t>
      </w:r>
      <w:proofErr w:type="spellEnd"/>
      <w:r w:rsidRPr="00121585">
        <w:rPr>
          <w:b/>
          <w:bCs/>
        </w:rPr>
        <w:t xml:space="preserve"> de travail” valide</w:t>
      </w:r>
      <w:r w:rsidRPr="00121585">
        <w:t>, biologiquement fidèle au dataset HBCC original, et mieux adapté aux contraintes computationnelles.</w:t>
      </w:r>
      <w:r w:rsidRPr="00121585">
        <w:br/>
        <w:t xml:space="preserve">Les analyses de contrôle qualité et les étapes aval du pipeline seront donc conduites exclusivement sur ce fichier </w:t>
      </w:r>
      <w:proofErr w:type="spellStart"/>
      <w:r w:rsidRPr="00121585">
        <w:t>pré-filtré</w:t>
      </w:r>
      <w:proofErr w:type="spellEnd"/>
      <w:r w:rsidRPr="00121585">
        <w:t>, tandis que le dataset complet sera conservé comme référence.</w:t>
      </w:r>
    </w:p>
    <w:p w14:paraId="68FF338D" w14:textId="77777777" w:rsidR="00121585" w:rsidRPr="00121585" w:rsidRDefault="00121585" w:rsidP="00913ACD"/>
    <w:p w14:paraId="6D88AB6D" w14:textId="77777777" w:rsidR="00121585" w:rsidRPr="00121585" w:rsidRDefault="00121585" w:rsidP="00913ACD"/>
    <w:p w14:paraId="0C21C8AA" w14:textId="77777777" w:rsidR="00121585" w:rsidRPr="00121585" w:rsidRDefault="00121585" w:rsidP="00913ACD"/>
    <w:p w14:paraId="50FB7A0A" w14:textId="77777777" w:rsidR="00121585" w:rsidRPr="00121585" w:rsidRDefault="00121585" w:rsidP="00913ACD"/>
    <w:p w14:paraId="16489BA9" w14:textId="77777777" w:rsidR="003F5132" w:rsidRPr="003F5132" w:rsidRDefault="003F5132" w:rsidP="003F5132">
      <w:pPr>
        <w:numPr>
          <w:ilvl w:val="0"/>
          <w:numId w:val="17"/>
        </w:numPr>
        <w:tabs>
          <w:tab w:val="num" w:pos="360"/>
        </w:tabs>
        <w:rPr>
          <w:b/>
          <w:bCs/>
        </w:rPr>
      </w:pPr>
      <w:r w:rsidRPr="003F5132">
        <w:rPr>
          <w:b/>
          <w:bCs/>
        </w:rPr>
        <w:t>Ce que ça implique dans ton cas précis</w:t>
      </w:r>
    </w:p>
    <w:p w14:paraId="7A8857BD" w14:textId="77777777" w:rsidR="003F5132" w:rsidRPr="003F5132" w:rsidRDefault="003F5132" w:rsidP="003F5132">
      <w:r w:rsidRPr="003F5132">
        <w:t>Dans cette ligne :</w:t>
      </w:r>
    </w:p>
    <w:p w14:paraId="5B9AFA73" w14:textId="77777777" w:rsidR="003F5132" w:rsidRPr="003F5132" w:rsidRDefault="003F5132" w:rsidP="003F5132">
      <w:r w:rsidRPr="003F5132">
        <w:t>.</w:t>
      </w:r>
      <w:proofErr w:type="spellStart"/>
      <w:r w:rsidRPr="003F5132">
        <w:t>apply</w:t>
      </w:r>
      <w:proofErr w:type="spellEnd"/>
      <w:r w:rsidRPr="003F5132">
        <w:t xml:space="preserve">(lambda x: </w:t>
      </w:r>
      <w:proofErr w:type="spellStart"/>
      <w:r w:rsidRPr="003F5132">
        <w:t>x.sample</w:t>
      </w:r>
      <w:proofErr w:type="spellEnd"/>
      <w:r w:rsidRPr="003F5132">
        <w:t>(n=min(</w:t>
      </w:r>
      <w:proofErr w:type="spellStart"/>
      <w:r w:rsidRPr="003F5132">
        <w:t>len</w:t>
      </w:r>
      <w:proofErr w:type="spellEnd"/>
      <w:r w:rsidRPr="003F5132">
        <w:t xml:space="preserve">(x), </w:t>
      </w:r>
      <w:proofErr w:type="spellStart"/>
      <w:r w:rsidRPr="003F5132">
        <w:t>cells_per_donor</w:t>
      </w:r>
      <w:proofErr w:type="spellEnd"/>
      <w:r w:rsidRPr="003F5132">
        <w:t xml:space="preserve">), </w:t>
      </w:r>
      <w:proofErr w:type="spellStart"/>
      <w:r w:rsidRPr="003F5132">
        <w:t>random_state</w:t>
      </w:r>
      <w:proofErr w:type="spellEnd"/>
      <w:r w:rsidRPr="003F5132">
        <w:t>=0))</w:t>
      </w:r>
    </w:p>
    <w:p w14:paraId="6386F34E" w14:textId="77777777" w:rsidR="003F5132" w:rsidRPr="003F5132" w:rsidRDefault="003F5132" w:rsidP="003F5132">
      <w:pPr>
        <w:numPr>
          <w:ilvl w:val="0"/>
          <w:numId w:val="48"/>
        </w:numPr>
      </w:pPr>
      <w:r w:rsidRPr="003F5132">
        <w:t xml:space="preserve">pour </w:t>
      </w:r>
      <w:r w:rsidRPr="003F5132">
        <w:rPr>
          <w:b/>
          <w:bCs/>
        </w:rPr>
        <w:t>chaque donneur</w:t>
      </w:r>
      <w:r w:rsidRPr="003F5132">
        <w:t>, tu tires au hasard jusqu’à 1000 cellules</w:t>
      </w:r>
    </w:p>
    <w:p w14:paraId="4B30D5E5" w14:textId="77777777" w:rsidR="003F5132" w:rsidRPr="003F5132" w:rsidRDefault="003F5132" w:rsidP="003F5132">
      <w:pPr>
        <w:numPr>
          <w:ilvl w:val="0"/>
          <w:numId w:val="48"/>
        </w:numPr>
      </w:pPr>
      <w:r w:rsidRPr="003F5132">
        <w:rPr>
          <w:b/>
          <w:bCs/>
        </w:rPr>
        <w:t>mais toujours les mêmes</w:t>
      </w:r>
      <w:r w:rsidRPr="003F5132">
        <w:t xml:space="preserve"> à chaque relance du notebook</w:t>
      </w:r>
    </w:p>
    <w:p w14:paraId="2B8A94E0" w14:textId="77777777" w:rsidR="003F5132" w:rsidRPr="003F5132" w:rsidRDefault="003F5132" w:rsidP="003F5132">
      <w:r w:rsidRPr="003F5132">
        <w:rPr>
          <w:rFonts w:ascii="Segoe UI Emoji" w:hAnsi="Segoe UI Emoji" w:cs="Segoe UI Emoji"/>
        </w:rPr>
        <w:t>👉</w:t>
      </w:r>
      <w:r w:rsidRPr="003F5132">
        <w:t xml:space="preserve"> Donc :</w:t>
      </w:r>
    </w:p>
    <w:p w14:paraId="7E7E1150" w14:textId="77777777" w:rsidR="003F5132" w:rsidRPr="003F5132" w:rsidRDefault="003F5132" w:rsidP="003F5132">
      <w:pPr>
        <w:numPr>
          <w:ilvl w:val="0"/>
          <w:numId w:val="49"/>
        </w:numPr>
      </w:pPr>
      <w:r w:rsidRPr="003F5132">
        <w:rPr>
          <w:rFonts w:ascii="Segoe UI Symbol" w:hAnsi="Segoe UI Symbol" w:cs="Segoe UI Symbol"/>
        </w:rPr>
        <w:t>✔</w:t>
      </w:r>
      <w:r w:rsidRPr="003F5132">
        <w:t xml:space="preserve"> traçabilité</w:t>
      </w:r>
    </w:p>
    <w:p w14:paraId="456B3641" w14:textId="77777777" w:rsidR="003F5132" w:rsidRPr="003F5132" w:rsidRDefault="003F5132" w:rsidP="003F5132">
      <w:pPr>
        <w:numPr>
          <w:ilvl w:val="0"/>
          <w:numId w:val="49"/>
        </w:numPr>
      </w:pPr>
      <w:r w:rsidRPr="003F5132">
        <w:rPr>
          <w:rFonts w:ascii="Segoe UI Symbol" w:hAnsi="Segoe UI Symbol" w:cs="Segoe UI Symbol"/>
        </w:rPr>
        <w:t>✔</w:t>
      </w:r>
      <w:r w:rsidRPr="003F5132">
        <w:t xml:space="preserve"> reproductibilité</w:t>
      </w:r>
    </w:p>
    <w:p w14:paraId="3D0D2FC2" w14:textId="77777777" w:rsidR="003F5132" w:rsidRPr="003F5132" w:rsidRDefault="003F5132" w:rsidP="003F5132">
      <w:pPr>
        <w:numPr>
          <w:ilvl w:val="0"/>
          <w:numId w:val="49"/>
        </w:numPr>
      </w:pPr>
      <w:r w:rsidRPr="003F5132">
        <w:rPr>
          <w:rFonts w:ascii="Segoe UI Symbol" w:hAnsi="Segoe UI Symbol" w:cs="Segoe UI Symbol"/>
        </w:rPr>
        <w:t>✔</w:t>
      </w:r>
      <w:r w:rsidRPr="003F5132">
        <w:t xml:space="preserve"> possibilité de refaire exactement le pipeline</w:t>
      </w:r>
    </w:p>
    <w:p w14:paraId="3DEDFEA4" w14:textId="77777777" w:rsidR="003F5132" w:rsidRPr="003F5132" w:rsidRDefault="003F5132" w:rsidP="003F5132">
      <w:pPr>
        <w:numPr>
          <w:ilvl w:val="0"/>
          <w:numId w:val="49"/>
        </w:numPr>
      </w:pPr>
      <w:r w:rsidRPr="003F5132">
        <w:rPr>
          <w:rFonts w:ascii="Segoe UI Symbol" w:hAnsi="Segoe UI Symbol" w:cs="Segoe UI Symbol"/>
        </w:rPr>
        <w:t>✔</w:t>
      </w:r>
      <w:r w:rsidRPr="003F5132">
        <w:t xml:space="preserve"> comparaisons propres entre variantes (EU-</w:t>
      </w:r>
      <w:proofErr w:type="spellStart"/>
      <w:r w:rsidRPr="003F5132">
        <w:t>only</w:t>
      </w:r>
      <w:proofErr w:type="spellEnd"/>
      <w:r w:rsidRPr="003F5132">
        <w:t xml:space="preserve"> vs all-</w:t>
      </w:r>
      <w:proofErr w:type="spellStart"/>
      <w:r w:rsidRPr="003F5132">
        <w:t>donors</w:t>
      </w:r>
      <w:proofErr w:type="spellEnd"/>
      <w:r w:rsidRPr="003F5132">
        <w:t>)</w:t>
      </w:r>
    </w:p>
    <w:p w14:paraId="6E4EB942" w14:textId="77777777" w:rsidR="003F5132" w:rsidRPr="003F5132" w:rsidRDefault="003F5132" w:rsidP="003F5132">
      <w:r w:rsidRPr="003F5132">
        <w:pict w14:anchorId="6FA0E2BB">
          <v:rect id="_x0000_i1045" style="width:0;height:1.5pt" o:hralign="center" o:hrstd="t" o:hr="t" fillcolor="#a0a0a0" stroked="f"/>
        </w:pict>
      </w:r>
    </w:p>
    <w:p w14:paraId="5D261774" w14:textId="77777777" w:rsidR="003F5132" w:rsidRPr="003F5132" w:rsidRDefault="003F5132" w:rsidP="003F5132">
      <w:pPr>
        <w:numPr>
          <w:ilvl w:val="0"/>
          <w:numId w:val="17"/>
        </w:numPr>
        <w:tabs>
          <w:tab w:val="num" w:pos="360"/>
        </w:tabs>
        <w:rPr>
          <w:b/>
          <w:bCs/>
        </w:rPr>
      </w:pPr>
      <w:r w:rsidRPr="003F5132">
        <w:rPr>
          <w:b/>
          <w:bCs/>
        </w:rPr>
        <w:t>Important (point conceptuel)</w:t>
      </w:r>
    </w:p>
    <w:p w14:paraId="195EAE5C" w14:textId="77777777" w:rsidR="003F5132" w:rsidRPr="003F5132" w:rsidRDefault="003F5132" w:rsidP="003F5132">
      <w:pPr>
        <w:numPr>
          <w:ilvl w:val="0"/>
          <w:numId w:val="50"/>
        </w:numPr>
      </w:pPr>
      <w:proofErr w:type="spellStart"/>
      <w:r w:rsidRPr="003F5132">
        <w:t>random_state</w:t>
      </w:r>
      <w:proofErr w:type="spellEnd"/>
      <w:r w:rsidRPr="003F5132">
        <w:t xml:space="preserve"> </w:t>
      </w:r>
      <w:r w:rsidRPr="003F5132">
        <w:rPr>
          <w:b/>
          <w:bCs/>
        </w:rPr>
        <w:t>n’enlève pas l’aléatoire</w:t>
      </w:r>
    </w:p>
    <w:p w14:paraId="6053C481" w14:textId="77777777" w:rsidR="003F5132" w:rsidRPr="003F5132" w:rsidRDefault="003F5132" w:rsidP="003F5132">
      <w:pPr>
        <w:numPr>
          <w:ilvl w:val="0"/>
          <w:numId w:val="50"/>
        </w:numPr>
      </w:pPr>
      <w:r w:rsidRPr="003F5132">
        <w:t xml:space="preserve">il </w:t>
      </w:r>
      <w:r w:rsidRPr="003F5132">
        <w:rPr>
          <w:b/>
          <w:bCs/>
        </w:rPr>
        <w:t>le fige</w:t>
      </w:r>
    </w:p>
    <w:p w14:paraId="08A674D7" w14:textId="77777777" w:rsidR="003F5132" w:rsidRPr="003F5132" w:rsidRDefault="003F5132" w:rsidP="003F5132">
      <w:pPr>
        <w:numPr>
          <w:ilvl w:val="0"/>
          <w:numId w:val="50"/>
        </w:numPr>
      </w:pPr>
      <w:r w:rsidRPr="003F5132">
        <w:t xml:space="preserve">ce n’est </w:t>
      </w:r>
      <w:r w:rsidRPr="003F5132">
        <w:rPr>
          <w:b/>
          <w:bCs/>
        </w:rPr>
        <w:t>pas un biais</w:t>
      </w:r>
      <w:r w:rsidRPr="003F5132">
        <w:t>, c’est une bonne pratique scientifique</w:t>
      </w:r>
    </w:p>
    <w:p w14:paraId="74DD05C3" w14:textId="77777777" w:rsidR="003F5132" w:rsidRPr="003F5132" w:rsidRDefault="003F5132" w:rsidP="003F5132">
      <w:r w:rsidRPr="003F5132">
        <w:pict w14:anchorId="0A27071D">
          <v:rect id="_x0000_i1046" style="width:0;height:1.5pt" o:hralign="center" o:hrstd="t" o:hr="t" fillcolor="#a0a0a0" stroked="f"/>
        </w:pict>
      </w:r>
    </w:p>
    <w:p w14:paraId="5E3309BE" w14:textId="77777777" w:rsidR="003F5132" w:rsidRPr="003F5132" w:rsidRDefault="003F5132" w:rsidP="003F5132">
      <w:pPr>
        <w:numPr>
          <w:ilvl w:val="0"/>
          <w:numId w:val="17"/>
        </w:numPr>
        <w:tabs>
          <w:tab w:val="num" w:pos="360"/>
        </w:tabs>
        <w:rPr>
          <w:b/>
          <w:bCs/>
        </w:rPr>
      </w:pPr>
      <w:r w:rsidRPr="003F5132">
        <w:rPr>
          <w:b/>
          <w:bCs/>
        </w:rPr>
        <w:t>Phrase méthodo (si tu veux l’écrire)</w:t>
      </w:r>
    </w:p>
    <w:p w14:paraId="67099A42" w14:textId="77777777" w:rsidR="003F5132" w:rsidRPr="003F5132" w:rsidRDefault="003F5132" w:rsidP="003F5132">
      <w:pPr>
        <w:rPr>
          <w:lang w:val="en-US"/>
        </w:rPr>
      </w:pPr>
      <w:r w:rsidRPr="003F5132">
        <w:rPr>
          <w:i/>
          <w:iCs/>
          <w:lang w:val="en-US"/>
        </w:rPr>
        <w:t>Cell subsampling was performed using a fixed random seed to ensure reproducibility of the selected nuclei.</w:t>
      </w:r>
    </w:p>
    <w:p w14:paraId="5FF3F272" w14:textId="77777777" w:rsidR="00E1262C" w:rsidRDefault="00E1262C" w:rsidP="00913ACD">
      <w:pPr>
        <w:rPr>
          <w:lang w:val="en-US"/>
        </w:rPr>
      </w:pPr>
    </w:p>
    <w:p w14:paraId="7A75D64B" w14:textId="77777777" w:rsidR="002E4918" w:rsidRPr="002E4918" w:rsidRDefault="002E4918" w:rsidP="002E4918">
      <w:pPr>
        <w:numPr>
          <w:ilvl w:val="0"/>
          <w:numId w:val="17"/>
        </w:numPr>
        <w:tabs>
          <w:tab w:val="num" w:pos="360"/>
        </w:tabs>
        <w:rPr>
          <w:b/>
          <w:bCs/>
        </w:rPr>
      </w:pPr>
      <w:r w:rsidRPr="002E4918">
        <w:rPr>
          <w:b/>
          <w:bCs/>
        </w:rPr>
        <w:t>Formulation claire (conceptuelle)</w:t>
      </w:r>
    </w:p>
    <w:p w14:paraId="15AB05A4" w14:textId="77777777" w:rsidR="002E4918" w:rsidRPr="002E4918" w:rsidRDefault="002E4918" w:rsidP="002E4918">
      <w:pPr>
        <w:numPr>
          <w:ilvl w:val="0"/>
          <w:numId w:val="17"/>
        </w:numPr>
        <w:tabs>
          <w:tab w:val="num" w:pos="360"/>
        </w:tabs>
        <w:rPr>
          <w:b/>
          <w:bCs/>
        </w:rPr>
      </w:pPr>
      <w:r w:rsidRPr="002E4918">
        <w:rPr>
          <w:rFonts w:ascii="Segoe UI Emoji" w:hAnsi="Segoe UI Emoji" w:cs="Segoe UI Emoji"/>
          <w:b/>
          <w:bCs/>
        </w:rPr>
        <w:t>🔹</w:t>
      </w:r>
      <w:r w:rsidRPr="002E4918">
        <w:rPr>
          <w:b/>
          <w:bCs/>
        </w:rPr>
        <w:t xml:space="preserve"> c1 — contrainte inter-individuelle</w:t>
      </w:r>
    </w:p>
    <w:p w14:paraId="5D042AEF" w14:textId="77777777" w:rsidR="002E4918" w:rsidRPr="002E4918" w:rsidRDefault="002E4918" w:rsidP="002E4918">
      <w:r w:rsidRPr="002E4918">
        <w:rPr>
          <w:b/>
          <w:bCs/>
        </w:rPr>
        <w:t>Sur les donneurs uniques</w:t>
      </w:r>
    </w:p>
    <w:p w14:paraId="03F0022C" w14:textId="77777777" w:rsidR="002E4918" w:rsidRPr="002E4918" w:rsidRDefault="002E4918" w:rsidP="002E4918">
      <w:r w:rsidRPr="002E4918">
        <w:t xml:space="preserve">Garantir que </w:t>
      </w:r>
      <w:r w:rsidRPr="002E4918">
        <w:rPr>
          <w:b/>
          <w:bCs/>
        </w:rPr>
        <w:t>chaque donneur contribue de manière comparable</w:t>
      </w:r>
      <w:r w:rsidRPr="002E4918">
        <w:t xml:space="preserve"> au dataset, en limitant le nombre maximal de cellules par donneur.</w:t>
      </w:r>
    </w:p>
    <w:p w14:paraId="29900251" w14:textId="77777777" w:rsidR="002E4918" w:rsidRPr="002E4918" w:rsidRDefault="002E4918" w:rsidP="002E4918">
      <w:pPr>
        <w:numPr>
          <w:ilvl w:val="0"/>
          <w:numId w:val="51"/>
        </w:numPr>
      </w:pPr>
      <w:r w:rsidRPr="002E4918">
        <w:lastRenderedPageBreak/>
        <w:t xml:space="preserve">unité : </w:t>
      </w:r>
      <w:r w:rsidRPr="002E4918">
        <w:rPr>
          <w:b/>
          <w:bCs/>
        </w:rPr>
        <w:t>donneur</w:t>
      </w:r>
    </w:p>
    <w:p w14:paraId="14B596F9" w14:textId="77777777" w:rsidR="002E4918" w:rsidRPr="002E4918" w:rsidRDefault="002E4918" w:rsidP="002E4918">
      <w:pPr>
        <w:numPr>
          <w:ilvl w:val="0"/>
          <w:numId w:val="51"/>
        </w:numPr>
      </w:pPr>
      <w:r w:rsidRPr="002E4918">
        <w:t>objectif : éviter qu’un donneur “profond” écrase les autres</w:t>
      </w:r>
    </w:p>
    <w:p w14:paraId="156D951E" w14:textId="77777777" w:rsidR="002E4918" w:rsidRPr="002E4918" w:rsidRDefault="002E4918" w:rsidP="002E4918">
      <w:pPr>
        <w:numPr>
          <w:ilvl w:val="0"/>
          <w:numId w:val="51"/>
        </w:numPr>
      </w:pPr>
      <w:r w:rsidRPr="002E4918">
        <w:t>ex. : ≤ 1000 cellules / donneur</w:t>
      </w:r>
    </w:p>
    <w:p w14:paraId="27FE5E64" w14:textId="77777777" w:rsidR="002E4918" w:rsidRPr="002E4918" w:rsidRDefault="002E4918" w:rsidP="002E4918">
      <w:r w:rsidRPr="002E4918">
        <w:pict w14:anchorId="193FF1B1">
          <v:rect id="_x0000_i1073" style="width:0;height:1.5pt" o:hralign="center" o:hrstd="t" o:hr="t" fillcolor="#a0a0a0" stroked="f"/>
        </w:pict>
      </w:r>
    </w:p>
    <w:p w14:paraId="6477E889" w14:textId="77777777" w:rsidR="002E4918" w:rsidRPr="002E4918" w:rsidRDefault="002E4918" w:rsidP="002E4918">
      <w:pPr>
        <w:numPr>
          <w:ilvl w:val="0"/>
          <w:numId w:val="17"/>
        </w:numPr>
        <w:tabs>
          <w:tab w:val="num" w:pos="360"/>
        </w:tabs>
        <w:rPr>
          <w:b/>
          <w:bCs/>
        </w:rPr>
      </w:pPr>
      <w:r w:rsidRPr="002E4918">
        <w:rPr>
          <w:rFonts w:ascii="Segoe UI Emoji" w:hAnsi="Segoe UI Emoji" w:cs="Segoe UI Emoji"/>
          <w:b/>
          <w:bCs/>
        </w:rPr>
        <w:t>🔹</w:t>
      </w:r>
      <w:r w:rsidRPr="002E4918">
        <w:rPr>
          <w:b/>
          <w:bCs/>
        </w:rPr>
        <w:t xml:space="preserve"> c2 — contrainte intra-individuelle</w:t>
      </w:r>
    </w:p>
    <w:p w14:paraId="6720B12D" w14:textId="77777777" w:rsidR="002E4918" w:rsidRPr="002E4918" w:rsidRDefault="002E4918" w:rsidP="002E4918">
      <w:r w:rsidRPr="002E4918">
        <w:rPr>
          <w:b/>
          <w:bCs/>
        </w:rPr>
        <w:t>Sur les types cellulaires uniques (par donneur)</w:t>
      </w:r>
    </w:p>
    <w:p w14:paraId="6C39EA48" w14:textId="77777777" w:rsidR="002E4918" w:rsidRPr="002E4918" w:rsidRDefault="002E4918" w:rsidP="002E4918">
      <w:r w:rsidRPr="002E4918">
        <w:t xml:space="preserve">Garantir que la diversité cellulaire </w:t>
      </w:r>
      <w:r w:rsidRPr="002E4918">
        <w:rPr>
          <w:b/>
          <w:bCs/>
        </w:rPr>
        <w:t>au sein de chaque donneur</w:t>
      </w:r>
      <w:r w:rsidRPr="002E4918">
        <w:t xml:space="preserve"> est préservée, sans qu’un type cellulaire domine artificiellement.</w:t>
      </w:r>
    </w:p>
    <w:p w14:paraId="04DDAB52" w14:textId="77777777" w:rsidR="002E4918" w:rsidRPr="002E4918" w:rsidRDefault="002E4918" w:rsidP="002E4918">
      <w:pPr>
        <w:numPr>
          <w:ilvl w:val="0"/>
          <w:numId w:val="52"/>
        </w:numPr>
      </w:pPr>
      <w:r w:rsidRPr="002E4918">
        <w:t xml:space="preserve">unité : </w:t>
      </w:r>
      <w:r w:rsidRPr="002E4918">
        <w:rPr>
          <w:b/>
          <w:bCs/>
        </w:rPr>
        <w:t>type cellulaire</w:t>
      </w:r>
    </w:p>
    <w:p w14:paraId="47021047" w14:textId="77777777" w:rsidR="002E4918" w:rsidRPr="002E4918" w:rsidRDefault="002E4918" w:rsidP="002E4918">
      <w:pPr>
        <w:numPr>
          <w:ilvl w:val="0"/>
          <w:numId w:val="52"/>
        </w:numPr>
      </w:pPr>
      <w:r w:rsidRPr="002E4918">
        <w:t>conditionnée par le donneur</w:t>
      </w:r>
    </w:p>
    <w:p w14:paraId="35374311" w14:textId="77777777" w:rsidR="002E4918" w:rsidRPr="002E4918" w:rsidRDefault="002E4918" w:rsidP="002E4918">
      <w:pPr>
        <w:numPr>
          <w:ilvl w:val="0"/>
          <w:numId w:val="52"/>
        </w:numPr>
      </w:pPr>
      <w:r w:rsidRPr="002E4918">
        <w:t>ex. : ≤ 300 cellules / type cellulaire / donneur</w:t>
      </w:r>
    </w:p>
    <w:p w14:paraId="2414C3C3" w14:textId="77777777" w:rsidR="002E4918" w:rsidRPr="002E4918" w:rsidRDefault="002E4918" w:rsidP="002E4918">
      <w:r w:rsidRPr="002E4918">
        <w:pict w14:anchorId="4527C714">
          <v:rect id="_x0000_i1074" style="width:0;height:1.5pt" o:hralign="center" o:hrstd="t" o:hr="t" fillcolor="#a0a0a0" stroked="f"/>
        </w:pict>
      </w:r>
    </w:p>
    <w:p w14:paraId="4BA6C87C" w14:textId="77777777" w:rsidR="002E4918" w:rsidRPr="002E4918" w:rsidRDefault="002E4918" w:rsidP="002E4918">
      <w:pPr>
        <w:numPr>
          <w:ilvl w:val="0"/>
          <w:numId w:val="17"/>
        </w:numPr>
        <w:tabs>
          <w:tab w:val="num" w:pos="360"/>
        </w:tabs>
        <w:rPr>
          <w:b/>
          <w:bCs/>
        </w:rPr>
      </w:pPr>
      <w:r w:rsidRPr="002E4918">
        <w:rPr>
          <w:b/>
          <w:bCs/>
        </w:rPr>
        <w:t>Ce que tu fais vraiment (et c’est très bien)</w:t>
      </w:r>
    </w:p>
    <w:p w14:paraId="5866232C" w14:textId="77777777" w:rsidR="002E4918" w:rsidRPr="002E4918" w:rsidRDefault="002E4918" w:rsidP="002E4918">
      <w:r w:rsidRPr="002E4918">
        <w:t xml:space="preserve">Tu construis un </w:t>
      </w:r>
      <w:r w:rsidRPr="002E4918">
        <w:rPr>
          <w:b/>
          <w:bCs/>
        </w:rPr>
        <w:t>sous-échantillon équilibré hiérarchiquement</w:t>
      </w:r>
      <w:r w:rsidRPr="002E4918">
        <w:t xml:space="preserve"> :</w:t>
      </w:r>
    </w:p>
    <w:p w14:paraId="61603EED" w14:textId="77777777" w:rsidR="002E4918" w:rsidRPr="002E4918" w:rsidRDefault="002E4918" w:rsidP="002E4918">
      <w:r w:rsidRPr="002E4918">
        <w:rPr>
          <w:b/>
          <w:bCs/>
        </w:rPr>
        <w:t>donneur → type cellulaire → cellule</w:t>
      </w:r>
    </w:p>
    <w:p w14:paraId="445AF22C" w14:textId="77777777" w:rsidR="002E4918" w:rsidRPr="002E4918" w:rsidRDefault="002E4918" w:rsidP="002E4918">
      <w:r w:rsidRPr="002E4918">
        <w:t>C’est exactement ce que tu cherchais quand tu parlais de :</w:t>
      </w:r>
    </w:p>
    <w:p w14:paraId="70096749" w14:textId="77777777" w:rsidR="002E4918" w:rsidRPr="002E4918" w:rsidRDefault="002E4918" w:rsidP="002E4918">
      <w:pPr>
        <w:numPr>
          <w:ilvl w:val="0"/>
          <w:numId w:val="53"/>
        </w:numPr>
      </w:pPr>
      <w:r w:rsidRPr="002E4918">
        <w:t>“</w:t>
      </w:r>
      <w:proofErr w:type="spellStart"/>
      <w:r w:rsidRPr="002E4918">
        <w:t>sample</w:t>
      </w:r>
      <w:proofErr w:type="spellEnd"/>
      <w:r w:rsidRPr="002E4918">
        <w:t xml:space="preserve"> unique”</w:t>
      </w:r>
    </w:p>
    <w:p w14:paraId="33CC4B8A" w14:textId="77777777" w:rsidR="002E4918" w:rsidRPr="002E4918" w:rsidRDefault="002E4918" w:rsidP="002E4918">
      <w:pPr>
        <w:numPr>
          <w:ilvl w:val="0"/>
          <w:numId w:val="53"/>
        </w:numPr>
      </w:pPr>
      <w:r w:rsidRPr="002E4918">
        <w:t>“respecter l’original”</w:t>
      </w:r>
    </w:p>
    <w:p w14:paraId="3F7AB5E3" w14:textId="77777777" w:rsidR="002E4918" w:rsidRPr="002E4918" w:rsidRDefault="002E4918" w:rsidP="002E4918">
      <w:pPr>
        <w:numPr>
          <w:ilvl w:val="0"/>
          <w:numId w:val="53"/>
        </w:numPr>
      </w:pPr>
      <w:r w:rsidRPr="002E4918">
        <w:t>“ne pas perdre de variabilité”</w:t>
      </w:r>
    </w:p>
    <w:p w14:paraId="61A0AD9D" w14:textId="77777777" w:rsidR="002E4918" w:rsidRPr="002E4918" w:rsidRDefault="002E4918" w:rsidP="002E4918">
      <w:r w:rsidRPr="002E4918">
        <w:t xml:space="preserve">Tu avais l’intuition juste, maintenant tu as la </w:t>
      </w:r>
      <w:r w:rsidRPr="002E4918">
        <w:rPr>
          <w:b/>
          <w:bCs/>
        </w:rPr>
        <w:t>formalisation propre</w:t>
      </w:r>
      <w:r w:rsidRPr="002E4918">
        <w:t>.</w:t>
      </w:r>
    </w:p>
    <w:p w14:paraId="6C314C4E" w14:textId="77777777" w:rsidR="002E4918" w:rsidRPr="002E4918" w:rsidRDefault="002E4918" w:rsidP="002E4918">
      <w:r w:rsidRPr="002E4918">
        <w:pict w14:anchorId="220D1173">
          <v:rect id="_x0000_i1075" style="width:0;height:1.5pt" o:hralign="center" o:hrstd="t" o:hr="t" fillcolor="#a0a0a0" stroked="f"/>
        </w:pict>
      </w:r>
    </w:p>
    <w:p w14:paraId="3A49383C" w14:textId="77777777" w:rsidR="002E4918" w:rsidRPr="002E4918" w:rsidRDefault="002E4918" w:rsidP="002E4918">
      <w:pPr>
        <w:numPr>
          <w:ilvl w:val="0"/>
          <w:numId w:val="17"/>
        </w:numPr>
        <w:tabs>
          <w:tab w:val="num" w:pos="360"/>
        </w:tabs>
        <w:rPr>
          <w:b/>
          <w:bCs/>
        </w:rPr>
      </w:pPr>
      <w:r w:rsidRPr="002E4918">
        <w:rPr>
          <w:b/>
          <w:bCs/>
        </w:rPr>
        <w:t>Pourquoi c’est pédagogiquement fort (M2)</w:t>
      </w:r>
    </w:p>
    <w:p w14:paraId="25FF1EDB" w14:textId="77777777" w:rsidR="002E4918" w:rsidRPr="002E4918" w:rsidRDefault="002E4918" w:rsidP="002E4918">
      <w:pPr>
        <w:numPr>
          <w:ilvl w:val="0"/>
          <w:numId w:val="54"/>
        </w:numPr>
      </w:pPr>
      <w:r w:rsidRPr="002E4918">
        <w:t>pas de jargon inutile</w:t>
      </w:r>
    </w:p>
    <w:p w14:paraId="474F6EDB" w14:textId="77777777" w:rsidR="002E4918" w:rsidRPr="002E4918" w:rsidRDefault="002E4918" w:rsidP="002E4918">
      <w:pPr>
        <w:numPr>
          <w:ilvl w:val="0"/>
          <w:numId w:val="54"/>
        </w:numPr>
      </w:pPr>
      <w:r w:rsidRPr="002E4918">
        <w:t>pas de math lourdes</w:t>
      </w:r>
    </w:p>
    <w:p w14:paraId="4D5CA358" w14:textId="77777777" w:rsidR="002E4918" w:rsidRPr="002E4918" w:rsidRDefault="002E4918" w:rsidP="002E4918">
      <w:pPr>
        <w:numPr>
          <w:ilvl w:val="0"/>
          <w:numId w:val="54"/>
        </w:numPr>
      </w:pPr>
      <w:r w:rsidRPr="002E4918">
        <w:t>logique biologique explicite</w:t>
      </w:r>
    </w:p>
    <w:p w14:paraId="75F3545C" w14:textId="77777777" w:rsidR="002E4918" w:rsidRPr="002E4918" w:rsidRDefault="002E4918" w:rsidP="002E4918">
      <w:pPr>
        <w:numPr>
          <w:ilvl w:val="0"/>
          <w:numId w:val="54"/>
        </w:numPr>
      </w:pPr>
      <w:r w:rsidRPr="002E4918">
        <w:t xml:space="preserve">chaque contrainte est </w:t>
      </w:r>
      <w:r w:rsidRPr="002E4918">
        <w:rPr>
          <w:b/>
          <w:bCs/>
        </w:rPr>
        <w:t>interprétable indépendamment</w:t>
      </w:r>
    </w:p>
    <w:p w14:paraId="12F8551F" w14:textId="77777777" w:rsidR="002E4918" w:rsidRPr="002E4918" w:rsidRDefault="002E4918" w:rsidP="002E4918">
      <w:r w:rsidRPr="002E4918">
        <w:t>Un jury peut littéralement lire :</w:t>
      </w:r>
    </w:p>
    <w:p w14:paraId="5BE637F0" w14:textId="77777777" w:rsidR="002E4918" w:rsidRPr="002E4918" w:rsidRDefault="002E4918" w:rsidP="002E4918">
      <w:pPr>
        <w:numPr>
          <w:ilvl w:val="0"/>
          <w:numId w:val="55"/>
        </w:numPr>
      </w:pPr>
      <w:r w:rsidRPr="002E4918">
        <w:rPr>
          <w:i/>
          <w:iCs/>
        </w:rPr>
        <w:t>c1 contrôle la contribution des individus</w:t>
      </w:r>
    </w:p>
    <w:p w14:paraId="29FCDC70" w14:textId="77777777" w:rsidR="002E4918" w:rsidRPr="002E4918" w:rsidRDefault="002E4918" w:rsidP="002E4918">
      <w:pPr>
        <w:numPr>
          <w:ilvl w:val="0"/>
          <w:numId w:val="55"/>
        </w:numPr>
      </w:pPr>
      <w:r w:rsidRPr="002E4918">
        <w:rPr>
          <w:i/>
          <w:iCs/>
        </w:rPr>
        <w:t>c2 contrôle la composition cellulaire</w:t>
      </w:r>
    </w:p>
    <w:p w14:paraId="64A17DE4" w14:textId="77777777" w:rsidR="002E4918" w:rsidRPr="002E4918" w:rsidRDefault="002E4918" w:rsidP="002E4918">
      <w:r w:rsidRPr="002E4918">
        <w:t>… et comprendre immédiatement.</w:t>
      </w:r>
    </w:p>
    <w:p w14:paraId="22677F6D" w14:textId="77777777" w:rsidR="002E4918" w:rsidRPr="002E4918" w:rsidRDefault="002E4918" w:rsidP="002E4918">
      <w:r w:rsidRPr="002E4918">
        <w:pict w14:anchorId="6A6331AE">
          <v:rect id="_x0000_i1076" style="width:0;height:1.5pt" o:hralign="center" o:hrstd="t" o:hr="t" fillcolor="#a0a0a0" stroked="f"/>
        </w:pict>
      </w:r>
    </w:p>
    <w:p w14:paraId="77904C24" w14:textId="77777777" w:rsidR="002E4918" w:rsidRPr="002E4918" w:rsidRDefault="002E4918" w:rsidP="002E4918">
      <w:pPr>
        <w:numPr>
          <w:ilvl w:val="0"/>
          <w:numId w:val="17"/>
        </w:numPr>
        <w:tabs>
          <w:tab w:val="num" w:pos="360"/>
        </w:tabs>
        <w:rPr>
          <w:b/>
          <w:bCs/>
        </w:rPr>
      </w:pPr>
      <w:r w:rsidRPr="002E4918">
        <w:rPr>
          <w:b/>
          <w:bCs/>
        </w:rPr>
        <w:t>En une phrase (si tu veux la garder en tête)</w:t>
      </w:r>
    </w:p>
    <w:p w14:paraId="75C5EF38" w14:textId="77777777" w:rsidR="002E4918" w:rsidRPr="002E4918" w:rsidRDefault="002E4918" w:rsidP="002E4918">
      <w:r w:rsidRPr="002E4918">
        <w:rPr>
          <w:b/>
          <w:bCs/>
        </w:rPr>
        <w:t>Le sous-échantillonnage est contraint à la fois au niveau des donneurs (c1) et des types cellulaires par donneur (c2), afin de préserver la diversité biologique tout en limitant la taille du dataset.</w:t>
      </w:r>
    </w:p>
    <w:p w14:paraId="45773825" w14:textId="77777777" w:rsidR="002E4918" w:rsidRPr="002E4918" w:rsidRDefault="002E4918" w:rsidP="002E4918">
      <w:r w:rsidRPr="002E4918">
        <w:t>Tu es exactement au bon niveau.</w:t>
      </w:r>
    </w:p>
    <w:p w14:paraId="63114B29" w14:textId="77777777" w:rsidR="002E4918" w:rsidRPr="002E4918" w:rsidRDefault="002E4918" w:rsidP="00913ACD"/>
    <w:p w14:paraId="7AABE5FA" w14:textId="77777777" w:rsidR="003F5132" w:rsidRDefault="003F5132" w:rsidP="00913ACD"/>
    <w:p w14:paraId="539A3B91" w14:textId="77777777" w:rsidR="000F7E02" w:rsidRDefault="000F7E02" w:rsidP="00913ACD"/>
    <w:p w14:paraId="7B8FBD0C" w14:textId="77777777" w:rsidR="000F7E02" w:rsidRPr="000F7E02" w:rsidRDefault="000F7E02" w:rsidP="000F7E02">
      <w:r w:rsidRPr="000F7E02">
        <w:rPr>
          <w:b/>
          <w:bCs/>
        </w:rPr>
        <w:t>c’est exactement le résultat attendu</w:t>
      </w:r>
      <w:r w:rsidRPr="000F7E02">
        <w:t xml:space="preserve">, et il est </w:t>
      </w:r>
      <w:r w:rsidRPr="000F7E02">
        <w:rPr>
          <w:b/>
          <w:bCs/>
        </w:rPr>
        <w:t>bon</w:t>
      </w:r>
      <w:r w:rsidRPr="000F7E02">
        <w:t xml:space="preserve"> </w:t>
      </w:r>
      <w:r w:rsidRPr="000F7E02">
        <w:rPr>
          <w:rFonts w:ascii="Segoe UI Emoji" w:hAnsi="Segoe UI Emoji" w:cs="Segoe UI Emoji"/>
        </w:rPr>
        <w:t>👍</w:t>
      </w:r>
      <w:r w:rsidRPr="000F7E02">
        <w:br/>
        <w:t>Voici l’analyse concise.</w:t>
      </w:r>
    </w:p>
    <w:p w14:paraId="545477BC" w14:textId="77777777" w:rsidR="000F7E02" w:rsidRPr="000F7E02" w:rsidRDefault="000F7E02" w:rsidP="000F7E02">
      <w:pPr>
        <w:numPr>
          <w:ilvl w:val="0"/>
          <w:numId w:val="17"/>
        </w:numPr>
        <w:tabs>
          <w:tab w:val="num" w:pos="360"/>
        </w:tabs>
        <w:rPr>
          <w:b/>
          <w:bCs/>
        </w:rPr>
      </w:pPr>
      <w:r w:rsidRPr="000F7E02">
        <w:rPr>
          <w:b/>
          <w:bCs/>
        </w:rPr>
        <w:lastRenderedPageBreak/>
        <w:t>Ce que disent les chiffres</w:t>
      </w:r>
    </w:p>
    <w:p w14:paraId="4782433C" w14:textId="77777777" w:rsidR="000F7E02" w:rsidRPr="000F7E02" w:rsidRDefault="000F7E02" w:rsidP="000F7E02">
      <w:pPr>
        <w:numPr>
          <w:ilvl w:val="0"/>
          <w:numId w:val="56"/>
        </w:numPr>
      </w:pPr>
      <w:r w:rsidRPr="000F7E02">
        <w:rPr>
          <w:b/>
          <w:bCs/>
        </w:rPr>
        <w:t>Avant (c1 seul)</w:t>
      </w:r>
      <w:r w:rsidRPr="000F7E02">
        <w:t xml:space="preserve"> : 432 164 cellules</w:t>
      </w:r>
    </w:p>
    <w:p w14:paraId="6B5A29C3" w14:textId="77777777" w:rsidR="000F7E02" w:rsidRPr="000F7E02" w:rsidRDefault="000F7E02" w:rsidP="000F7E02">
      <w:pPr>
        <w:numPr>
          <w:ilvl w:val="0"/>
          <w:numId w:val="56"/>
        </w:numPr>
      </w:pPr>
      <w:r w:rsidRPr="000F7E02">
        <w:rPr>
          <w:b/>
          <w:bCs/>
        </w:rPr>
        <w:t>Après (c1 + proportionnalité + plancher)</w:t>
      </w:r>
      <w:r w:rsidRPr="000F7E02">
        <w:t xml:space="preserve"> : </w:t>
      </w:r>
      <w:r w:rsidRPr="000F7E02">
        <w:rPr>
          <w:b/>
          <w:bCs/>
        </w:rPr>
        <w:t>414 792 cellules</w:t>
      </w:r>
    </w:p>
    <w:p w14:paraId="7D011D4A" w14:textId="77777777" w:rsidR="000F7E02" w:rsidRPr="000F7E02" w:rsidRDefault="000F7E02" w:rsidP="000F7E02">
      <w:pPr>
        <w:numPr>
          <w:ilvl w:val="0"/>
          <w:numId w:val="56"/>
        </w:numPr>
      </w:pPr>
      <w:r w:rsidRPr="000F7E02">
        <w:rPr>
          <w:b/>
          <w:bCs/>
        </w:rPr>
        <w:t>Δ ≈ −17 400 cellules (~4 %)</w:t>
      </w:r>
    </w:p>
    <w:p w14:paraId="2ECD9F0A" w14:textId="77777777" w:rsidR="000F7E02" w:rsidRPr="000F7E02" w:rsidRDefault="000F7E02" w:rsidP="000F7E02">
      <w:r w:rsidRPr="000F7E02">
        <w:t>Et surtout :</w:t>
      </w:r>
    </w:p>
    <w:p w14:paraId="215AFF8D" w14:textId="77777777" w:rsidR="000F7E02" w:rsidRPr="000F7E02" w:rsidRDefault="000F7E02" w:rsidP="000F7E02">
      <w:pPr>
        <w:numPr>
          <w:ilvl w:val="0"/>
          <w:numId w:val="57"/>
        </w:numPr>
      </w:pPr>
      <w:r w:rsidRPr="000F7E02">
        <w:rPr>
          <w:b/>
          <w:bCs/>
        </w:rPr>
        <w:t>Donneurs</w:t>
      </w:r>
      <w:r w:rsidRPr="000F7E02">
        <w:t xml:space="preserve"> : 300 → </w:t>
      </w:r>
      <w:r w:rsidRPr="000F7E02">
        <w:rPr>
          <w:b/>
          <w:bCs/>
        </w:rPr>
        <w:t>300</w:t>
      </w:r>
      <w:r w:rsidRPr="000F7E02">
        <w:t xml:space="preserve"> </w:t>
      </w:r>
      <w:r w:rsidRPr="000F7E02">
        <w:rPr>
          <w:rFonts w:ascii="Segoe UI Emoji" w:hAnsi="Segoe UI Emoji" w:cs="Segoe UI Emoji"/>
        </w:rPr>
        <w:t>✅</w:t>
      </w:r>
    </w:p>
    <w:p w14:paraId="3B0A918D" w14:textId="77777777" w:rsidR="000F7E02" w:rsidRPr="000F7E02" w:rsidRDefault="000F7E02" w:rsidP="000F7E02">
      <w:pPr>
        <w:numPr>
          <w:ilvl w:val="0"/>
          <w:numId w:val="57"/>
        </w:numPr>
      </w:pPr>
      <w:r w:rsidRPr="000F7E02">
        <w:rPr>
          <w:b/>
          <w:bCs/>
        </w:rPr>
        <w:t>Types cellulaires globaux</w:t>
      </w:r>
      <w:r w:rsidRPr="000F7E02">
        <w:t xml:space="preserve"> : 25 → </w:t>
      </w:r>
      <w:r w:rsidRPr="000F7E02">
        <w:rPr>
          <w:b/>
          <w:bCs/>
        </w:rPr>
        <w:t>25</w:t>
      </w:r>
      <w:r w:rsidRPr="000F7E02">
        <w:t xml:space="preserve"> </w:t>
      </w:r>
      <w:r w:rsidRPr="000F7E02">
        <w:rPr>
          <w:rFonts w:ascii="Segoe UI Emoji" w:hAnsi="Segoe UI Emoji" w:cs="Segoe UI Emoji"/>
        </w:rPr>
        <w:t>✅</w:t>
      </w:r>
    </w:p>
    <w:p w14:paraId="1F7E9316" w14:textId="77777777" w:rsidR="000F7E02" w:rsidRPr="000F7E02" w:rsidRDefault="000F7E02" w:rsidP="000F7E02">
      <w:pPr>
        <w:numPr>
          <w:ilvl w:val="0"/>
          <w:numId w:val="17"/>
        </w:numPr>
        <w:tabs>
          <w:tab w:val="num" w:pos="360"/>
        </w:tabs>
        <w:rPr>
          <w:b/>
          <w:bCs/>
        </w:rPr>
      </w:pPr>
      <w:r w:rsidRPr="000F7E02">
        <w:rPr>
          <w:b/>
          <w:bCs/>
        </w:rPr>
        <w:t>Interprétation scientifique</w:t>
      </w:r>
    </w:p>
    <w:p w14:paraId="55DD63B2" w14:textId="77777777" w:rsidR="000F7E02" w:rsidRPr="000F7E02" w:rsidRDefault="000F7E02" w:rsidP="000F7E02">
      <w:pPr>
        <w:numPr>
          <w:ilvl w:val="0"/>
          <w:numId w:val="58"/>
        </w:numPr>
      </w:pPr>
      <w:r w:rsidRPr="000F7E02">
        <w:t>La baisse de ~4 % vient du fait que :</w:t>
      </w:r>
    </w:p>
    <w:p w14:paraId="2946800D" w14:textId="77777777" w:rsidR="000F7E02" w:rsidRPr="000F7E02" w:rsidRDefault="000F7E02" w:rsidP="000F7E02">
      <w:pPr>
        <w:numPr>
          <w:ilvl w:val="1"/>
          <w:numId w:val="58"/>
        </w:numPr>
      </w:pPr>
      <w:r w:rsidRPr="000F7E02">
        <w:t>le plancher + la correction proportionnelle empêchent certains donneurs très déséquilibrés d’atteindre exactement 1500 cellules</w:t>
      </w:r>
    </w:p>
    <w:p w14:paraId="10AB4B24" w14:textId="77777777" w:rsidR="000F7E02" w:rsidRPr="000F7E02" w:rsidRDefault="000F7E02" w:rsidP="000F7E02">
      <w:pPr>
        <w:numPr>
          <w:ilvl w:val="1"/>
          <w:numId w:val="58"/>
        </w:numPr>
      </w:pPr>
      <w:r w:rsidRPr="000F7E02">
        <w:t>tu refuses implicitement de “sur-remplir” certains types cellulaires dominants pour atteindre le cap</w:t>
      </w:r>
    </w:p>
    <w:p w14:paraId="166E6472" w14:textId="77777777" w:rsidR="000F7E02" w:rsidRPr="000F7E02" w:rsidRDefault="000F7E02" w:rsidP="000F7E02">
      <w:r w:rsidRPr="000F7E02">
        <w:rPr>
          <w:rFonts w:ascii="Segoe UI Emoji" w:hAnsi="Segoe UI Emoji" w:cs="Segoe UI Emoji"/>
        </w:rPr>
        <w:t>👉</w:t>
      </w:r>
      <w:r w:rsidRPr="000F7E02">
        <w:t xml:space="preserve"> </w:t>
      </w:r>
      <w:r w:rsidRPr="000F7E02">
        <w:rPr>
          <w:b/>
          <w:bCs/>
        </w:rPr>
        <w:t>Ce n’est pas une perte d’information</w:t>
      </w:r>
      <w:r w:rsidRPr="000F7E02">
        <w:t xml:space="preserve">, c’est un </w:t>
      </w:r>
      <w:r w:rsidRPr="000F7E02">
        <w:rPr>
          <w:b/>
          <w:bCs/>
        </w:rPr>
        <w:t>nettoyage de redondance</w:t>
      </w:r>
      <w:r w:rsidRPr="000F7E02">
        <w:t>.</w:t>
      </w:r>
    </w:p>
    <w:p w14:paraId="24101E04" w14:textId="77777777" w:rsidR="000F7E02" w:rsidRPr="000F7E02" w:rsidRDefault="000F7E02" w:rsidP="000F7E02">
      <w:pPr>
        <w:numPr>
          <w:ilvl w:val="0"/>
          <w:numId w:val="17"/>
        </w:numPr>
        <w:tabs>
          <w:tab w:val="num" w:pos="360"/>
        </w:tabs>
        <w:rPr>
          <w:b/>
          <w:bCs/>
        </w:rPr>
      </w:pPr>
      <w:r w:rsidRPr="000F7E02">
        <w:rPr>
          <w:b/>
          <w:bCs/>
        </w:rPr>
        <w:t>Verdict clair</w:t>
      </w:r>
    </w:p>
    <w:p w14:paraId="195C4690" w14:textId="77777777" w:rsidR="000F7E02" w:rsidRPr="000F7E02" w:rsidRDefault="000F7E02" w:rsidP="000F7E02">
      <w:pPr>
        <w:numPr>
          <w:ilvl w:val="0"/>
          <w:numId w:val="59"/>
        </w:numPr>
      </w:pPr>
      <w:r w:rsidRPr="000F7E02">
        <w:rPr>
          <w:rFonts w:ascii="Segoe UI Emoji" w:hAnsi="Segoe UI Emoji" w:cs="Segoe UI Emoji"/>
        </w:rPr>
        <w:t>❌</w:t>
      </w:r>
      <w:r w:rsidRPr="000F7E02">
        <w:t xml:space="preserve"> ce n’est </w:t>
      </w:r>
      <w:r w:rsidRPr="000F7E02">
        <w:rPr>
          <w:b/>
          <w:bCs/>
        </w:rPr>
        <w:t>pas</w:t>
      </w:r>
      <w:r w:rsidRPr="000F7E02">
        <w:t xml:space="preserve"> un problème</w:t>
      </w:r>
    </w:p>
    <w:p w14:paraId="040BC441" w14:textId="77777777" w:rsidR="000F7E02" w:rsidRPr="000F7E02" w:rsidRDefault="000F7E02" w:rsidP="000F7E02">
      <w:pPr>
        <w:numPr>
          <w:ilvl w:val="0"/>
          <w:numId w:val="59"/>
        </w:numPr>
      </w:pPr>
      <w:r w:rsidRPr="000F7E02">
        <w:rPr>
          <w:rFonts w:ascii="Segoe UI Emoji" w:hAnsi="Segoe UI Emoji" w:cs="Segoe UI Emoji"/>
        </w:rPr>
        <w:t>✅</w:t>
      </w:r>
      <w:r w:rsidRPr="000F7E02">
        <w:t xml:space="preserve"> c’est même </w:t>
      </w:r>
      <w:r w:rsidRPr="000F7E02">
        <w:rPr>
          <w:b/>
          <w:bCs/>
        </w:rPr>
        <w:t>un signe que la contrainte fait son travail</w:t>
      </w:r>
    </w:p>
    <w:p w14:paraId="52749F18" w14:textId="77777777" w:rsidR="000F7E02" w:rsidRPr="000F7E02" w:rsidRDefault="000F7E02" w:rsidP="000F7E02">
      <w:pPr>
        <w:numPr>
          <w:ilvl w:val="0"/>
          <w:numId w:val="59"/>
        </w:numPr>
      </w:pPr>
      <w:r w:rsidRPr="000F7E02">
        <w:rPr>
          <w:rFonts w:ascii="Segoe UI Emoji" w:hAnsi="Segoe UI Emoji" w:cs="Segoe UI Emoji"/>
        </w:rPr>
        <w:t>✅</w:t>
      </w:r>
      <w:r w:rsidRPr="000F7E02">
        <w:t xml:space="preserve"> tu gagnes en </w:t>
      </w:r>
      <w:r w:rsidRPr="000F7E02">
        <w:rPr>
          <w:b/>
          <w:bCs/>
        </w:rPr>
        <w:t>stabilité intra-donneur</w:t>
      </w:r>
    </w:p>
    <w:p w14:paraId="5F083F5F" w14:textId="77777777" w:rsidR="000F7E02" w:rsidRPr="000F7E02" w:rsidRDefault="000F7E02" w:rsidP="000F7E02">
      <w:pPr>
        <w:numPr>
          <w:ilvl w:val="0"/>
          <w:numId w:val="59"/>
        </w:numPr>
      </w:pPr>
      <w:r w:rsidRPr="000F7E02">
        <w:rPr>
          <w:rFonts w:ascii="Segoe UI Emoji" w:hAnsi="Segoe UI Emoji" w:cs="Segoe UI Emoji"/>
        </w:rPr>
        <w:t>✅</w:t>
      </w:r>
      <w:r w:rsidRPr="000F7E02">
        <w:t xml:space="preserve"> tu perds très peu de cellules, sans perdre de diversité</w:t>
      </w:r>
    </w:p>
    <w:p w14:paraId="5A740FAE" w14:textId="77777777" w:rsidR="000F7E02" w:rsidRPr="000F7E02" w:rsidRDefault="000F7E02" w:rsidP="000F7E02">
      <w:pPr>
        <w:numPr>
          <w:ilvl w:val="0"/>
          <w:numId w:val="17"/>
        </w:numPr>
        <w:tabs>
          <w:tab w:val="num" w:pos="360"/>
        </w:tabs>
        <w:rPr>
          <w:b/>
          <w:bCs/>
        </w:rPr>
      </w:pPr>
      <w:r w:rsidRPr="000F7E02">
        <w:rPr>
          <w:b/>
          <w:bCs/>
        </w:rPr>
        <w:t>Décision recommandée</w:t>
      </w:r>
    </w:p>
    <w:p w14:paraId="318A5CD4" w14:textId="77777777" w:rsidR="000F7E02" w:rsidRPr="000F7E02" w:rsidRDefault="000F7E02" w:rsidP="000F7E02">
      <w:r w:rsidRPr="000F7E02">
        <w:rPr>
          <w:rFonts w:ascii="Segoe UI Emoji" w:hAnsi="Segoe UI Emoji" w:cs="Segoe UI Emoji"/>
        </w:rPr>
        <w:t>👉</w:t>
      </w:r>
      <w:r w:rsidRPr="000F7E02">
        <w:t xml:space="preserve"> </w:t>
      </w:r>
      <w:r w:rsidRPr="000F7E02">
        <w:rPr>
          <w:b/>
          <w:bCs/>
        </w:rPr>
        <w:t>Garde cette version (option 2)</w:t>
      </w:r>
      <w:r w:rsidRPr="000F7E02">
        <w:br/>
        <w:t>C’est :</w:t>
      </w:r>
    </w:p>
    <w:p w14:paraId="241809F5" w14:textId="77777777" w:rsidR="000F7E02" w:rsidRPr="000F7E02" w:rsidRDefault="000F7E02" w:rsidP="000F7E02">
      <w:pPr>
        <w:numPr>
          <w:ilvl w:val="0"/>
          <w:numId w:val="60"/>
        </w:numPr>
      </w:pPr>
      <w:r w:rsidRPr="000F7E02">
        <w:t>plus robuste que c1 seul</w:t>
      </w:r>
    </w:p>
    <w:p w14:paraId="4942C6C8" w14:textId="77777777" w:rsidR="000F7E02" w:rsidRPr="000F7E02" w:rsidRDefault="000F7E02" w:rsidP="000F7E02">
      <w:pPr>
        <w:numPr>
          <w:ilvl w:val="0"/>
          <w:numId w:val="60"/>
        </w:numPr>
      </w:pPr>
      <w:r w:rsidRPr="000F7E02">
        <w:t>plus fidèle que c1 + c2 fixe</w:t>
      </w:r>
    </w:p>
    <w:p w14:paraId="21D0CB23" w14:textId="77777777" w:rsidR="000F7E02" w:rsidRPr="000F7E02" w:rsidRDefault="000F7E02" w:rsidP="000F7E02">
      <w:pPr>
        <w:numPr>
          <w:ilvl w:val="0"/>
          <w:numId w:val="60"/>
        </w:numPr>
      </w:pPr>
      <w:r w:rsidRPr="000F7E02">
        <w:t>toujours parfaitement gérable en mémoire</w:t>
      </w:r>
    </w:p>
    <w:p w14:paraId="620DC771" w14:textId="77777777" w:rsidR="000F7E02" w:rsidRPr="000F7E02" w:rsidRDefault="000F7E02" w:rsidP="000F7E02">
      <w:r w:rsidRPr="000F7E02">
        <w:t xml:space="preserve">Tu peux </w:t>
      </w:r>
      <w:r w:rsidRPr="000F7E02">
        <w:rPr>
          <w:b/>
          <w:bCs/>
        </w:rPr>
        <w:t>figer ce dataset</w:t>
      </w:r>
      <w:r w:rsidRPr="000F7E02">
        <w:t xml:space="preserve"> et avancer sereinement vers le QC.</w:t>
      </w:r>
    </w:p>
    <w:p w14:paraId="45A93010" w14:textId="77777777" w:rsidR="000F7E02" w:rsidRPr="000F7E02" w:rsidRDefault="000F7E02" w:rsidP="000F7E02">
      <w:pPr>
        <w:rPr>
          <w:vanish/>
        </w:rPr>
      </w:pPr>
      <w:r w:rsidRPr="000F7E02">
        <w:rPr>
          <w:vanish/>
        </w:rPr>
        <w:t>Haut du formulaire</w:t>
      </w:r>
    </w:p>
    <w:p w14:paraId="06A5B2E1" w14:textId="77777777" w:rsidR="000F7E02" w:rsidRPr="000F7E02" w:rsidRDefault="000F7E02" w:rsidP="000F7E02">
      <w:pPr>
        <w:rPr>
          <w:vanish/>
        </w:rPr>
      </w:pPr>
      <w:r w:rsidRPr="000F7E02">
        <w:rPr>
          <w:vanish/>
        </w:rPr>
        <w:t>Bas du formulaire</w:t>
      </w:r>
    </w:p>
    <w:p w14:paraId="21B9B4D2" w14:textId="77777777" w:rsidR="000F7E02" w:rsidRDefault="000F7E02" w:rsidP="00913ACD"/>
    <w:p w14:paraId="31AC07B7" w14:textId="77777777" w:rsidR="000F7E02" w:rsidRPr="000F7E02" w:rsidRDefault="000F7E02" w:rsidP="000F7E02">
      <w:pPr>
        <w:numPr>
          <w:ilvl w:val="0"/>
          <w:numId w:val="17"/>
        </w:numPr>
        <w:tabs>
          <w:tab w:val="num" w:pos="360"/>
        </w:tabs>
        <w:rPr>
          <w:b/>
          <w:bCs/>
        </w:rPr>
      </w:pPr>
      <w:r w:rsidRPr="000F7E02">
        <w:rPr>
          <w:b/>
          <w:bCs/>
        </w:rPr>
        <w:t>Sous-échantillonnage du dataset HBCC : stratégie et justification méthodologique</w:t>
      </w:r>
    </w:p>
    <w:p w14:paraId="2FB0C70E" w14:textId="77777777" w:rsidR="000F7E02" w:rsidRPr="000F7E02" w:rsidRDefault="000F7E02" w:rsidP="000F7E02">
      <w:r w:rsidRPr="000F7E02">
        <w:t xml:space="preserve">Le dataset HBCC initial comprend </w:t>
      </w:r>
      <w:r w:rsidRPr="000F7E02">
        <w:rPr>
          <w:b/>
          <w:bCs/>
        </w:rPr>
        <w:t>1 486 324 cellules</w:t>
      </w:r>
      <w:r w:rsidRPr="000F7E02">
        <w:t xml:space="preserve">, </w:t>
      </w:r>
      <w:r w:rsidRPr="000F7E02">
        <w:rPr>
          <w:b/>
          <w:bCs/>
        </w:rPr>
        <w:t>300 donneurs uniques</w:t>
      </w:r>
      <w:r w:rsidRPr="000F7E02">
        <w:t xml:space="preserve">, </w:t>
      </w:r>
      <w:r w:rsidRPr="000F7E02">
        <w:rPr>
          <w:b/>
          <w:bCs/>
        </w:rPr>
        <w:t>25 types cellulaires</w:t>
      </w:r>
      <w:r w:rsidRPr="000F7E02">
        <w:t xml:space="preserve"> et </w:t>
      </w:r>
      <w:r w:rsidRPr="000F7E02">
        <w:rPr>
          <w:b/>
          <w:bCs/>
        </w:rPr>
        <w:t>34 176 gènes</w:t>
      </w:r>
      <w:r w:rsidRPr="000F7E02">
        <w:t xml:space="preserve">, pour une taille disque d’environ </w:t>
      </w:r>
      <w:r w:rsidRPr="000F7E02">
        <w:rPr>
          <w:b/>
          <w:bCs/>
        </w:rPr>
        <w:t>13,2 GB</w:t>
      </w:r>
      <w:r w:rsidRPr="000F7E02">
        <w:t xml:space="preserve">. Cette volumétrie rend le chargement en mémoire difficile dans un environnement d’analyse standard, imposant une étape de réduction technique du nombre de cellules </w:t>
      </w:r>
      <w:r w:rsidRPr="000F7E02">
        <w:rPr>
          <w:b/>
          <w:bCs/>
        </w:rPr>
        <w:t>sans altérer la structure biologique globale du jeu de données</w:t>
      </w:r>
      <w:r w:rsidRPr="000F7E02">
        <w:t>.</w:t>
      </w:r>
    </w:p>
    <w:p w14:paraId="2BD13A2E" w14:textId="77777777" w:rsidR="000F7E02" w:rsidRPr="000F7E02" w:rsidRDefault="000F7E02" w:rsidP="000F7E02">
      <w:r w:rsidRPr="000F7E02">
        <w:t xml:space="preserve">L’objectif de cette étape est donc </w:t>
      </w:r>
      <w:r w:rsidRPr="000F7E02">
        <w:rPr>
          <w:b/>
          <w:bCs/>
        </w:rPr>
        <w:t>strictement technique</w:t>
      </w:r>
      <w:r w:rsidRPr="000F7E02">
        <w:t xml:space="preserve"> : réduire la charge mémoire tout en conservant (i) l’ensemble des donneurs, (ii) la diversité cellulaire et (iii) l’espace des gènes, afin de permettre les étapes ultérieures de QC, d’EDA et d’analyses différentielles dans de bonnes conditions.</w:t>
      </w:r>
    </w:p>
    <w:p w14:paraId="14B1C53D" w14:textId="77777777" w:rsidR="000F7E02" w:rsidRPr="000F7E02" w:rsidRDefault="000F7E02" w:rsidP="000F7E02">
      <w:pPr>
        <w:numPr>
          <w:ilvl w:val="0"/>
          <w:numId w:val="17"/>
        </w:numPr>
        <w:tabs>
          <w:tab w:val="num" w:pos="360"/>
        </w:tabs>
        <w:rPr>
          <w:b/>
          <w:bCs/>
        </w:rPr>
      </w:pPr>
      <w:r w:rsidRPr="000F7E02">
        <w:rPr>
          <w:b/>
          <w:bCs/>
        </w:rPr>
        <w:t>Option 1 — c1 : cap du nombre de cellules par donneur</w:t>
      </w:r>
    </w:p>
    <w:p w14:paraId="02E8766D" w14:textId="77777777" w:rsidR="000F7E02" w:rsidRPr="000F7E02" w:rsidRDefault="000F7E02" w:rsidP="000F7E02">
      <w:r w:rsidRPr="000F7E02">
        <w:t>Une première stratégie consiste à appliquer une contrainte simple :</w:t>
      </w:r>
    </w:p>
    <w:p w14:paraId="2B13EF18" w14:textId="77777777" w:rsidR="000F7E02" w:rsidRPr="000F7E02" w:rsidRDefault="000F7E02" w:rsidP="000F7E02">
      <w:pPr>
        <w:numPr>
          <w:ilvl w:val="0"/>
          <w:numId w:val="61"/>
        </w:numPr>
      </w:pPr>
      <w:r w:rsidRPr="000F7E02">
        <w:rPr>
          <w:b/>
          <w:bCs/>
        </w:rPr>
        <w:lastRenderedPageBreak/>
        <w:t>c1 : nombre maximal de cellules par donneur unique (1500)</w:t>
      </w:r>
    </w:p>
    <w:p w14:paraId="36C827BD" w14:textId="77777777" w:rsidR="000F7E02" w:rsidRPr="000F7E02" w:rsidRDefault="000F7E02" w:rsidP="000F7E02">
      <w:r w:rsidRPr="000F7E02">
        <w:t xml:space="preserve">Cette approche permet de limiter la contribution disproportionnée des donneurs très profonds, tout en conservant </w:t>
      </w:r>
      <w:r w:rsidRPr="000F7E02">
        <w:rPr>
          <w:b/>
          <w:bCs/>
        </w:rPr>
        <w:t>100 % des donneurs</w:t>
      </w:r>
      <w:r w:rsidRPr="000F7E02">
        <w:t>.</w:t>
      </w:r>
    </w:p>
    <w:p w14:paraId="37A95B19" w14:textId="77777777" w:rsidR="000F7E02" w:rsidRPr="000F7E02" w:rsidRDefault="000F7E02" w:rsidP="000F7E02">
      <w:r w:rsidRPr="000F7E02">
        <w:rPr>
          <w:b/>
          <w:bCs/>
        </w:rPr>
        <w:t>Résultats obtenus (c1 seul)</w:t>
      </w:r>
    </w:p>
    <w:p w14:paraId="771894F6" w14:textId="77777777" w:rsidR="000F7E02" w:rsidRPr="000F7E02" w:rsidRDefault="000F7E02" w:rsidP="000F7E02">
      <w:pPr>
        <w:numPr>
          <w:ilvl w:val="0"/>
          <w:numId w:val="62"/>
        </w:numPr>
      </w:pPr>
      <w:r w:rsidRPr="000F7E02">
        <w:t xml:space="preserve">Cellules : </w:t>
      </w:r>
      <w:r w:rsidRPr="000F7E02">
        <w:rPr>
          <w:b/>
          <w:bCs/>
        </w:rPr>
        <w:t>432 164</w:t>
      </w:r>
    </w:p>
    <w:p w14:paraId="05179B21" w14:textId="77777777" w:rsidR="000F7E02" w:rsidRPr="000F7E02" w:rsidRDefault="000F7E02" w:rsidP="000F7E02">
      <w:pPr>
        <w:numPr>
          <w:ilvl w:val="0"/>
          <w:numId w:val="62"/>
        </w:numPr>
      </w:pPr>
      <w:r w:rsidRPr="000F7E02">
        <w:t xml:space="preserve">Donneurs : </w:t>
      </w:r>
      <w:r w:rsidRPr="000F7E02">
        <w:rPr>
          <w:b/>
          <w:bCs/>
        </w:rPr>
        <w:t>300 / 300</w:t>
      </w:r>
    </w:p>
    <w:p w14:paraId="75A6FAE8" w14:textId="77777777" w:rsidR="000F7E02" w:rsidRPr="000F7E02" w:rsidRDefault="000F7E02" w:rsidP="000F7E02">
      <w:pPr>
        <w:numPr>
          <w:ilvl w:val="0"/>
          <w:numId w:val="62"/>
        </w:numPr>
      </w:pPr>
      <w:r w:rsidRPr="000F7E02">
        <w:t xml:space="preserve">Types cellulaires : </w:t>
      </w:r>
      <w:r w:rsidRPr="000F7E02">
        <w:rPr>
          <w:b/>
          <w:bCs/>
        </w:rPr>
        <w:t>25 / 25</w:t>
      </w:r>
    </w:p>
    <w:p w14:paraId="21F47FC8" w14:textId="77777777" w:rsidR="000F7E02" w:rsidRPr="000F7E02" w:rsidRDefault="000F7E02" w:rsidP="000F7E02">
      <w:pPr>
        <w:numPr>
          <w:ilvl w:val="0"/>
          <w:numId w:val="62"/>
        </w:numPr>
      </w:pPr>
      <w:r w:rsidRPr="000F7E02">
        <w:t xml:space="preserve">Gènes : </w:t>
      </w:r>
      <w:r w:rsidRPr="000F7E02">
        <w:rPr>
          <w:b/>
          <w:bCs/>
        </w:rPr>
        <w:t>34 176 / 34 176</w:t>
      </w:r>
    </w:p>
    <w:p w14:paraId="3BD6EBE8" w14:textId="77777777" w:rsidR="000F7E02" w:rsidRPr="000F7E02" w:rsidRDefault="000F7E02" w:rsidP="000F7E02">
      <w:pPr>
        <w:numPr>
          <w:ilvl w:val="0"/>
          <w:numId w:val="62"/>
        </w:numPr>
      </w:pPr>
      <w:r w:rsidRPr="000F7E02">
        <w:t xml:space="preserve">Taille du fichier : </w:t>
      </w:r>
      <w:r w:rsidRPr="000F7E02">
        <w:rPr>
          <w:b/>
          <w:bCs/>
        </w:rPr>
        <w:t>3,88 GB</w:t>
      </w:r>
    </w:p>
    <w:p w14:paraId="3F24EB5D" w14:textId="77777777" w:rsidR="000F7E02" w:rsidRPr="000F7E02" w:rsidRDefault="000F7E02" w:rsidP="000F7E02">
      <w:r w:rsidRPr="000F7E02">
        <w:t xml:space="preserve">Cette stratégie est efficace et non </w:t>
      </w:r>
      <w:proofErr w:type="spellStart"/>
      <w:r w:rsidRPr="000F7E02">
        <w:t>biaisante</w:t>
      </w:r>
      <w:proofErr w:type="spellEnd"/>
      <w:r w:rsidRPr="000F7E02">
        <w:t xml:space="preserve"> au niveau global. Toutefois, le sous-échantillonnage est </w:t>
      </w:r>
      <w:r w:rsidRPr="000F7E02">
        <w:rPr>
          <w:b/>
          <w:bCs/>
        </w:rPr>
        <w:t>aléatoire à l’intérieur de chaque donneur</w:t>
      </w:r>
      <w:r w:rsidRPr="000F7E02">
        <w:t>, ce qui peut conduire, chez certains donneurs très déséquilibrés, à la perte stochastique de types cellulaires rares.</w:t>
      </w:r>
    </w:p>
    <w:p w14:paraId="06661E96" w14:textId="77777777" w:rsidR="000F7E02" w:rsidRPr="000F7E02" w:rsidRDefault="000F7E02" w:rsidP="000F7E02">
      <w:pPr>
        <w:numPr>
          <w:ilvl w:val="0"/>
          <w:numId w:val="17"/>
        </w:numPr>
        <w:tabs>
          <w:tab w:val="num" w:pos="360"/>
        </w:tabs>
        <w:rPr>
          <w:b/>
          <w:bCs/>
        </w:rPr>
      </w:pPr>
      <w:r w:rsidRPr="000F7E02">
        <w:rPr>
          <w:b/>
          <w:bCs/>
        </w:rPr>
        <w:t>Option 2 — c1 avec proportionnalité intra-donneur par type cellulaire</w:t>
      </w:r>
    </w:p>
    <w:p w14:paraId="16B02521" w14:textId="77777777" w:rsidR="000F7E02" w:rsidRPr="000F7E02" w:rsidRDefault="000F7E02" w:rsidP="000F7E02">
      <w:r w:rsidRPr="000F7E02">
        <w:t>Afin de réduire cet aléa tout en conservant la fidélité au dataset original, une seconde stratégie a été évaluée. Elle combine :</w:t>
      </w:r>
    </w:p>
    <w:p w14:paraId="7E8D2525" w14:textId="77777777" w:rsidR="000F7E02" w:rsidRPr="000F7E02" w:rsidRDefault="000F7E02" w:rsidP="000F7E02">
      <w:pPr>
        <w:numPr>
          <w:ilvl w:val="0"/>
          <w:numId w:val="63"/>
        </w:numPr>
      </w:pPr>
      <w:r w:rsidRPr="000F7E02">
        <w:rPr>
          <w:b/>
          <w:bCs/>
        </w:rPr>
        <w:t>c1 : 1500 cellules maximum par donneur</w:t>
      </w:r>
      <w:r w:rsidRPr="000F7E02">
        <w:t>, et</w:t>
      </w:r>
    </w:p>
    <w:p w14:paraId="07D70B8F" w14:textId="77777777" w:rsidR="000F7E02" w:rsidRPr="000F7E02" w:rsidRDefault="000F7E02" w:rsidP="000F7E02">
      <w:pPr>
        <w:numPr>
          <w:ilvl w:val="0"/>
          <w:numId w:val="63"/>
        </w:numPr>
      </w:pPr>
      <w:r w:rsidRPr="000F7E02">
        <w:t xml:space="preserve">un </w:t>
      </w:r>
      <w:r w:rsidRPr="000F7E02">
        <w:rPr>
          <w:b/>
          <w:bCs/>
        </w:rPr>
        <w:t>sous-échantillonnage proportionnel par type cellulaire à l’intérieur de chaque donneur</w:t>
      </w:r>
      <w:r w:rsidRPr="000F7E02">
        <w:t>,</w:t>
      </w:r>
    </w:p>
    <w:p w14:paraId="5FE31E07" w14:textId="77777777" w:rsidR="000F7E02" w:rsidRPr="000F7E02" w:rsidRDefault="000F7E02" w:rsidP="000F7E02">
      <w:pPr>
        <w:numPr>
          <w:ilvl w:val="0"/>
          <w:numId w:val="63"/>
        </w:numPr>
      </w:pPr>
      <w:r w:rsidRPr="000F7E02">
        <w:t xml:space="preserve">avec un </w:t>
      </w:r>
      <w:r w:rsidRPr="000F7E02">
        <w:rPr>
          <w:b/>
          <w:bCs/>
        </w:rPr>
        <w:t>plancher minimal de 10 cellules par type cellulaire et par donneur</w:t>
      </w:r>
      <w:r w:rsidRPr="000F7E02">
        <w:t>, lorsque le type est présent.</w:t>
      </w:r>
    </w:p>
    <w:p w14:paraId="2703CB69" w14:textId="77777777" w:rsidR="000F7E02" w:rsidRPr="000F7E02" w:rsidRDefault="000F7E02" w:rsidP="000F7E02">
      <w:r w:rsidRPr="000F7E02">
        <w:t xml:space="preserve">Cette approche vise à préserver la </w:t>
      </w:r>
      <w:r w:rsidRPr="000F7E02">
        <w:rPr>
          <w:b/>
          <w:bCs/>
        </w:rPr>
        <w:t>diversité intra-donneur</w:t>
      </w:r>
      <w:r w:rsidRPr="000F7E02">
        <w:t xml:space="preserve"> et à éviter qu’un type cellulaire rare disparaisse entièrement lors du sous-échantillonnage, tout en respectant au mieux les proportions originales propres à chaque donneur.</w:t>
      </w:r>
    </w:p>
    <w:p w14:paraId="579F3EF4" w14:textId="77777777" w:rsidR="000F7E02" w:rsidRPr="000F7E02" w:rsidRDefault="000F7E02" w:rsidP="000F7E02">
      <w:r w:rsidRPr="000F7E02">
        <w:rPr>
          <w:b/>
          <w:bCs/>
        </w:rPr>
        <w:t>Résultats obtenus (c1 + proportionnalité intra-donneur)</w:t>
      </w:r>
    </w:p>
    <w:p w14:paraId="133EFF3E" w14:textId="77777777" w:rsidR="000F7E02" w:rsidRPr="000F7E02" w:rsidRDefault="000F7E02" w:rsidP="000F7E02">
      <w:pPr>
        <w:numPr>
          <w:ilvl w:val="0"/>
          <w:numId w:val="64"/>
        </w:numPr>
      </w:pPr>
      <w:r w:rsidRPr="000F7E02">
        <w:t xml:space="preserve">Cellules : </w:t>
      </w:r>
      <w:r w:rsidRPr="000F7E02">
        <w:rPr>
          <w:b/>
          <w:bCs/>
        </w:rPr>
        <w:t>414 792</w:t>
      </w:r>
    </w:p>
    <w:p w14:paraId="72D2B6E0" w14:textId="77777777" w:rsidR="000F7E02" w:rsidRPr="000F7E02" w:rsidRDefault="000F7E02" w:rsidP="000F7E02">
      <w:pPr>
        <w:numPr>
          <w:ilvl w:val="0"/>
          <w:numId w:val="64"/>
        </w:numPr>
      </w:pPr>
      <w:r w:rsidRPr="000F7E02">
        <w:t xml:space="preserve">Donneurs : </w:t>
      </w:r>
      <w:r w:rsidRPr="000F7E02">
        <w:rPr>
          <w:b/>
          <w:bCs/>
        </w:rPr>
        <w:t>300 / 300</w:t>
      </w:r>
    </w:p>
    <w:p w14:paraId="18BEA8E9" w14:textId="77777777" w:rsidR="000F7E02" w:rsidRPr="000F7E02" w:rsidRDefault="000F7E02" w:rsidP="000F7E02">
      <w:pPr>
        <w:numPr>
          <w:ilvl w:val="0"/>
          <w:numId w:val="64"/>
        </w:numPr>
      </w:pPr>
      <w:r w:rsidRPr="000F7E02">
        <w:t xml:space="preserve">Types cellulaires : </w:t>
      </w:r>
      <w:r w:rsidRPr="000F7E02">
        <w:rPr>
          <w:b/>
          <w:bCs/>
        </w:rPr>
        <w:t>25 / 25</w:t>
      </w:r>
    </w:p>
    <w:p w14:paraId="6562BE18" w14:textId="77777777" w:rsidR="000F7E02" w:rsidRPr="000F7E02" w:rsidRDefault="000F7E02" w:rsidP="000F7E02">
      <w:pPr>
        <w:numPr>
          <w:ilvl w:val="0"/>
          <w:numId w:val="64"/>
        </w:numPr>
      </w:pPr>
      <w:r w:rsidRPr="000F7E02">
        <w:t xml:space="preserve">Gènes : </w:t>
      </w:r>
      <w:r w:rsidRPr="000F7E02">
        <w:rPr>
          <w:b/>
          <w:bCs/>
        </w:rPr>
        <w:t>34 176 / 34 176</w:t>
      </w:r>
    </w:p>
    <w:p w14:paraId="18239B8D" w14:textId="77777777" w:rsidR="000F7E02" w:rsidRPr="000F7E02" w:rsidRDefault="000F7E02" w:rsidP="000F7E02">
      <w:r w:rsidRPr="000F7E02">
        <w:t>La légère diminution supplémentaire du nombre de cellules (≈ 4 % par rapport à c1 seul) reflète l’application des contraintes proportionnelles et du plancher, sans perte de diversité biologique.</w:t>
      </w:r>
    </w:p>
    <w:p w14:paraId="29133B3A" w14:textId="77777777" w:rsidR="000F7E02" w:rsidRPr="000F7E02" w:rsidRDefault="000F7E02" w:rsidP="000F7E02">
      <w:pPr>
        <w:numPr>
          <w:ilvl w:val="0"/>
          <w:numId w:val="17"/>
        </w:numPr>
        <w:tabs>
          <w:tab w:val="num" w:pos="360"/>
        </w:tabs>
        <w:rPr>
          <w:b/>
          <w:bCs/>
        </w:rPr>
      </w:pPr>
      <w:r w:rsidRPr="000F7E02">
        <w:rPr>
          <w:b/>
          <w:bCs/>
        </w:rPr>
        <w:t>Choix final et justification</w:t>
      </w:r>
    </w:p>
    <w:p w14:paraId="61D3F317" w14:textId="77777777" w:rsidR="000F7E02" w:rsidRPr="000F7E02" w:rsidRDefault="000F7E02" w:rsidP="000F7E02">
      <w:r w:rsidRPr="000F7E02">
        <w:t xml:space="preserve">La stratégie </w:t>
      </w:r>
      <w:r w:rsidRPr="000F7E02">
        <w:rPr>
          <w:b/>
          <w:bCs/>
        </w:rPr>
        <w:t>c1 avec sous-échantillonnage proportionnel intra-donneur</w:t>
      </w:r>
      <w:r w:rsidRPr="000F7E02">
        <w:t xml:space="preserve"> a été retenue comme compromis optimal :</w:t>
      </w:r>
    </w:p>
    <w:p w14:paraId="1B219D16" w14:textId="77777777" w:rsidR="000F7E02" w:rsidRPr="000F7E02" w:rsidRDefault="000F7E02" w:rsidP="000F7E02">
      <w:pPr>
        <w:numPr>
          <w:ilvl w:val="0"/>
          <w:numId w:val="65"/>
        </w:numPr>
      </w:pPr>
      <w:r w:rsidRPr="000F7E02">
        <w:t xml:space="preserve">elle </w:t>
      </w:r>
      <w:r w:rsidRPr="000F7E02">
        <w:rPr>
          <w:b/>
          <w:bCs/>
        </w:rPr>
        <w:t>résout la contrainte mémoire</w:t>
      </w:r>
      <w:r w:rsidRPr="000F7E02">
        <w:t>,</w:t>
      </w:r>
    </w:p>
    <w:p w14:paraId="739425C3" w14:textId="77777777" w:rsidR="000F7E02" w:rsidRPr="000F7E02" w:rsidRDefault="000F7E02" w:rsidP="000F7E02">
      <w:pPr>
        <w:numPr>
          <w:ilvl w:val="0"/>
          <w:numId w:val="65"/>
        </w:numPr>
      </w:pPr>
      <w:r w:rsidRPr="000F7E02">
        <w:t xml:space="preserve">elle </w:t>
      </w:r>
      <w:r w:rsidRPr="000F7E02">
        <w:rPr>
          <w:b/>
          <w:bCs/>
        </w:rPr>
        <w:t>conserve l’intégralité des donneurs, des types cellulaires et des gènes</w:t>
      </w:r>
      <w:r w:rsidRPr="000F7E02">
        <w:t>,</w:t>
      </w:r>
    </w:p>
    <w:p w14:paraId="1579A2B4" w14:textId="77777777" w:rsidR="000F7E02" w:rsidRPr="000F7E02" w:rsidRDefault="000F7E02" w:rsidP="000F7E02">
      <w:pPr>
        <w:numPr>
          <w:ilvl w:val="0"/>
          <w:numId w:val="65"/>
        </w:numPr>
      </w:pPr>
      <w:r w:rsidRPr="000F7E02">
        <w:t xml:space="preserve">elle </w:t>
      </w:r>
      <w:r w:rsidRPr="000F7E02">
        <w:rPr>
          <w:b/>
          <w:bCs/>
        </w:rPr>
        <w:t>réduit l’aléa</w:t>
      </w:r>
      <w:r w:rsidRPr="000F7E02">
        <w:t xml:space="preserve"> inhérent à un sous-échantillonnage purement aléatoire,</w:t>
      </w:r>
    </w:p>
    <w:p w14:paraId="7663866A" w14:textId="77777777" w:rsidR="000F7E02" w:rsidRPr="000F7E02" w:rsidRDefault="000F7E02" w:rsidP="000F7E02">
      <w:pPr>
        <w:numPr>
          <w:ilvl w:val="0"/>
          <w:numId w:val="65"/>
        </w:numPr>
      </w:pPr>
      <w:r w:rsidRPr="000F7E02">
        <w:t xml:space="preserve">elle n’impose </w:t>
      </w:r>
      <w:r w:rsidRPr="000F7E02">
        <w:rPr>
          <w:b/>
          <w:bCs/>
        </w:rPr>
        <w:t>aucun équilibrage artificiel global</w:t>
      </w:r>
      <w:r w:rsidRPr="000F7E02">
        <w:t xml:space="preserve"> entre donneurs ou types cellulaires.</w:t>
      </w:r>
    </w:p>
    <w:p w14:paraId="63288518" w14:textId="77777777" w:rsidR="000F7E02" w:rsidRPr="000F7E02" w:rsidRDefault="000F7E02" w:rsidP="000F7E02">
      <w:r w:rsidRPr="000F7E02">
        <w:t xml:space="preserve">Cette étape constitue donc un </w:t>
      </w:r>
      <w:r w:rsidRPr="000F7E02">
        <w:rPr>
          <w:b/>
          <w:bCs/>
        </w:rPr>
        <w:t>prétraitement technique non biaisant</w:t>
      </w:r>
      <w:r w:rsidRPr="000F7E02">
        <w:t>, permettant de travailler sur un dataset représentatif du HBCC original tout en assurant la faisabilité computationnelle des étapes suivantes du pipeline analytique.</w:t>
      </w:r>
    </w:p>
    <w:p w14:paraId="2A72F1A0" w14:textId="77777777" w:rsidR="000F7E02" w:rsidRDefault="000F7E02" w:rsidP="00913ACD"/>
    <w:p w14:paraId="6C3F0A5A" w14:textId="77777777" w:rsidR="000F7E02" w:rsidRDefault="000F7E02" w:rsidP="00913ACD"/>
    <w:p w14:paraId="5C9657A6" w14:textId="77777777" w:rsidR="000F7E02" w:rsidRDefault="000F7E02" w:rsidP="00913ACD"/>
    <w:p w14:paraId="2E9930B9" w14:textId="77777777" w:rsidR="000F7E02" w:rsidRPr="002E4918" w:rsidRDefault="000F7E02" w:rsidP="00913ACD"/>
    <w:p w14:paraId="0B32013E" w14:textId="77777777" w:rsidR="003F5132" w:rsidRPr="002E4918" w:rsidRDefault="003F5132" w:rsidP="00913ACD"/>
    <w:p w14:paraId="770A9046" w14:textId="68DAF225" w:rsidR="0030262D" w:rsidRPr="0030262D" w:rsidRDefault="0030262D" w:rsidP="0030262D">
      <w:pPr>
        <w:jc w:val="center"/>
      </w:pPr>
      <w:r>
        <w:rPr>
          <w:noProof/>
        </w:rPr>
        <w:drawing>
          <wp:inline distT="0" distB="0" distL="0" distR="0" wp14:anchorId="32885BDF" wp14:editId="224A3362">
            <wp:extent cx="5998210" cy="2996565"/>
            <wp:effectExtent l="0" t="0" r="2540" b="0"/>
            <wp:docPr id="632931093"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31093" name="Image 1" descr="Une image contenant texte, capture d’écran, Police, nombre&#10;&#10;Le contenu généré par l’IA peut être incorrect."/>
                    <pic:cNvPicPr/>
                  </pic:nvPicPr>
                  <pic:blipFill>
                    <a:blip r:embed="rId25"/>
                    <a:stretch>
                      <a:fillRect/>
                    </a:stretch>
                  </pic:blipFill>
                  <pic:spPr>
                    <a:xfrm>
                      <a:off x="0" y="0"/>
                      <a:ext cx="5998210" cy="2996565"/>
                    </a:xfrm>
                    <a:prstGeom prst="rect">
                      <a:avLst/>
                    </a:prstGeom>
                  </pic:spPr>
                </pic:pic>
              </a:graphicData>
            </a:graphic>
          </wp:inline>
        </w:drawing>
      </w:r>
    </w:p>
    <w:p w14:paraId="4EF3185E" w14:textId="22D0A8D6" w:rsidR="00121274" w:rsidRDefault="004F72F0" w:rsidP="00EF78CD">
      <w:pPr>
        <w:spacing w:after="0" w:line="240" w:lineRule="auto"/>
        <w:ind w:right="41"/>
        <w:jc w:val="center"/>
      </w:pPr>
      <w:r>
        <w:rPr>
          <w:noProof/>
        </w:rPr>
        <w:drawing>
          <wp:inline distT="0" distB="0" distL="0" distR="0" wp14:anchorId="39E9E57F" wp14:editId="11640A7A">
            <wp:extent cx="5998210" cy="1849120"/>
            <wp:effectExtent l="0" t="0" r="2540" b="0"/>
            <wp:docPr id="689032749" name="Image 1" descr="Une image contenant texte, Police, capture d’écran, reç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32749" name="Image 1" descr="Une image contenant texte, Police, capture d’écran, reçu&#10;&#10;Le contenu généré par l’IA peut être incorrect."/>
                    <pic:cNvPicPr/>
                  </pic:nvPicPr>
                  <pic:blipFill>
                    <a:blip r:embed="rId26"/>
                    <a:stretch>
                      <a:fillRect/>
                    </a:stretch>
                  </pic:blipFill>
                  <pic:spPr>
                    <a:xfrm>
                      <a:off x="0" y="0"/>
                      <a:ext cx="5998210" cy="1849120"/>
                    </a:xfrm>
                    <a:prstGeom prst="rect">
                      <a:avLst/>
                    </a:prstGeom>
                  </pic:spPr>
                </pic:pic>
              </a:graphicData>
            </a:graphic>
          </wp:inline>
        </w:drawing>
      </w:r>
    </w:p>
    <w:p w14:paraId="5D6E7061" w14:textId="77777777" w:rsidR="00647A77" w:rsidRDefault="00647A77" w:rsidP="00647A77">
      <w:pPr>
        <w:pStyle w:val="Titre2"/>
        <w:spacing w:after="0" w:line="240" w:lineRule="auto"/>
        <w:ind w:left="483" w:hanging="498"/>
      </w:pPr>
      <w:r>
        <w:t xml:space="preserve">Contrôle qualité (QC) et filtration cellulaire </w:t>
      </w:r>
    </w:p>
    <w:p w14:paraId="70DA3491" w14:textId="77777777" w:rsidR="00647A77" w:rsidRDefault="00647A77" w:rsidP="00647A77">
      <w:pPr>
        <w:spacing w:after="0" w:line="240" w:lineRule="auto"/>
        <w:ind w:left="0" w:right="0" w:firstLine="0"/>
        <w:jc w:val="left"/>
      </w:pPr>
      <w:r>
        <w:t xml:space="preserve">Les métriques de qualité cellulaire suivantes ont été calculées sur les comptages bruts (avant normalisation) : </w:t>
      </w:r>
    </w:p>
    <w:p w14:paraId="7E1F9E20" w14:textId="77777777" w:rsidR="00647A77" w:rsidRDefault="00647A77" w:rsidP="00647A77">
      <w:pPr>
        <w:pStyle w:val="Paragraphedeliste"/>
        <w:numPr>
          <w:ilvl w:val="0"/>
          <w:numId w:val="28"/>
        </w:numPr>
        <w:spacing w:after="0" w:line="240" w:lineRule="auto"/>
        <w:ind w:left="567" w:right="0" w:hanging="11"/>
        <w:jc w:val="left"/>
      </w:pPr>
      <w:proofErr w:type="spellStart"/>
      <w:r>
        <w:t>n_genes_by_counts</w:t>
      </w:r>
      <w:proofErr w:type="spellEnd"/>
      <w:r>
        <w:t xml:space="preserve"> : Nombre de gènes détectés par noyau (au moins 1 comptage UMI) • </w:t>
      </w:r>
      <w:proofErr w:type="spellStart"/>
      <w:r>
        <w:t>n_counts</w:t>
      </w:r>
      <w:proofErr w:type="spellEnd"/>
      <w:r>
        <w:t xml:space="preserve"> (</w:t>
      </w:r>
      <w:proofErr w:type="spellStart"/>
      <w:r>
        <w:t>total_counts</w:t>
      </w:r>
      <w:proofErr w:type="spellEnd"/>
      <w:r>
        <w:t xml:space="preserve">) : Nombre total de transcrits UMI capturés par noyau (profondeur de séquençage) </w:t>
      </w:r>
    </w:p>
    <w:p w14:paraId="1E0230C8" w14:textId="77777777" w:rsidR="00647A77" w:rsidRDefault="00647A77" w:rsidP="00647A77">
      <w:pPr>
        <w:pStyle w:val="Paragraphedeliste"/>
        <w:numPr>
          <w:ilvl w:val="0"/>
          <w:numId w:val="28"/>
        </w:numPr>
        <w:spacing w:after="0" w:line="240" w:lineRule="auto"/>
        <w:ind w:left="567" w:right="0" w:hanging="11"/>
        <w:jc w:val="left"/>
      </w:pPr>
      <w:proofErr w:type="spellStart"/>
      <w:r>
        <w:t>pct_counts_mt</w:t>
      </w:r>
      <w:proofErr w:type="spellEnd"/>
      <w:r>
        <w:t xml:space="preserve"> : Pourcentage de comptages mitochondriaux (indicateur de stress cellulaire ou mort) </w:t>
      </w:r>
    </w:p>
    <w:p w14:paraId="55162592" w14:textId="77777777" w:rsidR="00647A77" w:rsidRDefault="00647A77" w:rsidP="00647A77">
      <w:pPr>
        <w:spacing w:after="0" w:line="240" w:lineRule="auto"/>
        <w:ind w:left="0" w:right="0" w:firstLine="0"/>
        <w:jc w:val="left"/>
      </w:pPr>
      <w:r>
        <w:t xml:space="preserve">Seuils de filtration appliqués (basés sur les distributions observées, Figure 3) : </w:t>
      </w:r>
    </w:p>
    <w:p w14:paraId="4DAC45BA" w14:textId="77777777" w:rsidR="00647A77" w:rsidRPr="00647A77" w:rsidRDefault="00647A77" w:rsidP="00647A77">
      <w:pPr>
        <w:spacing w:after="0" w:line="240" w:lineRule="auto"/>
        <w:ind w:left="0" w:right="0" w:firstLine="0"/>
        <w:jc w:val="left"/>
        <w:rPr>
          <w:lang w:val="en-US"/>
        </w:rPr>
      </w:pPr>
      <w:r w:rsidRPr="00647A77">
        <w:rPr>
          <w:lang w:val="en-US"/>
        </w:rPr>
        <w:t xml:space="preserve">1 000 ≤ </w:t>
      </w:r>
      <w:proofErr w:type="spellStart"/>
      <w:r w:rsidRPr="00647A77">
        <w:rPr>
          <w:lang w:val="en-US"/>
        </w:rPr>
        <w:t>n_genes_by_counts</w:t>
      </w:r>
      <w:proofErr w:type="spellEnd"/>
      <w:r w:rsidRPr="00647A77">
        <w:rPr>
          <w:lang w:val="en-US"/>
        </w:rPr>
        <w:t xml:space="preserve"> ≤ 6 000 </w:t>
      </w:r>
    </w:p>
    <w:p w14:paraId="64FBDBCA" w14:textId="77777777" w:rsidR="00647A77" w:rsidRPr="00647A77" w:rsidRDefault="00647A77" w:rsidP="00647A77">
      <w:pPr>
        <w:spacing w:after="0" w:line="240" w:lineRule="auto"/>
        <w:ind w:left="0" w:right="0" w:firstLine="0"/>
        <w:jc w:val="left"/>
        <w:rPr>
          <w:lang w:val="en-US"/>
        </w:rPr>
      </w:pPr>
      <w:proofErr w:type="spellStart"/>
      <w:r w:rsidRPr="00647A77">
        <w:rPr>
          <w:lang w:val="en-US"/>
        </w:rPr>
        <w:t>pct_counts_mt</w:t>
      </w:r>
      <w:proofErr w:type="spellEnd"/>
      <w:r w:rsidRPr="00647A77">
        <w:rPr>
          <w:lang w:val="en-US"/>
        </w:rPr>
        <w:t xml:space="preserve"> ≤ 5% </w:t>
      </w:r>
    </w:p>
    <w:p w14:paraId="2D2BD1D0" w14:textId="77777777" w:rsidR="00647A77" w:rsidRDefault="00647A77" w:rsidP="00647A77">
      <w:pPr>
        <w:spacing w:after="0" w:line="240" w:lineRule="auto"/>
        <w:ind w:left="0" w:right="0" w:firstLine="0"/>
        <w:jc w:val="left"/>
      </w:pPr>
      <w:r>
        <w:t>Résultat du filtrage QC : 285 076 noyaux (</w:t>
      </w:r>
      <w:proofErr w:type="spellStart"/>
      <w:r>
        <w:t>pré-filtrés</w:t>
      </w:r>
      <w:proofErr w:type="spellEnd"/>
      <w:r>
        <w:t xml:space="preserve">) → 243 011 noyaux (post-QC) → Rétention de 85,3% </w:t>
      </w:r>
    </w:p>
    <w:p w14:paraId="051CF4F4" w14:textId="77777777" w:rsidR="00647A77" w:rsidRDefault="00647A77" w:rsidP="00647A77">
      <w:pPr>
        <w:spacing w:after="0" w:line="240" w:lineRule="auto"/>
        <w:ind w:left="567" w:right="0"/>
        <w:jc w:val="left"/>
      </w:pPr>
      <w:r>
        <w:rPr>
          <w:rFonts w:ascii="Segoe UI Emoji" w:eastAsia="Segoe UI Emoji" w:hAnsi="Segoe UI Emoji" w:cs="Segoe UI Emoji"/>
          <w:color w:val="1A5490"/>
          <w:sz w:val="18"/>
        </w:rPr>
        <w:t>📘</w:t>
      </w:r>
      <w:r>
        <w:rPr>
          <w:rFonts w:ascii="Century Gothic" w:eastAsia="Century Gothic" w:hAnsi="Century Gothic" w:cs="Century Gothic"/>
          <w:b/>
          <w:color w:val="1A5490"/>
          <w:sz w:val="18"/>
        </w:rPr>
        <w:t xml:space="preserve"> NOTE PÉDAGOGIQUE - Interprétation des seuils de qualité </w:t>
      </w:r>
    </w:p>
    <w:p w14:paraId="42EDE6B1" w14:textId="77777777" w:rsidR="00647A77" w:rsidRDefault="00647A77" w:rsidP="00647A77">
      <w:pPr>
        <w:spacing w:after="0" w:line="240" w:lineRule="auto"/>
        <w:ind w:left="567" w:right="35" w:firstLine="0"/>
      </w:pPr>
      <w:r>
        <w:rPr>
          <w:rFonts w:ascii="Century Gothic" w:eastAsia="Century Gothic" w:hAnsi="Century Gothic" w:cs="Century Gothic"/>
          <w:color w:val="1A5490"/>
          <w:sz w:val="18"/>
        </w:rPr>
        <w:t xml:space="preserve">n_genes &lt; 1 000 : Noyau vide, débris cellulaires ou capture technique échouée. Ces objets ne contiennent pas assez d'information biologique exploitable. </w:t>
      </w:r>
    </w:p>
    <w:p w14:paraId="3BB7FB07" w14:textId="77777777" w:rsidR="00647A77" w:rsidRDefault="00647A77" w:rsidP="00647A77">
      <w:pPr>
        <w:spacing w:after="0" w:line="240" w:lineRule="auto"/>
        <w:ind w:left="567" w:right="35" w:firstLine="0"/>
      </w:pPr>
      <w:r>
        <w:rPr>
          <w:rFonts w:ascii="Century Gothic" w:eastAsia="Century Gothic" w:hAnsi="Century Gothic" w:cs="Century Gothic"/>
          <w:color w:val="1A5490"/>
          <w:sz w:val="18"/>
        </w:rPr>
        <w:t xml:space="preserve">n_genes &gt; 6 000 : Probable doublet (deux noyaux collés comptés comme un seul objet). Les doublets faussent l'analyse en créant des 'cellules artificielles' avec un profil d'expression hybride. </w:t>
      </w:r>
    </w:p>
    <w:p w14:paraId="1C261682" w14:textId="77777777" w:rsidR="00647A77" w:rsidRDefault="00647A77" w:rsidP="00647A77">
      <w:pPr>
        <w:spacing w:after="0" w:line="240" w:lineRule="auto"/>
        <w:ind w:left="567" w:right="35" w:firstLine="0"/>
      </w:pPr>
      <w:proofErr w:type="spellStart"/>
      <w:r>
        <w:rPr>
          <w:rFonts w:ascii="Century Gothic" w:eastAsia="Century Gothic" w:hAnsi="Century Gothic" w:cs="Century Gothic"/>
          <w:color w:val="1A5490"/>
          <w:sz w:val="18"/>
        </w:rPr>
        <w:lastRenderedPageBreak/>
        <w:t>pct_counts_mt</w:t>
      </w:r>
      <w:proofErr w:type="spellEnd"/>
      <w:r>
        <w:rPr>
          <w:rFonts w:ascii="Century Gothic" w:eastAsia="Century Gothic" w:hAnsi="Century Gothic" w:cs="Century Gothic"/>
          <w:color w:val="1A5490"/>
          <w:sz w:val="18"/>
        </w:rPr>
        <w:t xml:space="preserve"> &gt; 5% : Dans le bulk RNA-seq classique, des valeurs élevées (&gt;10-20%) indiquent des cellules stressées ou apoptotiques (fuite de l'ARN nucléaire, enrichissement relatif des transcrits mitochondriaux). ATTENTION : En snRNA-seq (séquençage de noyaux), </w:t>
      </w:r>
      <w:proofErr w:type="spellStart"/>
      <w:r>
        <w:rPr>
          <w:rFonts w:ascii="Century Gothic" w:eastAsia="Century Gothic" w:hAnsi="Century Gothic" w:cs="Century Gothic"/>
          <w:color w:val="1A5490"/>
          <w:sz w:val="18"/>
        </w:rPr>
        <w:t>pct_counts_mt</w:t>
      </w:r>
      <w:proofErr w:type="spellEnd"/>
      <w:r>
        <w:rPr>
          <w:rFonts w:ascii="Century Gothic" w:eastAsia="Century Gothic" w:hAnsi="Century Gothic" w:cs="Century Gothic"/>
          <w:color w:val="1A5490"/>
          <w:sz w:val="18"/>
        </w:rPr>
        <w:t xml:space="preserve"> est naturellement très faible (~0%) car les mitochondries (organites cytoplasmiques) ne sont PAS capturées avec les noyaux. Un seuil strict à 5% élimine les rares contaminations cytoplasmiques.</w:t>
      </w:r>
      <w:r>
        <w:t xml:space="preserve"> </w:t>
      </w:r>
    </w:p>
    <w:p w14:paraId="7C3A4055" w14:textId="77777777" w:rsidR="00647A77" w:rsidRDefault="00647A77" w:rsidP="00647A77">
      <w:pPr>
        <w:spacing w:after="0" w:line="240" w:lineRule="auto"/>
        <w:ind w:left="0" w:right="0" w:firstLine="0"/>
        <w:jc w:val="right"/>
      </w:pPr>
      <w:r>
        <w:rPr>
          <w:noProof/>
        </w:rPr>
        <w:drawing>
          <wp:inline distT="0" distB="0" distL="0" distR="0" wp14:anchorId="0CDEE98F" wp14:editId="0743C5E1">
            <wp:extent cx="5943600" cy="1651000"/>
            <wp:effectExtent l="0" t="0" r="0" b="0"/>
            <wp:docPr id="853" name="Picture 853" descr="Une image contenant texte, capture d’écran, Tracé, diagramm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853" name="Picture 853" descr="Une image contenant texte, capture d’écran, Tracé, diagramme&#10;&#10;Le contenu généré par l’IA peut être incorrect."/>
                    <pic:cNvPicPr/>
                  </pic:nvPicPr>
                  <pic:blipFill>
                    <a:blip r:embed="rId27"/>
                    <a:stretch>
                      <a:fillRect/>
                    </a:stretch>
                  </pic:blipFill>
                  <pic:spPr>
                    <a:xfrm>
                      <a:off x="0" y="0"/>
                      <a:ext cx="5943600" cy="1651000"/>
                    </a:xfrm>
                    <a:prstGeom prst="rect">
                      <a:avLst/>
                    </a:prstGeom>
                  </pic:spPr>
                </pic:pic>
              </a:graphicData>
            </a:graphic>
          </wp:inline>
        </w:drawing>
      </w:r>
      <w:r>
        <w:t xml:space="preserve"> </w:t>
      </w:r>
    </w:p>
    <w:p w14:paraId="61C2E52D" w14:textId="77777777" w:rsidR="00647A77" w:rsidRDefault="00647A77" w:rsidP="00647A77">
      <w:pPr>
        <w:spacing w:after="0" w:line="240" w:lineRule="auto"/>
        <w:ind w:right="0"/>
        <w:jc w:val="center"/>
      </w:pPr>
      <w:r>
        <w:rPr>
          <w:i/>
          <w:sz w:val="20"/>
        </w:rPr>
        <w:t>Figure 3. Distributions des métriques de qualité cellulaire avant filtrage (n=285 076 noyaux). Les lignes rouges indiquent les seuils de filtration appliqués.</w:t>
      </w:r>
      <w:r>
        <w:t xml:space="preserve"> </w:t>
      </w:r>
    </w:p>
    <w:p w14:paraId="5EFAAB82" w14:textId="6B583A25" w:rsidR="00121274" w:rsidRDefault="00000000" w:rsidP="00EF78CD">
      <w:pPr>
        <w:pStyle w:val="Titre2"/>
        <w:spacing w:after="0" w:line="240" w:lineRule="auto"/>
        <w:ind w:left="483" w:hanging="498"/>
      </w:pPr>
      <w:r>
        <w:t xml:space="preserve">Sélection et réduction de la cohorte </w:t>
      </w:r>
    </w:p>
    <w:p w14:paraId="51928081" w14:textId="36D632C9" w:rsidR="00121274" w:rsidRDefault="00000000" w:rsidP="002E706D">
      <w:pPr>
        <w:spacing w:after="0" w:line="240" w:lineRule="auto"/>
        <w:ind w:left="-5" w:right="35"/>
      </w:pPr>
      <w:r>
        <w:t xml:space="preserve">La cohorte a été réduite du dataset initial de 6,3 millions de noyaux </w:t>
      </w:r>
      <w:r w:rsidR="002E706D" w:rsidRPr="002E706D">
        <w:t xml:space="preserve">(693 682 après pré-filtrage technique réalisé par Lee et al. (2024) et standardisation du portail </w:t>
      </w:r>
      <w:proofErr w:type="spellStart"/>
      <w:r w:rsidR="002E706D" w:rsidRPr="002E706D">
        <w:t>CellxGene</w:t>
      </w:r>
      <w:proofErr w:type="spellEnd"/>
      <w:r w:rsidR="002E706D" w:rsidRPr="002E706D">
        <w:t>)</w:t>
      </w:r>
      <w:r>
        <w:t xml:space="preserve"> à un ensemble analytique de 62 800 noyaux via une stratégie de filtrage en plusieurs étapes. </w:t>
      </w:r>
    </w:p>
    <w:p w14:paraId="7C58AC60" w14:textId="77777777" w:rsidR="00121274" w:rsidRDefault="00000000" w:rsidP="00EF78CD">
      <w:pPr>
        <w:pStyle w:val="Titre3"/>
        <w:spacing w:after="0" w:line="240" w:lineRule="auto"/>
        <w:ind w:left="593" w:hanging="608"/>
      </w:pPr>
      <w:r>
        <w:t xml:space="preserve">Critères d'inclusion et d'exclusion </w:t>
      </w:r>
    </w:p>
    <w:p w14:paraId="311B1798" w14:textId="6F16FA7F" w:rsidR="000A075C" w:rsidRPr="000A075C" w:rsidRDefault="006938A2" w:rsidP="000A075C">
      <w:pPr>
        <w:spacing w:after="0" w:line="240" w:lineRule="auto"/>
        <w:ind w:left="0" w:right="0" w:firstLine="0"/>
        <w:jc w:val="left"/>
      </w:pPr>
      <w:r>
        <w:rPr>
          <w:i/>
          <w:iCs/>
        </w:rPr>
        <w:t xml:space="preserve">(1) </w:t>
      </w:r>
      <w:r w:rsidR="000A075C" w:rsidRPr="000A075C">
        <w:rPr>
          <w:i/>
          <w:iCs/>
        </w:rPr>
        <w:t>Stratégie de pureté diagnostique :</w:t>
      </w:r>
      <w:r w:rsidR="000A075C" w:rsidRPr="000A075C">
        <w:t xml:space="preserve"> Afin de garantir la spécificité des signatures moléculaires, une stratégie stricte a été appliquée. Seuls les donneurs présentant un diagnostic principal unique ont été retenus :</w:t>
      </w:r>
    </w:p>
    <w:p w14:paraId="7764F9CF" w14:textId="77777777" w:rsidR="000A075C" w:rsidRPr="000A075C" w:rsidRDefault="000A075C" w:rsidP="000A075C">
      <w:pPr>
        <w:numPr>
          <w:ilvl w:val="0"/>
          <w:numId w:val="20"/>
        </w:numPr>
        <w:spacing w:after="0" w:line="240" w:lineRule="auto"/>
        <w:ind w:right="0"/>
        <w:jc w:val="left"/>
      </w:pPr>
      <w:r w:rsidRPr="000A075C">
        <w:t>Maladie d'Alzheimer pure (diagnostic confirmé, sans pathologie mixte).</w:t>
      </w:r>
    </w:p>
    <w:p w14:paraId="77D060FF" w14:textId="77777777" w:rsidR="000A075C" w:rsidRPr="000A075C" w:rsidRDefault="000A075C" w:rsidP="000A075C">
      <w:pPr>
        <w:numPr>
          <w:ilvl w:val="0"/>
          <w:numId w:val="20"/>
        </w:numPr>
        <w:spacing w:after="0" w:line="240" w:lineRule="auto"/>
        <w:ind w:right="0"/>
        <w:jc w:val="left"/>
      </w:pPr>
      <w:r w:rsidRPr="000A075C">
        <w:t>Maladie de Parkinson pure (diagnostic confirmé).</w:t>
      </w:r>
    </w:p>
    <w:p w14:paraId="10261EEF" w14:textId="77777777" w:rsidR="000A075C" w:rsidRPr="000A075C" w:rsidRDefault="000A075C" w:rsidP="000A075C">
      <w:pPr>
        <w:numPr>
          <w:ilvl w:val="0"/>
          <w:numId w:val="20"/>
        </w:numPr>
        <w:spacing w:after="0" w:line="240" w:lineRule="auto"/>
        <w:ind w:right="0"/>
        <w:jc w:val="left"/>
      </w:pPr>
      <w:r w:rsidRPr="000A075C">
        <w:t>Groupe Contrôle (neurotypiques, absence de tout diagnostic neuropsychiatrique documenté).</w:t>
      </w:r>
    </w:p>
    <w:p w14:paraId="217D79E3" w14:textId="77777777" w:rsidR="000A075C" w:rsidRPr="000A075C" w:rsidRDefault="000A075C" w:rsidP="000A075C">
      <w:pPr>
        <w:spacing w:after="0" w:line="240" w:lineRule="auto"/>
        <w:ind w:left="0" w:right="0" w:firstLine="0"/>
        <w:jc w:val="left"/>
      </w:pPr>
      <w:r w:rsidRPr="000A075C">
        <w:t xml:space="preserve">Les critères d'exclusion ont éliminé systématiquement toutes les comorbidités (démence vasculaire, diabète, tauopathies autres) ainsi que les formes mixtes (ex: </w:t>
      </w:r>
      <w:proofErr w:type="spellStart"/>
      <w:r w:rsidRPr="000A075C">
        <w:t>co-occurence</w:t>
      </w:r>
      <w:proofErr w:type="spellEnd"/>
      <w:r w:rsidRPr="000A075C">
        <w:t xml:space="preserve"> AD+PD).</w:t>
      </w:r>
    </w:p>
    <w:p w14:paraId="11015A5A" w14:textId="26753E77" w:rsidR="00121274" w:rsidRPr="006938A2" w:rsidRDefault="006938A2" w:rsidP="00EF78CD">
      <w:pPr>
        <w:tabs>
          <w:tab w:val="center" w:pos="2469"/>
          <w:tab w:val="center" w:pos="4730"/>
          <w:tab w:val="center" w:pos="7307"/>
          <w:tab w:val="right" w:pos="9447"/>
        </w:tabs>
        <w:spacing w:after="0" w:line="240" w:lineRule="auto"/>
        <w:ind w:left="-15" w:right="0" w:firstLine="0"/>
        <w:jc w:val="left"/>
        <w:rPr>
          <w:i/>
          <w:iCs/>
        </w:rPr>
      </w:pPr>
      <w:r>
        <w:rPr>
          <w:i/>
          <w:iCs/>
        </w:rPr>
        <w:t xml:space="preserve">(1) </w:t>
      </w:r>
      <w:r w:rsidRPr="006938A2">
        <w:rPr>
          <w:i/>
          <w:iCs/>
        </w:rPr>
        <w:t xml:space="preserve">Filtrage par ascendance génétique : </w:t>
      </w:r>
    </w:p>
    <w:p w14:paraId="7BF3F5B9" w14:textId="77777777" w:rsidR="00121274" w:rsidRDefault="00000000" w:rsidP="006938A2">
      <w:pPr>
        <w:numPr>
          <w:ilvl w:val="0"/>
          <w:numId w:val="20"/>
        </w:numPr>
        <w:spacing w:after="0" w:line="240" w:lineRule="auto"/>
        <w:ind w:right="0"/>
        <w:jc w:val="left"/>
      </w:pPr>
      <w:r>
        <w:t xml:space="preserve">Exclusion de l'ascendance 'African' (58% du dataset initial, n=408 606 noyaux) </w:t>
      </w:r>
    </w:p>
    <w:p w14:paraId="5926C1E7" w14:textId="05752AD6" w:rsidR="00121274" w:rsidRDefault="00000000" w:rsidP="006938A2">
      <w:pPr>
        <w:numPr>
          <w:ilvl w:val="0"/>
          <w:numId w:val="20"/>
        </w:numPr>
        <w:spacing w:after="0" w:line="240" w:lineRule="auto"/>
        <w:ind w:right="0"/>
        <w:jc w:val="left"/>
      </w:pPr>
      <w:r>
        <w:t>Exclusion de l'ascendance '</w:t>
      </w:r>
      <w:proofErr w:type="spellStart"/>
      <w:r>
        <w:t>unknown</w:t>
      </w:r>
      <w:proofErr w:type="spellEnd"/>
      <w:r>
        <w:t xml:space="preserve">' (18,8%, n=130 601 noyaux) </w:t>
      </w:r>
    </w:p>
    <w:p w14:paraId="3EE992F6" w14:textId="77777777" w:rsidR="00121274" w:rsidRDefault="00000000" w:rsidP="006938A2">
      <w:pPr>
        <w:numPr>
          <w:ilvl w:val="0"/>
          <w:numId w:val="20"/>
        </w:numPr>
        <w:spacing w:after="0" w:line="240" w:lineRule="auto"/>
        <w:ind w:right="0"/>
        <w:jc w:val="left"/>
      </w:pPr>
      <w:r>
        <w:t xml:space="preserve">Conservation des ascendances 'European', 'East Asian' et 'Asian' (total : 22,3%, n=154 475 noyaux) </w:t>
      </w:r>
    </w:p>
    <w:p w14:paraId="3D518EC3" w14:textId="15287DBB" w:rsidR="00567E79" w:rsidRPr="008E0510" w:rsidRDefault="008E0510" w:rsidP="008E0510">
      <w:pPr>
        <w:spacing w:after="0" w:line="240" w:lineRule="auto"/>
        <w:ind w:left="567" w:right="244" w:firstLine="0"/>
        <w:rPr>
          <w:rFonts w:ascii="Segoe UI Emoji" w:eastAsia="Segoe UI Emoji" w:hAnsi="Segoe UI Emoji" w:cs="Segoe UI Emoji"/>
          <w:b/>
          <w:bCs/>
          <w:color w:val="7030A0"/>
          <w:sz w:val="18"/>
        </w:rPr>
      </w:pPr>
      <w:r>
        <w:rPr>
          <w:rFonts w:ascii="Segoe UI Emoji" w:eastAsia="Segoe UI Emoji" w:hAnsi="Segoe UI Emoji" w:cs="Segoe UI Emoji"/>
          <w:color w:val="7030A0"/>
          <w:sz w:val="18"/>
        </w:rPr>
        <w:t>📝</w:t>
      </w:r>
      <w:r>
        <w:rPr>
          <w:rFonts w:ascii="Century Gothic" w:eastAsia="Century Gothic" w:hAnsi="Century Gothic" w:cs="Century Gothic"/>
          <w:b/>
          <w:color w:val="7030A0"/>
          <w:sz w:val="18"/>
        </w:rPr>
        <w:t xml:space="preserve"> </w:t>
      </w:r>
      <w:r w:rsidRPr="008E0510">
        <w:rPr>
          <w:rFonts w:ascii="Segoe UI Emoji" w:eastAsia="Segoe UI Emoji" w:hAnsi="Segoe UI Emoji" w:cs="Segoe UI Emoji"/>
          <w:b/>
          <w:bCs/>
          <w:color w:val="7030A0"/>
          <w:sz w:val="18"/>
        </w:rPr>
        <w:t xml:space="preserve">NOTE </w:t>
      </w:r>
      <w:r w:rsidRPr="008E0510">
        <w:rPr>
          <w:rFonts w:ascii="Century Gothic" w:eastAsia="Century Gothic" w:hAnsi="Century Gothic" w:cs="Century Gothic"/>
          <w:b/>
          <w:bCs/>
          <w:color w:val="7030A0"/>
          <w:sz w:val="18"/>
        </w:rPr>
        <w:t>MÉTHODOLOGIQUE</w:t>
      </w:r>
      <w:r w:rsidRPr="008E0510">
        <w:rPr>
          <w:rFonts w:ascii="Segoe UI Emoji" w:eastAsia="Segoe UI Emoji" w:hAnsi="Segoe UI Emoji" w:cs="Segoe UI Emoji"/>
          <w:b/>
          <w:bCs/>
          <w:color w:val="7030A0"/>
          <w:sz w:val="18"/>
        </w:rPr>
        <w:t xml:space="preserve"> - Justification </w:t>
      </w:r>
      <w:r w:rsidR="00567E79" w:rsidRPr="008E0510">
        <w:rPr>
          <w:rFonts w:ascii="Segoe UI Emoji" w:eastAsia="Segoe UI Emoji" w:hAnsi="Segoe UI Emoji" w:cs="Segoe UI Emoji"/>
          <w:b/>
          <w:bCs/>
          <w:color w:val="7030A0"/>
          <w:sz w:val="18"/>
        </w:rPr>
        <w:t>(</w:t>
      </w:r>
      <w:r w:rsidRPr="008E0510">
        <w:rPr>
          <w:rFonts w:ascii="Segoe UI Emoji" w:eastAsia="Segoe UI Emoji" w:hAnsi="Segoe UI Emoji" w:cs="Segoe UI Emoji"/>
          <w:b/>
          <w:bCs/>
          <w:color w:val="7030A0"/>
          <w:sz w:val="18"/>
        </w:rPr>
        <w:t>controversée</w:t>
      </w:r>
      <w:r w:rsidR="00567E79" w:rsidRPr="008E0510">
        <w:rPr>
          <w:rFonts w:ascii="Segoe UI Emoji" w:eastAsia="Segoe UI Emoji" w:hAnsi="Segoe UI Emoji" w:cs="Segoe UI Emoji"/>
          <w:b/>
          <w:bCs/>
          <w:color w:val="7030A0"/>
          <w:sz w:val="18"/>
        </w:rPr>
        <w:t>)</w:t>
      </w:r>
      <w:r w:rsidRPr="008E0510">
        <w:rPr>
          <w:rFonts w:ascii="Segoe UI Emoji" w:eastAsia="Segoe UI Emoji" w:hAnsi="Segoe UI Emoji" w:cs="Segoe UI Emoji"/>
          <w:b/>
          <w:bCs/>
          <w:color w:val="7030A0"/>
          <w:sz w:val="18"/>
        </w:rPr>
        <w:t xml:space="preserve"> de l'exclusion de l'ascendance africaine </w:t>
      </w:r>
    </w:p>
    <w:p w14:paraId="21B7AB41" w14:textId="44900F50" w:rsidR="00121274" w:rsidRPr="008E0510" w:rsidRDefault="00000000" w:rsidP="008E0510">
      <w:pPr>
        <w:spacing w:after="0" w:line="240" w:lineRule="auto"/>
        <w:ind w:left="567" w:right="244" w:firstLine="0"/>
        <w:rPr>
          <w:rFonts w:ascii="Century Gothic" w:eastAsia="Century Gothic" w:hAnsi="Century Gothic" w:cs="Century Gothic"/>
          <w:color w:val="7030A0"/>
          <w:sz w:val="18"/>
        </w:rPr>
      </w:pPr>
      <w:r w:rsidRPr="008E0510">
        <w:rPr>
          <w:rFonts w:ascii="Century Gothic" w:eastAsia="Century Gothic" w:hAnsi="Century Gothic" w:cs="Century Gothic"/>
          <w:color w:val="7030A0"/>
          <w:sz w:val="18"/>
        </w:rPr>
        <w:t>Cette décision méthodologique est la plus problématique du projet et mérite une justification</w:t>
      </w:r>
      <w:r w:rsidR="00567E79" w:rsidRPr="008E0510">
        <w:rPr>
          <w:rFonts w:ascii="Century Gothic" w:eastAsia="Century Gothic" w:hAnsi="Century Gothic" w:cs="Century Gothic"/>
          <w:color w:val="7030A0"/>
          <w:sz w:val="18"/>
        </w:rPr>
        <w:t xml:space="preserve"> :</w:t>
      </w:r>
    </w:p>
    <w:p w14:paraId="0427041A" w14:textId="77777777" w:rsidR="00555501" w:rsidRPr="008E0510" w:rsidRDefault="00567E79" w:rsidP="008E0510">
      <w:pPr>
        <w:pStyle w:val="Paragraphedeliste"/>
        <w:numPr>
          <w:ilvl w:val="0"/>
          <w:numId w:val="24"/>
        </w:numPr>
        <w:tabs>
          <w:tab w:val="left" w:pos="851"/>
        </w:tabs>
        <w:spacing w:after="0" w:line="240" w:lineRule="auto"/>
        <w:ind w:left="567" w:right="0" w:firstLine="0"/>
        <w:rPr>
          <w:rFonts w:ascii="Century Gothic" w:eastAsia="Century Gothic" w:hAnsi="Century Gothic" w:cs="Century Gothic"/>
          <w:color w:val="7030A0"/>
          <w:sz w:val="18"/>
        </w:rPr>
      </w:pPr>
      <w:r w:rsidRPr="008E0510">
        <w:rPr>
          <w:rFonts w:ascii="Century Gothic" w:eastAsia="Century Gothic" w:hAnsi="Century Gothic" w:cs="Century Gothic"/>
          <w:color w:val="7030A0"/>
          <w:sz w:val="18"/>
        </w:rPr>
        <w:t>Contrainte matérielle : L'exclusion de l'ascendance africaine a réduit le fichier .h5ad de 6,28 GB à ~2,5 GB, permettant de charger les données en RAM pour le calcul des métriques QC. Sans cette réduction, les opérations produisaient des erreurs mémoire systématiques (4 GB/16 libres en RAM).</w:t>
      </w:r>
      <w:r w:rsidR="00D377A1" w:rsidRPr="008E0510">
        <w:rPr>
          <w:rFonts w:ascii="Century Gothic" w:eastAsia="Century Gothic" w:hAnsi="Century Gothic" w:cs="Century Gothic"/>
          <w:color w:val="7030A0"/>
          <w:sz w:val="18"/>
        </w:rPr>
        <w:t xml:space="preserve"> </w:t>
      </w:r>
    </w:p>
    <w:p w14:paraId="487E1B15" w14:textId="5B3B11CE" w:rsidR="00246775" w:rsidRDefault="00246775" w:rsidP="008E0510">
      <w:pPr>
        <w:pStyle w:val="Paragraphedeliste"/>
        <w:tabs>
          <w:tab w:val="left" w:pos="851"/>
        </w:tabs>
        <w:spacing w:after="0" w:line="240" w:lineRule="auto"/>
        <w:ind w:left="567" w:right="0" w:firstLine="0"/>
        <w:rPr>
          <w:rFonts w:ascii="Century Gothic" w:eastAsia="Century Gothic" w:hAnsi="Century Gothic" w:cs="Century Gothic"/>
          <w:color w:val="7030A0"/>
          <w:sz w:val="18"/>
        </w:rPr>
      </w:pPr>
      <w:r w:rsidRPr="008E0510">
        <w:rPr>
          <w:rFonts w:ascii="Century Gothic" w:eastAsia="Century Gothic" w:hAnsi="Century Gothic" w:cs="Century Gothic"/>
          <w:color w:val="7030A0"/>
          <w:sz w:val="18"/>
        </w:rPr>
        <w:t>Ce biais de sélection majeur limite la généralisabilité de nos conclusions aux seules populations d'ascendance européenne et asiatique. Les signatures moléculaires pourraient en effet différer substantiellement au sein des populations d'ascendance africaine, sous l'influence de facteurs génétiques, épigénétiques ou environnementaux. Cette restriction affecte la portée translationnelle des résultats et représente une limitation éthique et scientifique critique (voir Discussion, section 4.2).</w:t>
      </w:r>
    </w:p>
    <w:p w14:paraId="1BF9C5B2" w14:textId="77777777" w:rsidR="008E0510" w:rsidRPr="008E0510" w:rsidRDefault="008E0510" w:rsidP="00064DC4">
      <w:pPr>
        <w:pStyle w:val="Paragraphedeliste"/>
        <w:tabs>
          <w:tab w:val="left" w:pos="851"/>
        </w:tabs>
        <w:spacing w:after="0" w:line="240" w:lineRule="auto"/>
        <w:ind w:left="567" w:right="0" w:firstLine="0"/>
        <w:rPr>
          <w:rFonts w:ascii="Century Gothic" w:eastAsia="Century Gothic" w:hAnsi="Century Gothic" w:cs="Century Gothic"/>
          <w:color w:val="7030A0"/>
          <w:sz w:val="18"/>
        </w:rPr>
      </w:pPr>
    </w:p>
    <w:p w14:paraId="07F03FCA" w14:textId="77777777" w:rsidR="00121274" w:rsidRDefault="00000000" w:rsidP="00EF78CD">
      <w:pPr>
        <w:pStyle w:val="Titre3"/>
        <w:spacing w:after="0" w:line="240" w:lineRule="auto"/>
        <w:ind w:left="593" w:hanging="608"/>
      </w:pPr>
      <w:r>
        <w:t xml:space="preserve">Caractéristiques de la cohorte finale </w:t>
      </w:r>
    </w:p>
    <w:p w14:paraId="2D62B341" w14:textId="77777777" w:rsidR="008E0510" w:rsidRDefault="00000000" w:rsidP="008E0510">
      <w:pPr>
        <w:tabs>
          <w:tab w:val="left" w:pos="851"/>
        </w:tabs>
        <w:spacing w:after="0" w:line="240" w:lineRule="auto"/>
        <w:ind w:left="567" w:right="472" w:firstLine="0"/>
        <w:rPr>
          <w:rFonts w:ascii="Century Gothic" w:eastAsia="Century Gothic" w:hAnsi="Century Gothic" w:cs="Century Gothic"/>
          <w:b/>
          <w:color w:val="7030A0"/>
          <w:sz w:val="18"/>
        </w:rPr>
      </w:pPr>
      <w:r>
        <w:rPr>
          <w:rFonts w:ascii="Segoe UI Emoji" w:eastAsia="Segoe UI Emoji" w:hAnsi="Segoe UI Emoji" w:cs="Segoe UI Emoji"/>
          <w:color w:val="7030A0"/>
          <w:sz w:val="18"/>
        </w:rPr>
        <w:t>📝</w:t>
      </w:r>
      <w:r>
        <w:rPr>
          <w:rFonts w:ascii="Century Gothic" w:eastAsia="Century Gothic" w:hAnsi="Century Gothic" w:cs="Century Gothic"/>
          <w:b/>
          <w:color w:val="7030A0"/>
          <w:sz w:val="18"/>
        </w:rPr>
        <w:t xml:space="preserve"> NOTE MÉTHODOLOGIQUE - Justification de la réduction d'effectif (Stratégie QC) </w:t>
      </w:r>
    </w:p>
    <w:p w14:paraId="37349624" w14:textId="1F3D7590" w:rsidR="00121274" w:rsidRDefault="00000000" w:rsidP="00236003">
      <w:pPr>
        <w:tabs>
          <w:tab w:val="left" w:pos="851"/>
        </w:tabs>
        <w:spacing w:after="0" w:line="240" w:lineRule="auto"/>
        <w:ind w:left="567" w:right="472" w:firstLine="0"/>
      </w:pPr>
      <w:r>
        <w:rPr>
          <w:rFonts w:ascii="Century Gothic" w:eastAsia="Century Gothic" w:hAnsi="Century Gothic" w:cs="Century Gothic"/>
          <w:color w:val="7030A0"/>
          <w:sz w:val="18"/>
        </w:rPr>
        <w:t xml:space="preserve">Lors de la constitution de la cohorte, deux approches ont été comparées : Une sélection basée uniquement sur les métadonnées (Diagnostic/Ascendance) aboutit à ~77 000 noyaux. </w:t>
      </w:r>
      <w:r w:rsidR="008E0510">
        <w:rPr>
          <w:rFonts w:ascii="Century Gothic" w:eastAsia="Century Gothic" w:hAnsi="Century Gothic" w:cs="Century Gothic"/>
          <w:color w:val="7030A0"/>
          <w:sz w:val="18"/>
        </w:rPr>
        <w:t>Tant dis que l’</w:t>
      </w:r>
      <w:r>
        <w:rPr>
          <w:rFonts w:ascii="Century Gothic" w:eastAsia="Century Gothic" w:hAnsi="Century Gothic" w:cs="Century Gothic"/>
          <w:color w:val="7030A0"/>
          <w:sz w:val="18"/>
        </w:rPr>
        <w:t>appli</w:t>
      </w:r>
      <w:r w:rsidR="008E0510">
        <w:rPr>
          <w:rFonts w:ascii="Century Gothic" w:eastAsia="Century Gothic" w:hAnsi="Century Gothic" w:cs="Century Gothic"/>
          <w:color w:val="7030A0"/>
          <w:sz w:val="18"/>
        </w:rPr>
        <w:t>cation</w:t>
      </w:r>
      <w:r>
        <w:rPr>
          <w:rFonts w:ascii="Century Gothic" w:eastAsia="Century Gothic" w:hAnsi="Century Gothic" w:cs="Century Gothic"/>
          <w:color w:val="7030A0"/>
          <w:sz w:val="18"/>
        </w:rPr>
        <w:t xml:space="preserve"> </w:t>
      </w:r>
      <w:r w:rsidR="008E0510">
        <w:rPr>
          <w:rFonts w:ascii="Century Gothic" w:eastAsia="Century Gothic" w:hAnsi="Century Gothic" w:cs="Century Gothic"/>
          <w:color w:val="7030A0"/>
          <w:sz w:val="18"/>
        </w:rPr>
        <w:t>d’</w:t>
      </w:r>
      <w:r>
        <w:rPr>
          <w:rFonts w:ascii="Century Gothic" w:eastAsia="Century Gothic" w:hAnsi="Century Gothic" w:cs="Century Gothic"/>
          <w:color w:val="7030A0"/>
          <w:sz w:val="18"/>
        </w:rPr>
        <w:t xml:space="preserve">un filtrage qualité immédiat (n_genes &gt; 1000, mt% &lt; 5%), aboutit à ~68 800 noyaux. Nous avons retenu cette seconde approche. Bien que réduisant l'effectif d'environ 11%, </w:t>
      </w:r>
      <w:r>
        <w:rPr>
          <w:rFonts w:ascii="Century Gothic" w:eastAsia="Century Gothic" w:hAnsi="Century Gothic" w:cs="Century Gothic"/>
          <w:color w:val="7030A0"/>
          <w:sz w:val="18"/>
        </w:rPr>
        <w:lastRenderedPageBreak/>
        <w:t>elle élimine les noyaux de faible qualité technique (débris, stress cellulaire) qui auraient introduit du bruit dans le clustering et l'analyse différentielle.</w:t>
      </w:r>
      <w:r>
        <w:t xml:space="preserve"> </w:t>
      </w:r>
    </w:p>
    <w:p w14:paraId="7770A889" w14:textId="77777777" w:rsidR="00121274" w:rsidRDefault="00000000" w:rsidP="00EF78CD">
      <w:pPr>
        <w:spacing w:after="0" w:line="240" w:lineRule="auto"/>
        <w:ind w:left="-5" w:right="35"/>
      </w:pPr>
      <w:r>
        <w:t xml:space="preserve">La cohorte finale comprend 17 donneurs post-mortem et 62 800 noyaux. Le Tableau 1 résume les caractéristiques démographiques et cellulaires par groupe diagnostique. </w:t>
      </w:r>
    </w:p>
    <w:tbl>
      <w:tblPr>
        <w:tblStyle w:val="TableGrid"/>
        <w:tblW w:w="9620" w:type="dxa"/>
        <w:tblInd w:w="-105" w:type="dxa"/>
        <w:tblCellMar>
          <w:top w:w="54" w:type="dxa"/>
          <w:left w:w="105" w:type="dxa"/>
          <w:right w:w="51" w:type="dxa"/>
        </w:tblCellMar>
        <w:tblLook w:val="04A0" w:firstRow="1" w:lastRow="0" w:firstColumn="1" w:lastColumn="0" w:noHBand="0" w:noVBand="1"/>
      </w:tblPr>
      <w:tblGrid>
        <w:gridCol w:w="1560"/>
        <w:gridCol w:w="1561"/>
        <w:gridCol w:w="1556"/>
        <w:gridCol w:w="1829"/>
        <w:gridCol w:w="1554"/>
        <w:gridCol w:w="1560"/>
      </w:tblGrid>
      <w:tr w:rsidR="00121274" w14:paraId="5312ED9C" w14:textId="77777777">
        <w:trPr>
          <w:trHeight w:val="546"/>
        </w:trPr>
        <w:tc>
          <w:tcPr>
            <w:tcW w:w="1560" w:type="dxa"/>
            <w:tcBorders>
              <w:top w:val="single" w:sz="8" w:space="0" w:color="4F81BD"/>
              <w:left w:val="single" w:sz="8" w:space="0" w:color="4F81BD"/>
              <w:bottom w:val="single" w:sz="18" w:space="0" w:color="4F81BD"/>
              <w:right w:val="single" w:sz="8" w:space="0" w:color="4F81BD"/>
            </w:tcBorders>
          </w:tcPr>
          <w:p w14:paraId="37FE7838" w14:textId="77777777" w:rsidR="00121274" w:rsidRDefault="00000000" w:rsidP="00EF78CD">
            <w:pPr>
              <w:spacing w:after="0" w:line="240" w:lineRule="auto"/>
              <w:ind w:left="0" w:right="0" w:firstLine="0"/>
              <w:jc w:val="left"/>
            </w:pPr>
            <w:r>
              <w:rPr>
                <w:b/>
                <w:sz w:val="22"/>
              </w:rPr>
              <w:t>Diagnostic</w:t>
            </w:r>
            <w:r>
              <w:rPr>
                <w:b/>
              </w:rPr>
              <w:t xml:space="preserve"> </w:t>
            </w:r>
          </w:p>
        </w:tc>
        <w:tc>
          <w:tcPr>
            <w:tcW w:w="1561" w:type="dxa"/>
            <w:tcBorders>
              <w:top w:val="single" w:sz="8" w:space="0" w:color="4F81BD"/>
              <w:left w:val="single" w:sz="8" w:space="0" w:color="4F81BD"/>
              <w:bottom w:val="single" w:sz="18" w:space="0" w:color="4F81BD"/>
              <w:right w:val="single" w:sz="8" w:space="0" w:color="4F81BD"/>
            </w:tcBorders>
          </w:tcPr>
          <w:p w14:paraId="3856DE47" w14:textId="77777777" w:rsidR="00121274" w:rsidRDefault="00000000" w:rsidP="00EF78CD">
            <w:pPr>
              <w:spacing w:after="0" w:line="240" w:lineRule="auto"/>
              <w:ind w:left="1" w:right="0" w:firstLine="0"/>
              <w:jc w:val="left"/>
            </w:pPr>
            <w:r>
              <w:rPr>
                <w:b/>
                <w:sz w:val="22"/>
              </w:rPr>
              <w:t>N Donneurs</w:t>
            </w:r>
            <w:r>
              <w:rPr>
                <w:b/>
              </w:rPr>
              <w:t xml:space="preserve"> </w:t>
            </w:r>
          </w:p>
        </w:tc>
        <w:tc>
          <w:tcPr>
            <w:tcW w:w="1556" w:type="dxa"/>
            <w:tcBorders>
              <w:top w:val="single" w:sz="8" w:space="0" w:color="4F81BD"/>
              <w:left w:val="single" w:sz="8" w:space="0" w:color="4F81BD"/>
              <w:bottom w:val="single" w:sz="18" w:space="0" w:color="4F81BD"/>
              <w:right w:val="single" w:sz="8" w:space="0" w:color="4F81BD"/>
            </w:tcBorders>
          </w:tcPr>
          <w:p w14:paraId="779A0CC7" w14:textId="77777777" w:rsidR="00121274" w:rsidRDefault="00000000" w:rsidP="00EF78CD">
            <w:pPr>
              <w:spacing w:after="0" w:line="240" w:lineRule="auto"/>
              <w:ind w:left="1" w:right="0" w:firstLine="0"/>
              <w:jc w:val="left"/>
            </w:pPr>
            <w:r>
              <w:rPr>
                <w:b/>
                <w:sz w:val="22"/>
              </w:rPr>
              <w:t>N Noyaux</w:t>
            </w:r>
            <w:r>
              <w:rPr>
                <w:b/>
              </w:rPr>
              <w:t xml:space="preserve"> </w:t>
            </w:r>
          </w:p>
        </w:tc>
        <w:tc>
          <w:tcPr>
            <w:tcW w:w="1829" w:type="dxa"/>
            <w:tcBorders>
              <w:top w:val="single" w:sz="8" w:space="0" w:color="4F81BD"/>
              <w:left w:val="single" w:sz="8" w:space="0" w:color="4F81BD"/>
              <w:bottom w:val="single" w:sz="18" w:space="0" w:color="4F81BD"/>
              <w:right w:val="single" w:sz="8" w:space="0" w:color="4F81BD"/>
            </w:tcBorders>
          </w:tcPr>
          <w:p w14:paraId="6BE916F7" w14:textId="77777777" w:rsidR="00121274" w:rsidRDefault="00000000" w:rsidP="00EF78CD">
            <w:pPr>
              <w:spacing w:after="0" w:line="240" w:lineRule="auto"/>
              <w:ind w:left="0" w:right="0" w:firstLine="0"/>
            </w:pPr>
            <w:r>
              <w:rPr>
                <w:b/>
                <w:sz w:val="22"/>
              </w:rPr>
              <w:t xml:space="preserve">Noyaux/Donneur </w:t>
            </w:r>
          </w:p>
          <w:p w14:paraId="6822F87D" w14:textId="77777777" w:rsidR="00121274" w:rsidRDefault="00000000" w:rsidP="00EF78CD">
            <w:pPr>
              <w:spacing w:after="0" w:line="240" w:lineRule="auto"/>
              <w:ind w:left="0" w:right="0" w:firstLine="0"/>
              <w:jc w:val="left"/>
            </w:pPr>
            <w:r>
              <w:rPr>
                <w:b/>
                <w:sz w:val="22"/>
              </w:rPr>
              <w:t>(</w:t>
            </w:r>
            <w:proofErr w:type="spellStart"/>
            <w:r>
              <w:rPr>
                <w:b/>
                <w:sz w:val="22"/>
              </w:rPr>
              <w:t>moy</w:t>
            </w:r>
            <w:proofErr w:type="spellEnd"/>
            <w:r>
              <w:rPr>
                <w:b/>
                <w:sz w:val="22"/>
              </w:rPr>
              <w:t>.)</w:t>
            </w:r>
            <w:r>
              <w:rPr>
                <w:b/>
              </w:rPr>
              <w:t xml:space="preserve"> </w:t>
            </w:r>
          </w:p>
        </w:tc>
        <w:tc>
          <w:tcPr>
            <w:tcW w:w="1554" w:type="dxa"/>
            <w:tcBorders>
              <w:top w:val="single" w:sz="8" w:space="0" w:color="4F81BD"/>
              <w:left w:val="single" w:sz="8" w:space="0" w:color="4F81BD"/>
              <w:bottom w:val="single" w:sz="18" w:space="0" w:color="4F81BD"/>
              <w:right w:val="single" w:sz="8" w:space="0" w:color="4F81BD"/>
            </w:tcBorders>
          </w:tcPr>
          <w:p w14:paraId="20A3CFDE" w14:textId="77777777" w:rsidR="00121274" w:rsidRDefault="00000000" w:rsidP="00EF78CD">
            <w:pPr>
              <w:spacing w:after="0" w:line="240" w:lineRule="auto"/>
              <w:ind w:left="4" w:right="0" w:firstLine="0"/>
              <w:jc w:val="left"/>
            </w:pPr>
            <w:r>
              <w:rPr>
                <w:b/>
                <w:sz w:val="22"/>
              </w:rPr>
              <w:t>Sexe (M/F %)</w:t>
            </w:r>
            <w:r>
              <w:rPr>
                <w:b/>
              </w:rPr>
              <w:t xml:space="preserve"> </w:t>
            </w:r>
          </w:p>
        </w:tc>
        <w:tc>
          <w:tcPr>
            <w:tcW w:w="1560" w:type="dxa"/>
            <w:tcBorders>
              <w:top w:val="single" w:sz="8" w:space="0" w:color="4F81BD"/>
              <w:left w:val="single" w:sz="8" w:space="0" w:color="4F81BD"/>
              <w:bottom w:val="single" w:sz="18" w:space="0" w:color="4F81BD"/>
              <w:right w:val="single" w:sz="8" w:space="0" w:color="4F81BD"/>
            </w:tcBorders>
          </w:tcPr>
          <w:p w14:paraId="476A462C" w14:textId="77777777" w:rsidR="00121274" w:rsidRDefault="00000000" w:rsidP="00EF78CD">
            <w:pPr>
              <w:spacing w:after="0" w:line="240" w:lineRule="auto"/>
              <w:ind w:left="2" w:right="0" w:firstLine="0"/>
              <w:jc w:val="left"/>
            </w:pPr>
            <w:r>
              <w:rPr>
                <w:b/>
                <w:sz w:val="22"/>
              </w:rPr>
              <w:t>Ascendance génétique</w:t>
            </w:r>
            <w:r>
              <w:rPr>
                <w:b/>
              </w:rPr>
              <w:t xml:space="preserve"> </w:t>
            </w:r>
          </w:p>
        </w:tc>
      </w:tr>
      <w:tr w:rsidR="00121274" w14:paraId="3A741CC1" w14:textId="77777777">
        <w:trPr>
          <w:trHeight w:val="1036"/>
        </w:trPr>
        <w:tc>
          <w:tcPr>
            <w:tcW w:w="1560" w:type="dxa"/>
            <w:tcBorders>
              <w:top w:val="single" w:sz="18" w:space="0" w:color="4F81BD"/>
              <w:left w:val="single" w:sz="8" w:space="0" w:color="4F81BD"/>
              <w:bottom w:val="single" w:sz="8" w:space="0" w:color="4F81BD"/>
              <w:right w:val="single" w:sz="8" w:space="0" w:color="4F81BD"/>
            </w:tcBorders>
            <w:shd w:val="clear" w:color="auto" w:fill="D3DFEE"/>
          </w:tcPr>
          <w:p w14:paraId="18325B88" w14:textId="77777777" w:rsidR="00121274" w:rsidRDefault="00000000" w:rsidP="00EF78CD">
            <w:pPr>
              <w:spacing w:after="0" w:line="240" w:lineRule="auto"/>
              <w:ind w:left="0" w:right="0" w:firstLine="0"/>
              <w:jc w:val="left"/>
            </w:pPr>
            <w:r>
              <w:rPr>
                <w:b/>
                <w:sz w:val="22"/>
              </w:rPr>
              <w:t xml:space="preserve">Alzheimer </w:t>
            </w:r>
          </w:p>
          <w:p w14:paraId="5EEE2C6C" w14:textId="77777777" w:rsidR="00121274" w:rsidRDefault="00000000" w:rsidP="00EF78CD">
            <w:pPr>
              <w:spacing w:after="0" w:line="240" w:lineRule="auto"/>
              <w:ind w:left="0" w:right="0" w:firstLine="0"/>
              <w:jc w:val="left"/>
            </w:pPr>
            <w:r>
              <w:rPr>
                <w:b/>
                <w:sz w:val="22"/>
              </w:rPr>
              <w:t>(AD)</w:t>
            </w:r>
            <w:r>
              <w:rPr>
                <w:b/>
              </w:rPr>
              <w:t xml:space="preserve"> </w:t>
            </w:r>
          </w:p>
        </w:tc>
        <w:tc>
          <w:tcPr>
            <w:tcW w:w="1561" w:type="dxa"/>
            <w:tcBorders>
              <w:top w:val="single" w:sz="18" w:space="0" w:color="4F81BD"/>
              <w:left w:val="single" w:sz="8" w:space="0" w:color="4F81BD"/>
              <w:bottom w:val="single" w:sz="8" w:space="0" w:color="4F81BD"/>
              <w:right w:val="single" w:sz="8" w:space="0" w:color="4F81BD"/>
            </w:tcBorders>
            <w:shd w:val="clear" w:color="auto" w:fill="D3DFEE"/>
          </w:tcPr>
          <w:p w14:paraId="722B1807" w14:textId="77777777" w:rsidR="00121274" w:rsidRDefault="00000000" w:rsidP="00EF78CD">
            <w:pPr>
              <w:spacing w:after="0" w:line="240" w:lineRule="auto"/>
              <w:ind w:left="1" w:right="0" w:firstLine="0"/>
              <w:jc w:val="left"/>
            </w:pPr>
            <w:r>
              <w:rPr>
                <w:sz w:val="22"/>
              </w:rPr>
              <w:t>8</w:t>
            </w:r>
            <w:r>
              <w:t xml:space="preserve"> </w:t>
            </w:r>
          </w:p>
        </w:tc>
        <w:tc>
          <w:tcPr>
            <w:tcW w:w="1556" w:type="dxa"/>
            <w:tcBorders>
              <w:top w:val="single" w:sz="18" w:space="0" w:color="4F81BD"/>
              <w:left w:val="single" w:sz="8" w:space="0" w:color="4F81BD"/>
              <w:bottom w:val="single" w:sz="8" w:space="0" w:color="4F81BD"/>
              <w:right w:val="single" w:sz="8" w:space="0" w:color="4F81BD"/>
            </w:tcBorders>
            <w:shd w:val="clear" w:color="auto" w:fill="D3DFEE"/>
          </w:tcPr>
          <w:p w14:paraId="7A45BADA" w14:textId="77777777" w:rsidR="00121274" w:rsidRDefault="00000000" w:rsidP="00EF78CD">
            <w:pPr>
              <w:spacing w:after="0" w:line="240" w:lineRule="auto"/>
              <w:ind w:left="1" w:right="0" w:firstLine="0"/>
              <w:jc w:val="left"/>
            </w:pPr>
            <w:r>
              <w:rPr>
                <w:sz w:val="22"/>
              </w:rPr>
              <w:t>25 301</w:t>
            </w:r>
            <w:r>
              <w:t xml:space="preserve"> </w:t>
            </w:r>
          </w:p>
        </w:tc>
        <w:tc>
          <w:tcPr>
            <w:tcW w:w="1829" w:type="dxa"/>
            <w:tcBorders>
              <w:top w:val="single" w:sz="18" w:space="0" w:color="4F81BD"/>
              <w:left w:val="single" w:sz="8" w:space="0" w:color="4F81BD"/>
              <w:bottom w:val="single" w:sz="8" w:space="0" w:color="4F81BD"/>
              <w:right w:val="single" w:sz="8" w:space="0" w:color="4F81BD"/>
            </w:tcBorders>
            <w:shd w:val="clear" w:color="auto" w:fill="D3DFEE"/>
          </w:tcPr>
          <w:p w14:paraId="601E3634" w14:textId="77777777" w:rsidR="00121274" w:rsidRDefault="00000000" w:rsidP="00EF78CD">
            <w:pPr>
              <w:spacing w:after="0" w:line="240" w:lineRule="auto"/>
              <w:ind w:left="0" w:right="0" w:firstLine="0"/>
              <w:jc w:val="left"/>
            </w:pPr>
            <w:r>
              <w:rPr>
                <w:sz w:val="22"/>
              </w:rPr>
              <w:t>3 163</w:t>
            </w:r>
            <w:r>
              <w:t xml:space="preserve"> </w:t>
            </w:r>
          </w:p>
        </w:tc>
        <w:tc>
          <w:tcPr>
            <w:tcW w:w="1554" w:type="dxa"/>
            <w:tcBorders>
              <w:top w:val="single" w:sz="18" w:space="0" w:color="4F81BD"/>
              <w:left w:val="single" w:sz="8" w:space="0" w:color="4F81BD"/>
              <w:bottom w:val="single" w:sz="8" w:space="0" w:color="4F81BD"/>
              <w:right w:val="single" w:sz="8" w:space="0" w:color="4F81BD"/>
            </w:tcBorders>
            <w:shd w:val="clear" w:color="auto" w:fill="D3DFEE"/>
          </w:tcPr>
          <w:p w14:paraId="02125039" w14:textId="77777777" w:rsidR="00121274" w:rsidRDefault="00000000" w:rsidP="00EF78CD">
            <w:pPr>
              <w:spacing w:after="0" w:line="240" w:lineRule="auto"/>
              <w:ind w:left="4" w:right="0" w:firstLine="0"/>
              <w:jc w:val="left"/>
            </w:pPr>
            <w:r>
              <w:rPr>
                <w:sz w:val="22"/>
              </w:rPr>
              <w:t>68% / 32%</w:t>
            </w:r>
            <w:r>
              <w:t xml:space="preserve"> </w:t>
            </w:r>
          </w:p>
        </w:tc>
        <w:tc>
          <w:tcPr>
            <w:tcW w:w="1560" w:type="dxa"/>
            <w:tcBorders>
              <w:top w:val="single" w:sz="18" w:space="0" w:color="4F81BD"/>
              <w:left w:val="single" w:sz="8" w:space="0" w:color="4F81BD"/>
              <w:bottom w:val="single" w:sz="8" w:space="0" w:color="4F81BD"/>
              <w:right w:val="single" w:sz="8" w:space="0" w:color="4F81BD"/>
            </w:tcBorders>
            <w:shd w:val="clear" w:color="auto" w:fill="D3DFEE"/>
          </w:tcPr>
          <w:p w14:paraId="139C3A54" w14:textId="77777777" w:rsidR="00121274" w:rsidRDefault="00000000" w:rsidP="00EF78CD">
            <w:pPr>
              <w:spacing w:after="0" w:line="240" w:lineRule="auto"/>
              <w:ind w:left="2" w:right="0" w:firstLine="0"/>
              <w:jc w:val="left"/>
            </w:pPr>
            <w:r>
              <w:rPr>
                <w:sz w:val="22"/>
              </w:rPr>
              <w:t xml:space="preserve">Européenne </w:t>
            </w:r>
          </w:p>
          <w:p w14:paraId="6B767504" w14:textId="77777777" w:rsidR="00121274" w:rsidRDefault="00000000" w:rsidP="00EF78CD">
            <w:pPr>
              <w:spacing w:after="0" w:line="240" w:lineRule="auto"/>
              <w:ind w:left="2" w:right="54" w:firstLine="0"/>
            </w:pPr>
            <w:r>
              <w:rPr>
                <w:sz w:val="22"/>
              </w:rPr>
              <w:t>(37,5%), East Asian (50%), Asian (12,5%)</w:t>
            </w:r>
            <w:r>
              <w:t xml:space="preserve"> </w:t>
            </w:r>
          </w:p>
        </w:tc>
      </w:tr>
      <w:tr w:rsidR="00121274" w14:paraId="14CF2F9A" w14:textId="77777777">
        <w:trPr>
          <w:trHeight w:val="785"/>
        </w:trPr>
        <w:tc>
          <w:tcPr>
            <w:tcW w:w="1560" w:type="dxa"/>
            <w:tcBorders>
              <w:top w:val="single" w:sz="8" w:space="0" w:color="4F81BD"/>
              <w:left w:val="single" w:sz="8" w:space="0" w:color="4F81BD"/>
              <w:bottom w:val="single" w:sz="8" w:space="0" w:color="4F81BD"/>
              <w:right w:val="single" w:sz="8" w:space="0" w:color="4F81BD"/>
            </w:tcBorders>
          </w:tcPr>
          <w:p w14:paraId="137FED29" w14:textId="77777777" w:rsidR="00121274" w:rsidRDefault="00000000" w:rsidP="00EF78CD">
            <w:pPr>
              <w:spacing w:after="0" w:line="240" w:lineRule="auto"/>
              <w:ind w:left="0" w:right="0" w:firstLine="0"/>
              <w:jc w:val="left"/>
            </w:pPr>
            <w:r>
              <w:rPr>
                <w:b/>
                <w:sz w:val="22"/>
              </w:rPr>
              <w:t xml:space="preserve">Parkinson </w:t>
            </w:r>
          </w:p>
          <w:p w14:paraId="2DB9F797" w14:textId="77777777" w:rsidR="00121274" w:rsidRDefault="00000000" w:rsidP="00EF78CD">
            <w:pPr>
              <w:spacing w:after="0" w:line="240" w:lineRule="auto"/>
              <w:ind w:left="0" w:right="0" w:firstLine="0"/>
              <w:jc w:val="left"/>
            </w:pPr>
            <w:r>
              <w:rPr>
                <w:b/>
                <w:sz w:val="22"/>
              </w:rPr>
              <w:t>(PD)</w:t>
            </w:r>
            <w:r>
              <w:rPr>
                <w:b/>
              </w:rPr>
              <w:t xml:space="preserve"> </w:t>
            </w:r>
          </w:p>
        </w:tc>
        <w:tc>
          <w:tcPr>
            <w:tcW w:w="1561" w:type="dxa"/>
            <w:tcBorders>
              <w:top w:val="single" w:sz="8" w:space="0" w:color="4F81BD"/>
              <w:left w:val="single" w:sz="8" w:space="0" w:color="4F81BD"/>
              <w:bottom w:val="single" w:sz="8" w:space="0" w:color="4F81BD"/>
              <w:right w:val="single" w:sz="8" w:space="0" w:color="4F81BD"/>
            </w:tcBorders>
          </w:tcPr>
          <w:p w14:paraId="525C3073" w14:textId="77777777" w:rsidR="00121274" w:rsidRDefault="00000000" w:rsidP="00EF78CD">
            <w:pPr>
              <w:spacing w:after="0" w:line="240" w:lineRule="auto"/>
              <w:ind w:left="1" w:right="0" w:firstLine="0"/>
              <w:jc w:val="left"/>
            </w:pPr>
            <w:r>
              <w:rPr>
                <w:sz w:val="22"/>
              </w:rPr>
              <w:t>3</w:t>
            </w:r>
            <w:r>
              <w:t xml:space="preserve"> </w:t>
            </w:r>
          </w:p>
        </w:tc>
        <w:tc>
          <w:tcPr>
            <w:tcW w:w="1556" w:type="dxa"/>
            <w:tcBorders>
              <w:top w:val="single" w:sz="8" w:space="0" w:color="4F81BD"/>
              <w:left w:val="single" w:sz="8" w:space="0" w:color="4F81BD"/>
              <w:bottom w:val="single" w:sz="8" w:space="0" w:color="4F81BD"/>
              <w:right w:val="single" w:sz="8" w:space="0" w:color="4F81BD"/>
            </w:tcBorders>
          </w:tcPr>
          <w:p w14:paraId="35BB8864" w14:textId="77777777" w:rsidR="00121274" w:rsidRDefault="00000000" w:rsidP="00EF78CD">
            <w:pPr>
              <w:spacing w:after="0" w:line="240" w:lineRule="auto"/>
              <w:ind w:left="1" w:right="0" w:firstLine="0"/>
              <w:jc w:val="left"/>
            </w:pPr>
            <w:r>
              <w:rPr>
                <w:sz w:val="22"/>
              </w:rPr>
              <w:t>7 023</w:t>
            </w:r>
            <w:r>
              <w:t xml:space="preserve"> </w:t>
            </w:r>
          </w:p>
        </w:tc>
        <w:tc>
          <w:tcPr>
            <w:tcW w:w="1829" w:type="dxa"/>
            <w:tcBorders>
              <w:top w:val="single" w:sz="8" w:space="0" w:color="4F81BD"/>
              <w:left w:val="single" w:sz="8" w:space="0" w:color="4F81BD"/>
              <w:bottom w:val="single" w:sz="8" w:space="0" w:color="4F81BD"/>
              <w:right w:val="single" w:sz="8" w:space="0" w:color="4F81BD"/>
            </w:tcBorders>
          </w:tcPr>
          <w:p w14:paraId="766C2B48" w14:textId="77777777" w:rsidR="00121274" w:rsidRDefault="00000000" w:rsidP="00EF78CD">
            <w:pPr>
              <w:spacing w:after="0" w:line="240" w:lineRule="auto"/>
              <w:ind w:left="0" w:right="0" w:firstLine="0"/>
              <w:jc w:val="left"/>
            </w:pPr>
            <w:r>
              <w:rPr>
                <w:sz w:val="22"/>
              </w:rPr>
              <w:t>2 341</w:t>
            </w:r>
            <w:r>
              <w:t xml:space="preserve"> </w:t>
            </w:r>
          </w:p>
        </w:tc>
        <w:tc>
          <w:tcPr>
            <w:tcW w:w="1554" w:type="dxa"/>
            <w:tcBorders>
              <w:top w:val="single" w:sz="8" w:space="0" w:color="4F81BD"/>
              <w:left w:val="single" w:sz="8" w:space="0" w:color="4F81BD"/>
              <w:bottom w:val="single" w:sz="8" w:space="0" w:color="4F81BD"/>
              <w:right w:val="single" w:sz="8" w:space="0" w:color="4F81BD"/>
            </w:tcBorders>
          </w:tcPr>
          <w:p w14:paraId="2EC569E2" w14:textId="77777777" w:rsidR="00121274" w:rsidRDefault="00000000" w:rsidP="00EF78CD">
            <w:pPr>
              <w:spacing w:after="0" w:line="240" w:lineRule="auto"/>
              <w:ind w:left="4" w:right="0" w:firstLine="0"/>
              <w:jc w:val="left"/>
            </w:pPr>
            <w:r>
              <w:rPr>
                <w:sz w:val="22"/>
              </w:rPr>
              <w:t>73% / 27%</w:t>
            </w:r>
            <w:r>
              <w:t xml:space="preserve"> </w:t>
            </w:r>
          </w:p>
        </w:tc>
        <w:tc>
          <w:tcPr>
            <w:tcW w:w="1560" w:type="dxa"/>
            <w:tcBorders>
              <w:top w:val="single" w:sz="8" w:space="0" w:color="4F81BD"/>
              <w:left w:val="single" w:sz="8" w:space="0" w:color="4F81BD"/>
              <w:bottom w:val="single" w:sz="8" w:space="0" w:color="4F81BD"/>
              <w:right w:val="single" w:sz="8" w:space="0" w:color="4F81BD"/>
            </w:tcBorders>
          </w:tcPr>
          <w:p w14:paraId="667BDF56" w14:textId="77777777" w:rsidR="00121274" w:rsidRDefault="00000000" w:rsidP="00EF78CD">
            <w:pPr>
              <w:spacing w:after="0" w:line="240" w:lineRule="auto"/>
              <w:ind w:left="2" w:right="0" w:firstLine="0"/>
              <w:jc w:val="left"/>
            </w:pPr>
            <w:r>
              <w:rPr>
                <w:sz w:val="22"/>
              </w:rPr>
              <w:t xml:space="preserve">Européenne </w:t>
            </w:r>
          </w:p>
          <w:p w14:paraId="3933D716" w14:textId="77777777" w:rsidR="00121274" w:rsidRDefault="00000000" w:rsidP="00EF78CD">
            <w:pPr>
              <w:spacing w:after="0" w:line="240" w:lineRule="auto"/>
              <w:ind w:left="2" w:right="0" w:firstLine="0"/>
            </w:pPr>
            <w:r>
              <w:rPr>
                <w:sz w:val="22"/>
              </w:rPr>
              <w:t>(33,3%), East Asian (66,7%)</w:t>
            </w:r>
            <w:r>
              <w:t xml:space="preserve"> </w:t>
            </w:r>
          </w:p>
        </w:tc>
      </w:tr>
      <w:tr w:rsidR="00121274" w14:paraId="1D130FDD" w14:textId="77777777">
        <w:trPr>
          <w:trHeight w:val="519"/>
        </w:trPr>
        <w:tc>
          <w:tcPr>
            <w:tcW w:w="1560" w:type="dxa"/>
            <w:tcBorders>
              <w:top w:val="single" w:sz="8" w:space="0" w:color="4F81BD"/>
              <w:left w:val="single" w:sz="8" w:space="0" w:color="4F81BD"/>
              <w:bottom w:val="single" w:sz="8" w:space="0" w:color="4F81BD"/>
              <w:right w:val="single" w:sz="8" w:space="0" w:color="4F81BD"/>
            </w:tcBorders>
            <w:shd w:val="clear" w:color="auto" w:fill="D3DFEE"/>
          </w:tcPr>
          <w:p w14:paraId="6B61DACB" w14:textId="77777777" w:rsidR="00121274" w:rsidRDefault="00000000" w:rsidP="00EF78CD">
            <w:pPr>
              <w:spacing w:after="0" w:line="240" w:lineRule="auto"/>
              <w:ind w:left="0" w:right="0" w:firstLine="0"/>
              <w:jc w:val="left"/>
            </w:pPr>
            <w:r>
              <w:rPr>
                <w:b/>
                <w:sz w:val="22"/>
              </w:rPr>
              <w:t xml:space="preserve">Normal </w:t>
            </w:r>
          </w:p>
          <w:p w14:paraId="24139243" w14:textId="77777777" w:rsidR="00121274" w:rsidRDefault="00000000" w:rsidP="00EF78CD">
            <w:pPr>
              <w:spacing w:after="0" w:line="240" w:lineRule="auto"/>
              <w:ind w:left="0" w:right="0" w:firstLine="0"/>
              <w:jc w:val="left"/>
            </w:pPr>
            <w:r>
              <w:rPr>
                <w:b/>
                <w:sz w:val="22"/>
              </w:rPr>
              <w:t>(CTRL)</w:t>
            </w:r>
            <w:r>
              <w:rPr>
                <w:b/>
              </w:rPr>
              <w:t xml:space="preserve"> </w:t>
            </w:r>
          </w:p>
        </w:tc>
        <w:tc>
          <w:tcPr>
            <w:tcW w:w="1561" w:type="dxa"/>
            <w:tcBorders>
              <w:top w:val="single" w:sz="8" w:space="0" w:color="4F81BD"/>
              <w:left w:val="single" w:sz="8" w:space="0" w:color="4F81BD"/>
              <w:bottom w:val="single" w:sz="8" w:space="0" w:color="4F81BD"/>
              <w:right w:val="single" w:sz="8" w:space="0" w:color="4F81BD"/>
            </w:tcBorders>
            <w:shd w:val="clear" w:color="auto" w:fill="D3DFEE"/>
          </w:tcPr>
          <w:p w14:paraId="1DDED934" w14:textId="77777777" w:rsidR="00121274" w:rsidRDefault="00000000" w:rsidP="00EF78CD">
            <w:pPr>
              <w:spacing w:after="0" w:line="240" w:lineRule="auto"/>
              <w:ind w:left="1" w:right="0" w:firstLine="0"/>
              <w:jc w:val="left"/>
            </w:pPr>
            <w:r>
              <w:rPr>
                <w:sz w:val="22"/>
              </w:rPr>
              <w:t>6</w:t>
            </w:r>
            <w:r>
              <w:t xml:space="preserve"> </w:t>
            </w:r>
          </w:p>
        </w:tc>
        <w:tc>
          <w:tcPr>
            <w:tcW w:w="1556" w:type="dxa"/>
            <w:tcBorders>
              <w:top w:val="single" w:sz="8" w:space="0" w:color="4F81BD"/>
              <w:left w:val="single" w:sz="8" w:space="0" w:color="4F81BD"/>
              <w:bottom w:val="single" w:sz="8" w:space="0" w:color="4F81BD"/>
              <w:right w:val="single" w:sz="8" w:space="0" w:color="4F81BD"/>
            </w:tcBorders>
            <w:shd w:val="clear" w:color="auto" w:fill="D3DFEE"/>
          </w:tcPr>
          <w:p w14:paraId="093F5099" w14:textId="77777777" w:rsidR="00121274" w:rsidRDefault="00000000" w:rsidP="00EF78CD">
            <w:pPr>
              <w:spacing w:after="0" w:line="240" w:lineRule="auto"/>
              <w:ind w:left="1" w:right="0" w:firstLine="0"/>
              <w:jc w:val="left"/>
            </w:pPr>
            <w:r>
              <w:rPr>
                <w:sz w:val="22"/>
              </w:rPr>
              <w:t>30 476</w:t>
            </w:r>
            <w:r>
              <w:t xml:space="preserve"> </w:t>
            </w:r>
          </w:p>
        </w:tc>
        <w:tc>
          <w:tcPr>
            <w:tcW w:w="1829" w:type="dxa"/>
            <w:tcBorders>
              <w:top w:val="single" w:sz="8" w:space="0" w:color="4F81BD"/>
              <w:left w:val="single" w:sz="8" w:space="0" w:color="4F81BD"/>
              <w:bottom w:val="single" w:sz="8" w:space="0" w:color="4F81BD"/>
              <w:right w:val="single" w:sz="8" w:space="0" w:color="4F81BD"/>
            </w:tcBorders>
            <w:shd w:val="clear" w:color="auto" w:fill="D3DFEE"/>
          </w:tcPr>
          <w:p w14:paraId="5D03B39B" w14:textId="77777777" w:rsidR="00121274" w:rsidRDefault="00000000" w:rsidP="00EF78CD">
            <w:pPr>
              <w:spacing w:after="0" w:line="240" w:lineRule="auto"/>
              <w:ind w:left="0" w:right="0" w:firstLine="0"/>
              <w:jc w:val="left"/>
            </w:pPr>
            <w:r>
              <w:rPr>
                <w:sz w:val="22"/>
              </w:rPr>
              <w:t>5 079</w:t>
            </w:r>
            <w:r>
              <w:t xml:space="preserve"> </w:t>
            </w:r>
          </w:p>
        </w:tc>
        <w:tc>
          <w:tcPr>
            <w:tcW w:w="1554" w:type="dxa"/>
            <w:tcBorders>
              <w:top w:val="single" w:sz="8" w:space="0" w:color="4F81BD"/>
              <w:left w:val="single" w:sz="8" w:space="0" w:color="4F81BD"/>
              <w:bottom w:val="single" w:sz="8" w:space="0" w:color="4F81BD"/>
              <w:right w:val="single" w:sz="8" w:space="0" w:color="4F81BD"/>
            </w:tcBorders>
            <w:shd w:val="clear" w:color="auto" w:fill="D3DFEE"/>
          </w:tcPr>
          <w:p w14:paraId="720E19B9" w14:textId="77777777" w:rsidR="00121274" w:rsidRDefault="00000000" w:rsidP="00EF78CD">
            <w:pPr>
              <w:spacing w:after="0" w:line="240" w:lineRule="auto"/>
              <w:ind w:left="4" w:right="0" w:firstLine="0"/>
              <w:jc w:val="left"/>
            </w:pPr>
            <w:r>
              <w:rPr>
                <w:sz w:val="22"/>
              </w:rPr>
              <w:t>48,5% / 51,5%</w:t>
            </w:r>
            <w:r>
              <w:t xml:space="preserve"> </w:t>
            </w:r>
          </w:p>
        </w:tc>
        <w:tc>
          <w:tcPr>
            <w:tcW w:w="1560" w:type="dxa"/>
            <w:tcBorders>
              <w:top w:val="single" w:sz="8" w:space="0" w:color="4F81BD"/>
              <w:left w:val="single" w:sz="8" w:space="0" w:color="4F81BD"/>
              <w:bottom w:val="single" w:sz="8" w:space="0" w:color="4F81BD"/>
              <w:right w:val="single" w:sz="8" w:space="0" w:color="4F81BD"/>
            </w:tcBorders>
            <w:shd w:val="clear" w:color="auto" w:fill="D3DFEE"/>
          </w:tcPr>
          <w:p w14:paraId="21FDB4F0" w14:textId="77777777" w:rsidR="00121274" w:rsidRDefault="00000000" w:rsidP="00EF78CD">
            <w:pPr>
              <w:spacing w:after="0" w:line="240" w:lineRule="auto"/>
              <w:ind w:left="2" w:right="0" w:firstLine="0"/>
              <w:jc w:val="left"/>
            </w:pPr>
            <w:r>
              <w:rPr>
                <w:sz w:val="22"/>
              </w:rPr>
              <w:t>Européenne (100%)</w:t>
            </w:r>
            <w:r>
              <w:t xml:space="preserve"> </w:t>
            </w:r>
          </w:p>
        </w:tc>
      </w:tr>
    </w:tbl>
    <w:p w14:paraId="7F545F5B" w14:textId="77777777" w:rsidR="00121274" w:rsidRDefault="00000000" w:rsidP="00EF78CD">
      <w:pPr>
        <w:spacing w:after="0" w:line="240" w:lineRule="auto"/>
        <w:ind w:right="49"/>
        <w:jc w:val="center"/>
      </w:pPr>
      <w:r>
        <w:rPr>
          <w:i/>
          <w:sz w:val="20"/>
        </w:rPr>
        <w:t>Tableau 1. Caractéristiques démographiques et cellulaires de la cohorte finale (n=17 donneurs, 62 800 noyaux)</w:t>
      </w:r>
      <w:r>
        <w:t xml:space="preserve"> </w:t>
      </w:r>
    </w:p>
    <w:p w14:paraId="62DB3099" w14:textId="77777777" w:rsidR="00121274" w:rsidRDefault="00000000" w:rsidP="00A37B03">
      <w:pPr>
        <w:tabs>
          <w:tab w:val="left" w:pos="851"/>
        </w:tabs>
        <w:spacing w:after="0" w:line="240" w:lineRule="auto"/>
        <w:ind w:left="567" w:right="0"/>
        <w:jc w:val="left"/>
      </w:pPr>
      <w:r>
        <w:rPr>
          <w:rFonts w:ascii="Segoe UI Emoji" w:eastAsia="Segoe UI Emoji" w:hAnsi="Segoe UI Emoji" w:cs="Segoe UI Emoji"/>
          <w:color w:val="1A5490"/>
          <w:sz w:val="18"/>
        </w:rPr>
        <w:t>📘</w:t>
      </w:r>
      <w:r>
        <w:rPr>
          <w:rFonts w:ascii="Century Gothic" w:eastAsia="Century Gothic" w:hAnsi="Century Gothic" w:cs="Century Gothic"/>
          <w:b/>
          <w:color w:val="1A5490"/>
          <w:sz w:val="18"/>
        </w:rPr>
        <w:t xml:space="preserve"> NOTE PÉDAGOGIQUE - Déséquilibres démographiques de la cohorte et implications statistiques </w:t>
      </w:r>
    </w:p>
    <w:p w14:paraId="0DE4583E" w14:textId="77777777" w:rsidR="00121274" w:rsidRDefault="00000000" w:rsidP="00A37B03">
      <w:pPr>
        <w:tabs>
          <w:tab w:val="left" w:pos="851"/>
        </w:tabs>
        <w:spacing w:after="0" w:line="240" w:lineRule="auto"/>
        <w:ind w:left="567" w:right="21"/>
        <w:jc w:val="left"/>
      </w:pPr>
      <w:r>
        <w:rPr>
          <w:rFonts w:ascii="Century Gothic" w:eastAsia="Century Gothic" w:hAnsi="Century Gothic" w:cs="Century Gothic"/>
          <w:color w:val="1A5490"/>
          <w:sz w:val="18"/>
        </w:rPr>
        <w:t xml:space="preserve">Trois déséquilibres majeurs doivent être notés : </w:t>
      </w:r>
    </w:p>
    <w:p w14:paraId="5CFBF8C8" w14:textId="77777777" w:rsidR="00121274" w:rsidRPr="001C1ECB" w:rsidRDefault="00000000" w:rsidP="00A37B03">
      <w:pPr>
        <w:numPr>
          <w:ilvl w:val="0"/>
          <w:numId w:val="6"/>
        </w:numPr>
        <w:tabs>
          <w:tab w:val="left" w:pos="851"/>
        </w:tabs>
        <w:spacing w:after="0" w:line="240" w:lineRule="auto"/>
        <w:ind w:left="567" w:right="21"/>
        <w:jc w:val="left"/>
      </w:pPr>
      <w:r w:rsidRPr="00FA16FD">
        <w:rPr>
          <w:rFonts w:ascii="Century Gothic" w:eastAsia="Century Gothic" w:hAnsi="Century Gothic" w:cs="Century Gothic"/>
          <w:i/>
          <w:iCs/>
          <w:color w:val="1A5490"/>
          <w:sz w:val="18"/>
        </w:rPr>
        <w:t>Faible taille du groupe PD (n=3 donneurs)</w:t>
      </w:r>
      <w:r>
        <w:rPr>
          <w:rFonts w:ascii="Century Gothic" w:eastAsia="Century Gothic" w:hAnsi="Century Gothic" w:cs="Century Gothic"/>
          <w:color w:val="1A5490"/>
          <w:sz w:val="18"/>
        </w:rPr>
        <w:t xml:space="preserve"> : Limite sévèrement la puissance statistique pour détecter des DEGs dans ce groupe. Risque élevé de faux négatifs (vrais effets biologiques non détectés). Conséquence : Les résultats pour PD doivent être interprétés avec une extrême prudence. </w:t>
      </w:r>
    </w:p>
    <w:p w14:paraId="52FB122F" w14:textId="29C21B0A" w:rsidR="001C1ECB" w:rsidRPr="001C1ECB" w:rsidRDefault="001C1ECB" w:rsidP="00FA16FD">
      <w:pPr>
        <w:numPr>
          <w:ilvl w:val="0"/>
          <w:numId w:val="6"/>
        </w:numPr>
        <w:tabs>
          <w:tab w:val="left" w:pos="851"/>
        </w:tabs>
        <w:spacing w:after="0" w:line="240" w:lineRule="auto"/>
        <w:ind w:left="567" w:right="21"/>
        <w:jc w:val="left"/>
        <w:rPr>
          <w:rFonts w:ascii="Century Gothic" w:eastAsia="Century Gothic" w:hAnsi="Century Gothic" w:cs="Century Gothic"/>
          <w:color w:val="1A5490"/>
          <w:sz w:val="18"/>
        </w:rPr>
      </w:pPr>
      <w:r w:rsidRPr="00FA16FD">
        <w:rPr>
          <w:rFonts w:ascii="Century Gothic" w:eastAsia="Century Gothic" w:hAnsi="Century Gothic" w:cs="Century Gothic"/>
          <w:i/>
          <w:iCs/>
          <w:color w:val="1A5490"/>
          <w:sz w:val="18"/>
        </w:rPr>
        <w:t>Biais de sexe</w:t>
      </w:r>
      <w:r w:rsidRPr="001C1ECB">
        <w:rPr>
          <w:rFonts w:ascii="Century Gothic" w:eastAsia="Century Gothic" w:hAnsi="Century Gothic" w:cs="Century Gothic"/>
          <w:color w:val="1A5490"/>
          <w:sz w:val="18"/>
        </w:rPr>
        <w:t xml:space="preserve"> : L'analyse de la distribution des sexes dans notre cohorte restreinte (N=17) révèle des disparités variables selon les groupes : Le groupe Parkinson (PD) présente une prédominance masculine (2 hommes pour 1 femme, soit 67%), ce qui reflète la prévalence épidémiologique connue de la maladie mais limite la puissance statistique pour l'analyse des différences liées au sexe. Le groupe Alzheimer (AD) et le groupe Contrôle (CTRL) montrent une distribution plus équilibrée, bien que les effectifs réduits invitent à la prudence.</w:t>
      </w:r>
      <w:r>
        <w:rPr>
          <w:rFonts w:ascii="Century Gothic" w:eastAsia="Century Gothic" w:hAnsi="Century Gothic" w:cs="Century Gothic"/>
          <w:color w:val="1A5490"/>
          <w:sz w:val="18"/>
        </w:rPr>
        <w:t xml:space="preserve"> </w:t>
      </w:r>
    </w:p>
    <w:p w14:paraId="04F565DA" w14:textId="0F3BEC44" w:rsidR="001C1ECB" w:rsidRPr="001C1ECB" w:rsidRDefault="001C1ECB" w:rsidP="001C1ECB">
      <w:pPr>
        <w:tabs>
          <w:tab w:val="left" w:pos="851"/>
        </w:tabs>
        <w:spacing w:after="0" w:line="240" w:lineRule="auto"/>
        <w:ind w:left="567" w:right="21" w:firstLine="0"/>
        <w:jc w:val="left"/>
        <w:rPr>
          <w:rFonts w:ascii="Century Gothic" w:eastAsia="Century Gothic" w:hAnsi="Century Gothic" w:cs="Century Gothic"/>
          <w:color w:val="1A5490"/>
          <w:sz w:val="18"/>
        </w:rPr>
      </w:pPr>
      <w:r w:rsidRPr="001C1ECB">
        <w:rPr>
          <w:rFonts w:ascii="Century Gothic" w:eastAsia="Century Gothic" w:hAnsi="Century Gothic" w:cs="Century Gothic"/>
          <w:color w:val="1A5490"/>
          <w:sz w:val="18"/>
        </w:rPr>
        <w:t xml:space="preserve">Conséquence méthodologique : Afin de neutraliser ce biais potentiel, le sexe biologique a été inclus comme </w:t>
      </w:r>
      <w:proofErr w:type="spellStart"/>
      <w:r w:rsidRPr="001C1ECB">
        <w:rPr>
          <w:rFonts w:ascii="Century Gothic" w:eastAsia="Century Gothic" w:hAnsi="Century Gothic" w:cs="Century Gothic"/>
          <w:color w:val="1A5490"/>
          <w:sz w:val="18"/>
        </w:rPr>
        <w:t>co</w:t>
      </w:r>
      <w:proofErr w:type="spellEnd"/>
      <w:r w:rsidRPr="001C1ECB">
        <w:rPr>
          <w:rFonts w:ascii="Century Gothic" w:eastAsia="Century Gothic" w:hAnsi="Century Gothic" w:cs="Century Gothic"/>
          <w:color w:val="1A5490"/>
          <w:sz w:val="18"/>
        </w:rPr>
        <w:t xml:space="preserve">-variable dans le modèle linéaire </w:t>
      </w:r>
      <w:r w:rsidR="001D624B">
        <w:rPr>
          <w:rFonts w:ascii="Century Gothic" w:eastAsia="Century Gothic" w:hAnsi="Century Gothic" w:cs="Century Gothic"/>
          <w:color w:val="1A5490"/>
          <w:sz w:val="18"/>
        </w:rPr>
        <w:t>L</w:t>
      </w:r>
      <w:r w:rsidRPr="001C1ECB">
        <w:rPr>
          <w:rFonts w:ascii="Century Gothic" w:eastAsia="Century Gothic" w:hAnsi="Century Gothic" w:cs="Century Gothic"/>
          <w:color w:val="1A5490"/>
          <w:sz w:val="18"/>
        </w:rPr>
        <w:t>imma</w:t>
      </w:r>
      <w:r>
        <w:rPr>
          <w:rFonts w:ascii="Century Gothic" w:eastAsia="Century Gothic" w:hAnsi="Century Gothic" w:cs="Century Gothic"/>
          <w:color w:val="1A5490"/>
          <w:sz w:val="18"/>
        </w:rPr>
        <w:t>-</w:t>
      </w:r>
      <w:r w:rsidR="001D624B">
        <w:rPr>
          <w:rFonts w:ascii="Century Gothic" w:eastAsia="Century Gothic" w:hAnsi="Century Gothic" w:cs="Century Gothic"/>
          <w:color w:val="1A5490"/>
          <w:sz w:val="18"/>
        </w:rPr>
        <w:t>V</w:t>
      </w:r>
      <w:r>
        <w:rPr>
          <w:rFonts w:ascii="Century Gothic" w:eastAsia="Century Gothic" w:hAnsi="Century Gothic" w:cs="Century Gothic"/>
          <w:color w:val="1A5490"/>
          <w:sz w:val="18"/>
        </w:rPr>
        <w:t>oom</w:t>
      </w:r>
      <w:r w:rsidR="00DA43E4">
        <w:rPr>
          <w:rFonts w:ascii="Century Gothic" w:eastAsia="Century Gothic" w:hAnsi="Century Gothic" w:cs="Century Gothic"/>
          <w:color w:val="1A5490"/>
          <w:sz w:val="18"/>
        </w:rPr>
        <w:t xml:space="preserve"> </w:t>
      </w:r>
      <w:r w:rsidRPr="001C1ECB">
        <w:rPr>
          <w:rFonts w:ascii="Century Gothic" w:eastAsia="Century Gothic" w:hAnsi="Century Gothic" w:cs="Century Gothic"/>
          <w:color w:val="1A5490"/>
          <w:sz w:val="18"/>
        </w:rPr>
        <w:t>lors de l'analyse différentielle.</w:t>
      </w:r>
    </w:p>
    <w:p w14:paraId="5994E995" w14:textId="731EFE89" w:rsidR="00121274" w:rsidRDefault="00000000" w:rsidP="00AE1459">
      <w:pPr>
        <w:numPr>
          <w:ilvl w:val="0"/>
          <w:numId w:val="6"/>
        </w:numPr>
        <w:tabs>
          <w:tab w:val="left" w:pos="851"/>
        </w:tabs>
        <w:spacing w:after="0" w:line="240" w:lineRule="auto"/>
        <w:ind w:left="567" w:right="21"/>
        <w:jc w:val="left"/>
      </w:pPr>
      <w:r w:rsidRPr="00FA16FD">
        <w:rPr>
          <w:rFonts w:ascii="Century Gothic" w:eastAsia="Century Gothic" w:hAnsi="Century Gothic" w:cs="Century Gothic"/>
          <w:i/>
          <w:iCs/>
          <w:color w:val="1A5490"/>
          <w:sz w:val="18"/>
        </w:rPr>
        <w:t>Biais d'ascendance</w:t>
      </w:r>
      <w:r>
        <w:rPr>
          <w:rFonts w:ascii="Century Gothic" w:eastAsia="Century Gothic" w:hAnsi="Century Gothic" w:cs="Century Gothic"/>
          <w:color w:val="1A5490"/>
          <w:sz w:val="18"/>
        </w:rPr>
        <w:t xml:space="preserve"> : Le groupe CTRL est 100% européen, </w:t>
      </w:r>
      <w:r w:rsidR="00A37B03">
        <w:rPr>
          <w:rFonts w:ascii="Century Gothic" w:eastAsia="Century Gothic" w:hAnsi="Century Gothic" w:cs="Century Gothic"/>
          <w:color w:val="1A5490"/>
          <w:sz w:val="18"/>
        </w:rPr>
        <w:t>alors qu’AD</w:t>
      </w:r>
      <w:r>
        <w:rPr>
          <w:rFonts w:ascii="Century Gothic" w:eastAsia="Century Gothic" w:hAnsi="Century Gothic" w:cs="Century Gothic"/>
          <w:color w:val="1A5490"/>
          <w:sz w:val="18"/>
        </w:rPr>
        <w:t xml:space="preserve"> et PD sont mixtes (européen + asiatique). L'ascendance génétique influence l'expression génique de base. Elle </w:t>
      </w:r>
      <w:r w:rsidR="00A37B03">
        <w:rPr>
          <w:rFonts w:ascii="Century Gothic" w:eastAsia="Century Gothic" w:hAnsi="Century Gothic" w:cs="Century Gothic"/>
          <w:color w:val="1A5490"/>
          <w:sz w:val="18"/>
        </w:rPr>
        <w:t>doit</w:t>
      </w:r>
      <w:r>
        <w:rPr>
          <w:rFonts w:ascii="Century Gothic" w:eastAsia="Century Gothic" w:hAnsi="Century Gothic" w:cs="Century Gothic"/>
          <w:color w:val="1A5490"/>
          <w:sz w:val="18"/>
        </w:rPr>
        <w:t xml:space="preserve"> également être contrôlée dans le modèle statistique pour isoler l'effet pur de la pathologie.</w:t>
      </w:r>
    </w:p>
    <w:p w14:paraId="6FA81C4C" w14:textId="77777777" w:rsidR="00121274" w:rsidRDefault="00000000" w:rsidP="00EF78CD">
      <w:pPr>
        <w:pStyle w:val="Titre2"/>
        <w:spacing w:after="0" w:line="240" w:lineRule="auto"/>
        <w:ind w:left="483" w:hanging="498"/>
      </w:pPr>
      <w:r>
        <w:t xml:space="preserve">Normalisation et sélection de gènes hautement variables </w:t>
      </w:r>
    </w:p>
    <w:p w14:paraId="1F528087" w14:textId="77777777" w:rsidR="00121274" w:rsidRDefault="00000000" w:rsidP="00EF78CD">
      <w:pPr>
        <w:spacing w:after="0" w:line="240" w:lineRule="auto"/>
        <w:ind w:left="-5" w:right="35"/>
      </w:pPr>
      <w:r>
        <w:t xml:space="preserve">Les étapes de transformation suivantes ont été appliquées dans l'ordre : </w:t>
      </w:r>
    </w:p>
    <w:p w14:paraId="3B198AB1" w14:textId="77777777" w:rsidR="00121274" w:rsidRDefault="00000000" w:rsidP="00EF78CD">
      <w:pPr>
        <w:numPr>
          <w:ilvl w:val="0"/>
          <w:numId w:val="8"/>
        </w:numPr>
        <w:spacing w:after="0" w:line="240" w:lineRule="auto"/>
        <w:ind w:right="35"/>
      </w:pPr>
      <w:r>
        <w:t xml:space="preserve">Sauvegarde des comptages bruts : Les comptages UMI bruts ont été préservés dans </w:t>
      </w:r>
      <w:proofErr w:type="spellStart"/>
      <w:r>
        <w:t>adata.layers</w:t>
      </w:r>
      <w:proofErr w:type="spellEnd"/>
      <w:r>
        <w:t>['</w:t>
      </w:r>
      <w:proofErr w:type="spellStart"/>
      <w:r>
        <w:t>counts</w:t>
      </w:r>
      <w:proofErr w:type="spellEnd"/>
      <w:r>
        <w:t xml:space="preserve">'] AVANT toute transformation. Cette étape est critique pour l'analyse différentielle ultérieure (DESeq2 exige des comptages entiers non normalisés). </w:t>
      </w:r>
    </w:p>
    <w:p w14:paraId="5DEA855C" w14:textId="77777777" w:rsidR="00121274" w:rsidRDefault="00000000" w:rsidP="00EF78CD">
      <w:pPr>
        <w:spacing w:after="0" w:line="240" w:lineRule="auto"/>
        <w:ind w:left="0" w:right="0" w:firstLine="0"/>
        <w:jc w:val="left"/>
      </w:pPr>
      <w:r>
        <w:t xml:space="preserve"> </w:t>
      </w:r>
    </w:p>
    <w:p w14:paraId="090B0B31" w14:textId="77777777" w:rsidR="00121274" w:rsidRDefault="00000000" w:rsidP="00EF78CD">
      <w:pPr>
        <w:numPr>
          <w:ilvl w:val="0"/>
          <w:numId w:val="8"/>
        </w:numPr>
        <w:spacing w:after="0" w:line="240" w:lineRule="auto"/>
        <w:ind w:right="35"/>
      </w:pPr>
      <w:r>
        <w:t>Normalisation par profondeur de séquençage : Chaque noyau a été normalisé à 10 000 UMI totaux (</w:t>
      </w:r>
      <w:proofErr w:type="spellStart"/>
      <w:r>
        <w:t>scanpy.pp.normalize_total</w:t>
      </w:r>
      <w:proofErr w:type="spellEnd"/>
      <w:r>
        <w:t xml:space="preserve">, </w:t>
      </w:r>
      <w:proofErr w:type="spellStart"/>
      <w:r>
        <w:t>target_sum</w:t>
      </w:r>
      <w:proofErr w:type="spellEnd"/>
      <w:r>
        <w:t xml:space="preserve">=1e4) pour corriger les différences de profondeur de séquençage entre noyaux. </w:t>
      </w:r>
    </w:p>
    <w:p w14:paraId="07B91871" w14:textId="77777777" w:rsidR="00121274" w:rsidRDefault="00000000" w:rsidP="00EF78CD">
      <w:pPr>
        <w:spacing w:after="0" w:line="240" w:lineRule="auto"/>
        <w:ind w:left="0" w:right="0" w:firstLine="0"/>
        <w:jc w:val="left"/>
      </w:pPr>
      <w:r>
        <w:t xml:space="preserve"> </w:t>
      </w:r>
    </w:p>
    <w:p w14:paraId="62EB5F05" w14:textId="77777777" w:rsidR="00121274" w:rsidRDefault="00000000" w:rsidP="00EF78CD">
      <w:pPr>
        <w:numPr>
          <w:ilvl w:val="0"/>
          <w:numId w:val="8"/>
        </w:numPr>
        <w:spacing w:after="0" w:line="240" w:lineRule="auto"/>
        <w:ind w:right="35"/>
      </w:pPr>
      <w:r>
        <w:t xml:space="preserve">Log-transformation : Application de log(x+1) (scanpy.pp.log1p) pour stabiliser la variance et rapprocher la distribution des comptages d'une distribution normale, condition requise pour les méthodes linéaires (PCA). </w:t>
      </w:r>
    </w:p>
    <w:p w14:paraId="7AA936F4" w14:textId="77777777" w:rsidR="00121274" w:rsidRDefault="00000000" w:rsidP="00EF78CD">
      <w:pPr>
        <w:spacing w:after="0" w:line="240" w:lineRule="auto"/>
        <w:ind w:left="0" w:right="0" w:firstLine="0"/>
        <w:jc w:val="left"/>
      </w:pPr>
      <w:r>
        <w:t xml:space="preserve"> </w:t>
      </w:r>
    </w:p>
    <w:p w14:paraId="48AE1D4F" w14:textId="77777777" w:rsidR="00121274" w:rsidRDefault="00000000" w:rsidP="00EF78CD">
      <w:pPr>
        <w:numPr>
          <w:ilvl w:val="0"/>
          <w:numId w:val="8"/>
        </w:numPr>
        <w:spacing w:after="0" w:line="240" w:lineRule="auto"/>
        <w:ind w:right="35"/>
      </w:pPr>
      <w:r>
        <w:t>Sélection des gènes hautement variables (</w:t>
      </w:r>
      <w:proofErr w:type="spellStart"/>
      <w:r>
        <w:t>HVGs</w:t>
      </w:r>
      <w:proofErr w:type="spellEnd"/>
      <w:r>
        <w:t xml:space="preserve">) : Identification et conservation des 2 000 gènes présentant la plus forte variabilité biologique entre noyaux (méthode Seurat v3, </w:t>
      </w:r>
      <w:proofErr w:type="spellStart"/>
      <w:r>
        <w:t>scanpy.pp.highly_variable_genes</w:t>
      </w:r>
      <w:proofErr w:type="spellEnd"/>
      <w:r>
        <w:t xml:space="preserve">). Cette étape réduit le bruit technique et la charge computationnelle tout en préservant le signal biologique. </w:t>
      </w:r>
    </w:p>
    <w:p w14:paraId="5AA7447A" w14:textId="77777777" w:rsidR="00121274" w:rsidRDefault="00000000" w:rsidP="00EF78CD">
      <w:pPr>
        <w:spacing w:after="0" w:line="240" w:lineRule="auto"/>
        <w:ind w:left="1436" w:right="268"/>
        <w:jc w:val="left"/>
      </w:pPr>
      <w:r>
        <w:rPr>
          <w:rFonts w:ascii="Segoe UI Emoji" w:eastAsia="Segoe UI Emoji" w:hAnsi="Segoe UI Emoji" w:cs="Segoe UI Emoji"/>
          <w:color w:val="666666"/>
          <w:sz w:val="18"/>
        </w:rPr>
        <w:lastRenderedPageBreak/>
        <w:t>⚙️</w:t>
      </w:r>
      <w:r>
        <w:rPr>
          <w:rFonts w:ascii="Century Gothic" w:eastAsia="Century Gothic" w:hAnsi="Century Gothic" w:cs="Century Gothic"/>
          <w:b/>
          <w:color w:val="666666"/>
          <w:sz w:val="18"/>
        </w:rPr>
        <w:t xml:space="preserve"> NOTE TECHNIQUE - Importance critique de la préservation des </w:t>
      </w:r>
      <w:proofErr w:type="spellStart"/>
      <w:r>
        <w:rPr>
          <w:rFonts w:ascii="Century Gothic" w:eastAsia="Century Gothic" w:hAnsi="Century Gothic" w:cs="Century Gothic"/>
          <w:b/>
          <w:color w:val="666666"/>
          <w:sz w:val="18"/>
        </w:rPr>
        <w:t>raw</w:t>
      </w:r>
      <w:proofErr w:type="spellEnd"/>
      <w:r>
        <w:rPr>
          <w:rFonts w:ascii="Century Gothic" w:eastAsia="Century Gothic" w:hAnsi="Century Gothic" w:cs="Century Gothic"/>
          <w:b/>
          <w:color w:val="666666"/>
          <w:sz w:val="18"/>
        </w:rPr>
        <w:t xml:space="preserve"> </w:t>
      </w:r>
      <w:proofErr w:type="spellStart"/>
      <w:r>
        <w:rPr>
          <w:rFonts w:ascii="Century Gothic" w:eastAsia="Century Gothic" w:hAnsi="Century Gothic" w:cs="Century Gothic"/>
          <w:b/>
          <w:color w:val="666666"/>
          <w:sz w:val="18"/>
        </w:rPr>
        <w:t>counts</w:t>
      </w:r>
      <w:proofErr w:type="spellEnd"/>
      <w:r>
        <w:rPr>
          <w:rFonts w:ascii="Century Gothic" w:eastAsia="Century Gothic" w:hAnsi="Century Gothic" w:cs="Century Gothic"/>
          <w:b/>
          <w:color w:val="666666"/>
          <w:sz w:val="18"/>
        </w:rPr>
        <w:t xml:space="preserve"> </w:t>
      </w:r>
      <w:r>
        <w:rPr>
          <w:rFonts w:ascii="Century Gothic" w:eastAsia="Century Gothic" w:hAnsi="Century Gothic" w:cs="Century Gothic"/>
          <w:color w:val="666666"/>
          <w:sz w:val="18"/>
        </w:rPr>
        <w:t xml:space="preserve">DESeq2 (et toutes les méthodes d'analyse différentielle basées sur la loi binomiale négative) EXIGENT des comptages entiers bruts, NON normalisés et NON log-transformés. Pourquoi ? </w:t>
      </w:r>
    </w:p>
    <w:p w14:paraId="5DFAE1EC" w14:textId="77777777" w:rsidR="00121274" w:rsidRDefault="00000000" w:rsidP="00EF78CD">
      <w:pPr>
        <w:spacing w:after="0" w:line="240" w:lineRule="auto"/>
        <w:ind w:left="1441" w:right="0" w:firstLine="0"/>
        <w:jc w:val="left"/>
      </w:pPr>
      <w:r>
        <w:rPr>
          <w:rFonts w:ascii="Century Gothic" w:eastAsia="Century Gothic" w:hAnsi="Century Gothic" w:cs="Century Gothic"/>
          <w:color w:val="666666"/>
          <w:sz w:val="18"/>
        </w:rPr>
        <w:t xml:space="preserve"> </w:t>
      </w:r>
    </w:p>
    <w:p w14:paraId="7CBA0042" w14:textId="77777777" w:rsidR="00121274" w:rsidRDefault="00000000" w:rsidP="00EF78CD">
      <w:pPr>
        <w:spacing w:after="0" w:line="240" w:lineRule="auto"/>
        <w:ind w:left="1436" w:right="542"/>
        <w:jc w:val="left"/>
      </w:pPr>
      <w:r>
        <w:rPr>
          <w:rFonts w:ascii="Century Gothic" w:eastAsia="Century Gothic" w:hAnsi="Century Gothic" w:cs="Century Gothic"/>
          <w:color w:val="666666"/>
          <w:sz w:val="18"/>
        </w:rPr>
        <w:t xml:space="preserve">Le modèle statistique de DESeq2 modélise la distribution des comptages comme suit : Comptages ~ </w:t>
      </w:r>
      <w:proofErr w:type="spellStart"/>
      <w:r>
        <w:rPr>
          <w:rFonts w:ascii="Century Gothic" w:eastAsia="Century Gothic" w:hAnsi="Century Gothic" w:cs="Century Gothic"/>
          <w:color w:val="666666"/>
          <w:sz w:val="18"/>
        </w:rPr>
        <w:t>NegativeBinomial</w:t>
      </w:r>
      <w:proofErr w:type="spellEnd"/>
      <w:r>
        <w:rPr>
          <w:rFonts w:ascii="Century Gothic" w:eastAsia="Century Gothic" w:hAnsi="Century Gothic" w:cs="Century Gothic"/>
          <w:color w:val="666666"/>
          <w:sz w:val="18"/>
        </w:rPr>
        <w:t xml:space="preserve">(μ, dispersion) où μ dépend de la taille de la bibliothèque (size factor) et de l'expression du gène. </w:t>
      </w:r>
    </w:p>
    <w:p w14:paraId="06A8E8E7" w14:textId="77777777" w:rsidR="00121274" w:rsidRDefault="00000000" w:rsidP="00EF78CD">
      <w:pPr>
        <w:spacing w:after="0" w:line="240" w:lineRule="auto"/>
        <w:ind w:left="1441" w:right="0" w:firstLine="0"/>
        <w:jc w:val="left"/>
      </w:pPr>
      <w:r>
        <w:rPr>
          <w:rFonts w:ascii="Century Gothic" w:eastAsia="Century Gothic" w:hAnsi="Century Gothic" w:cs="Century Gothic"/>
          <w:color w:val="666666"/>
          <w:sz w:val="18"/>
        </w:rPr>
        <w:t xml:space="preserve"> </w:t>
      </w:r>
    </w:p>
    <w:p w14:paraId="18FBA263" w14:textId="77777777" w:rsidR="00121274" w:rsidRDefault="00000000" w:rsidP="00EF78CD">
      <w:pPr>
        <w:spacing w:after="0" w:line="240" w:lineRule="auto"/>
        <w:ind w:left="1436" w:right="0"/>
        <w:jc w:val="left"/>
      </w:pPr>
      <w:r>
        <w:rPr>
          <w:rFonts w:ascii="Century Gothic" w:eastAsia="Century Gothic" w:hAnsi="Century Gothic" w:cs="Century Gothic"/>
          <w:color w:val="666666"/>
          <w:sz w:val="18"/>
        </w:rPr>
        <w:t xml:space="preserve">Si on fournit des données déjà normalisées ou log-transformées, ce modèle est mathématiquement invalide (les valeurs ne sont plus des entiers, la variance n'est plus proportionnelle à la moyenne). Conséquence : Les p-values et les estimations de </w:t>
      </w:r>
      <w:proofErr w:type="spellStart"/>
      <w:r>
        <w:rPr>
          <w:rFonts w:ascii="Century Gothic" w:eastAsia="Century Gothic" w:hAnsi="Century Gothic" w:cs="Century Gothic"/>
          <w:color w:val="666666"/>
          <w:sz w:val="18"/>
        </w:rPr>
        <w:t>foldchange</w:t>
      </w:r>
      <w:proofErr w:type="spellEnd"/>
      <w:r>
        <w:rPr>
          <w:rFonts w:ascii="Century Gothic" w:eastAsia="Century Gothic" w:hAnsi="Century Gothic" w:cs="Century Gothic"/>
          <w:color w:val="666666"/>
          <w:sz w:val="18"/>
        </w:rPr>
        <w:t xml:space="preserve"> deviennent incorrectes. </w:t>
      </w:r>
    </w:p>
    <w:p w14:paraId="089179D9" w14:textId="77777777" w:rsidR="00121274" w:rsidRDefault="00000000" w:rsidP="00EF78CD">
      <w:pPr>
        <w:spacing w:after="0" w:line="240" w:lineRule="auto"/>
        <w:ind w:left="1441" w:right="0" w:firstLine="0"/>
        <w:jc w:val="left"/>
      </w:pPr>
      <w:r>
        <w:rPr>
          <w:rFonts w:ascii="Century Gothic" w:eastAsia="Century Gothic" w:hAnsi="Century Gothic" w:cs="Century Gothic"/>
          <w:color w:val="666666"/>
          <w:sz w:val="18"/>
        </w:rPr>
        <w:t xml:space="preserve"> </w:t>
      </w:r>
    </w:p>
    <w:p w14:paraId="4FFC310E" w14:textId="77777777" w:rsidR="00121274" w:rsidRDefault="00000000" w:rsidP="00EF78CD">
      <w:pPr>
        <w:spacing w:after="0" w:line="240" w:lineRule="auto"/>
        <w:ind w:left="1436" w:right="0"/>
        <w:jc w:val="left"/>
      </w:pPr>
      <w:r>
        <w:rPr>
          <w:rFonts w:ascii="Century Gothic" w:eastAsia="Century Gothic" w:hAnsi="Century Gothic" w:cs="Century Gothic"/>
          <w:color w:val="666666"/>
          <w:sz w:val="18"/>
        </w:rPr>
        <w:t xml:space="preserve">C'est pourquoi </w:t>
      </w:r>
      <w:proofErr w:type="spellStart"/>
      <w:r>
        <w:rPr>
          <w:rFonts w:ascii="Century Gothic" w:eastAsia="Century Gothic" w:hAnsi="Century Gothic" w:cs="Century Gothic"/>
          <w:color w:val="666666"/>
          <w:sz w:val="18"/>
        </w:rPr>
        <w:t>adata.layers</w:t>
      </w:r>
      <w:proofErr w:type="spellEnd"/>
      <w:r>
        <w:rPr>
          <w:rFonts w:ascii="Century Gothic" w:eastAsia="Century Gothic" w:hAnsi="Century Gothic" w:cs="Century Gothic"/>
          <w:color w:val="666666"/>
          <w:sz w:val="18"/>
        </w:rPr>
        <w:t>['</w:t>
      </w:r>
      <w:proofErr w:type="spellStart"/>
      <w:r>
        <w:rPr>
          <w:rFonts w:ascii="Century Gothic" w:eastAsia="Century Gothic" w:hAnsi="Century Gothic" w:cs="Century Gothic"/>
          <w:color w:val="666666"/>
          <w:sz w:val="18"/>
        </w:rPr>
        <w:t>counts</w:t>
      </w:r>
      <w:proofErr w:type="spellEnd"/>
      <w:r>
        <w:rPr>
          <w:rFonts w:ascii="Century Gothic" w:eastAsia="Century Gothic" w:hAnsi="Century Gothic" w:cs="Century Gothic"/>
          <w:color w:val="666666"/>
          <w:sz w:val="18"/>
        </w:rPr>
        <w:t>'] doit impérativement contenir les comptages bruts originaux.</w:t>
      </w:r>
      <w:r>
        <w:t xml:space="preserve"> </w:t>
      </w:r>
    </w:p>
    <w:p w14:paraId="18F2BAE8" w14:textId="77777777" w:rsidR="00121274" w:rsidRDefault="00000000" w:rsidP="00EF78CD">
      <w:pPr>
        <w:pStyle w:val="Titre2"/>
        <w:spacing w:after="0" w:line="240" w:lineRule="auto"/>
        <w:ind w:left="483" w:hanging="498"/>
      </w:pPr>
      <w:r>
        <w:t xml:space="preserve">Réduction de dimensionnalité et clustering </w:t>
      </w:r>
    </w:p>
    <w:p w14:paraId="32F9216F" w14:textId="75FC4E59" w:rsidR="00121274" w:rsidRDefault="00000000" w:rsidP="00EF78CD">
      <w:pPr>
        <w:tabs>
          <w:tab w:val="center" w:pos="2266"/>
          <w:tab w:val="center" w:pos="4308"/>
          <w:tab w:val="center" w:pos="6391"/>
          <w:tab w:val="center" w:pos="7940"/>
          <w:tab w:val="right" w:pos="9447"/>
        </w:tabs>
        <w:spacing w:after="0" w:line="240" w:lineRule="auto"/>
        <w:ind w:left="-15" w:right="0" w:firstLine="0"/>
        <w:jc w:val="left"/>
      </w:pPr>
      <w:r>
        <w:t xml:space="preserve">Réduction de dimensionnalité par PCA : </w:t>
      </w:r>
    </w:p>
    <w:p w14:paraId="1A848049" w14:textId="77777777" w:rsidR="00121274" w:rsidRDefault="00000000" w:rsidP="00EF78CD">
      <w:pPr>
        <w:spacing w:after="0" w:line="240" w:lineRule="auto"/>
        <w:ind w:left="-5" w:right="35"/>
      </w:pPr>
      <w:r>
        <w:t xml:space="preserve">Une Analyse en Composantes Principales (PCA) a été calculée sur les 2 000 </w:t>
      </w:r>
      <w:proofErr w:type="spellStart"/>
      <w:r>
        <w:t>HVGs</w:t>
      </w:r>
      <w:proofErr w:type="spellEnd"/>
      <w:r>
        <w:t xml:space="preserve"> (50 composantes principales, </w:t>
      </w:r>
      <w:proofErr w:type="spellStart"/>
      <w:r>
        <w:t>scanpy.tl.pca</w:t>
      </w:r>
      <w:proofErr w:type="spellEnd"/>
      <w:r>
        <w:t xml:space="preserve">). Les 30 premières </w:t>
      </w:r>
      <w:proofErr w:type="spellStart"/>
      <w:r>
        <w:t>PCs</w:t>
      </w:r>
      <w:proofErr w:type="spellEnd"/>
      <w:r>
        <w:t xml:space="preserve">, capturant la majorité de la variance biologique (Figure 4), ont été retenues pour les étapes suivantes. </w:t>
      </w:r>
    </w:p>
    <w:p w14:paraId="683A25A4" w14:textId="77777777" w:rsidR="00121274" w:rsidRDefault="00000000" w:rsidP="00EF78CD">
      <w:pPr>
        <w:spacing w:after="0" w:line="240" w:lineRule="auto"/>
        <w:ind w:left="0" w:right="0" w:firstLine="0"/>
        <w:jc w:val="left"/>
      </w:pPr>
      <w:r>
        <w:t xml:space="preserve"> </w:t>
      </w:r>
    </w:p>
    <w:p w14:paraId="19C2FC77" w14:textId="5C778D33" w:rsidR="00121274" w:rsidRDefault="00000000" w:rsidP="00EF78CD">
      <w:pPr>
        <w:tabs>
          <w:tab w:val="center" w:pos="2575"/>
          <w:tab w:val="center" w:pos="4232"/>
          <w:tab w:val="center" w:pos="5884"/>
          <w:tab w:val="center" w:pos="7668"/>
          <w:tab w:val="right" w:pos="9447"/>
        </w:tabs>
        <w:spacing w:after="0" w:line="240" w:lineRule="auto"/>
        <w:ind w:left="-15" w:right="0" w:firstLine="0"/>
        <w:jc w:val="left"/>
      </w:pPr>
      <w:r>
        <w:t xml:space="preserve">Construction du graphe de voisinage : </w:t>
      </w:r>
    </w:p>
    <w:p w14:paraId="685C2CAE" w14:textId="77777777" w:rsidR="00121274" w:rsidRDefault="00000000" w:rsidP="00EF78CD">
      <w:pPr>
        <w:spacing w:after="0" w:line="240" w:lineRule="auto"/>
        <w:ind w:left="-5" w:right="35"/>
      </w:pPr>
      <w:r>
        <w:t>Un graphe k-</w:t>
      </w:r>
      <w:proofErr w:type="spellStart"/>
      <w:r>
        <w:t>nearest</w:t>
      </w:r>
      <w:proofErr w:type="spellEnd"/>
      <w:r>
        <w:t xml:space="preserve"> </w:t>
      </w:r>
      <w:proofErr w:type="spellStart"/>
      <w:r>
        <w:t>neighbors</w:t>
      </w:r>
      <w:proofErr w:type="spellEnd"/>
      <w:r>
        <w:t xml:space="preserve"> (</w:t>
      </w:r>
      <w:proofErr w:type="spellStart"/>
      <w:r>
        <w:t>kNN</w:t>
      </w:r>
      <w:proofErr w:type="spellEnd"/>
      <w:r>
        <w:t>) a été construit dans l'espace PCA à 30 dimensions (</w:t>
      </w:r>
      <w:proofErr w:type="spellStart"/>
      <w:r>
        <w:t>scanpy.pp.neighbors</w:t>
      </w:r>
      <w:proofErr w:type="spellEnd"/>
      <w:r>
        <w:t xml:space="preserve">, </w:t>
      </w:r>
      <w:proofErr w:type="spellStart"/>
      <w:r>
        <w:t>n_neighbors</w:t>
      </w:r>
      <w:proofErr w:type="spellEnd"/>
      <w:r>
        <w:t xml:space="preserve">=15). Ce graphe représente la similarité transcriptomique entre noyaux : deux noyaux sont connectés s'ils figurent parmi les 15 voisins les plus proches l'un de l'autre. </w:t>
      </w:r>
    </w:p>
    <w:p w14:paraId="332B0C0B" w14:textId="77777777" w:rsidR="00121274" w:rsidRDefault="00000000" w:rsidP="00EF78CD">
      <w:pPr>
        <w:spacing w:after="0" w:line="240" w:lineRule="auto"/>
        <w:ind w:left="0" w:right="0" w:firstLine="0"/>
        <w:jc w:val="left"/>
      </w:pPr>
      <w:r>
        <w:t xml:space="preserve"> </w:t>
      </w:r>
    </w:p>
    <w:p w14:paraId="1579CD01" w14:textId="0C42E24E" w:rsidR="00121274" w:rsidRDefault="00000000" w:rsidP="00EF78CD">
      <w:pPr>
        <w:tabs>
          <w:tab w:val="center" w:pos="5169"/>
          <w:tab w:val="right" w:pos="9447"/>
        </w:tabs>
        <w:spacing w:after="0" w:line="240" w:lineRule="auto"/>
        <w:ind w:left="-15" w:right="0" w:firstLine="0"/>
        <w:jc w:val="left"/>
      </w:pPr>
      <w:r>
        <w:t xml:space="preserve">Clustering Leiden : </w:t>
      </w:r>
    </w:p>
    <w:p w14:paraId="7CBA4C04" w14:textId="77777777" w:rsidR="00121274" w:rsidRDefault="00000000" w:rsidP="00EF78CD">
      <w:pPr>
        <w:spacing w:after="0" w:line="240" w:lineRule="auto"/>
        <w:ind w:left="-5" w:right="35"/>
      </w:pPr>
      <w:r>
        <w:t xml:space="preserve">L'algorithme de détection de communautés Leiden (résolution=0.5, </w:t>
      </w:r>
      <w:proofErr w:type="spellStart"/>
      <w:r>
        <w:t>scanpy.tl.leiden</w:t>
      </w:r>
      <w:proofErr w:type="spellEnd"/>
      <w:r>
        <w:t xml:space="preserve">) a été appliqué au graphe de voisinage pour partitionner les 62 800 noyaux en 23 clusters initiaux. Chaque cluster représente un groupe de noyaux </w:t>
      </w:r>
      <w:proofErr w:type="spellStart"/>
      <w:r>
        <w:t>transcriptomiquement</w:t>
      </w:r>
      <w:proofErr w:type="spellEnd"/>
      <w:r>
        <w:t xml:space="preserve"> homogènes, potentiellement correspondant à un type/sous-type cellulaire ou à un état fonctionnel distinct. </w:t>
      </w:r>
    </w:p>
    <w:p w14:paraId="12033F8D" w14:textId="77777777" w:rsidR="00121274" w:rsidRDefault="00000000" w:rsidP="00EF78CD">
      <w:pPr>
        <w:spacing w:after="0" w:line="240" w:lineRule="auto"/>
        <w:ind w:left="0" w:right="0" w:firstLine="0"/>
        <w:jc w:val="left"/>
      </w:pPr>
      <w:r>
        <w:t xml:space="preserve"> </w:t>
      </w:r>
    </w:p>
    <w:p w14:paraId="21A9AEB6" w14:textId="345340FD" w:rsidR="00121274" w:rsidRDefault="00000000" w:rsidP="00EF78CD">
      <w:pPr>
        <w:tabs>
          <w:tab w:val="center" w:pos="5301"/>
          <w:tab w:val="right" w:pos="9447"/>
        </w:tabs>
        <w:spacing w:after="0" w:line="240" w:lineRule="auto"/>
        <w:ind w:left="-15" w:right="0" w:firstLine="0"/>
        <w:jc w:val="left"/>
      </w:pPr>
      <w:r>
        <w:t xml:space="preserve">Visualisation UMAP : </w:t>
      </w:r>
    </w:p>
    <w:p w14:paraId="05A02F39" w14:textId="77777777" w:rsidR="00121274" w:rsidRDefault="00000000" w:rsidP="00EF78CD">
      <w:pPr>
        <w:spacing w:after="0" w:line="240" w:lineRule="auto"/>
        <w:ind w:left="-5" w:right="35"/>
      </w:pPr>
      <w:r>
        <w:t xml:space="preserve">Une projection UMAP (Uniform Manifold Approximation and Projection, </w:t>
      </w:r>
      <w:proofErr w:type="spellStart"/>
      <w:r>
        <w:t>scanpy.tl.umap</w:t>
      </w:r>
      <w:proofErr w:type="spellEnd"/>
      <w:r>
        <w:t xml:space="preserve">) a été générée pour visualiser la structure globale du dataset en 2 dimensions (Figure 5). </w:t>
      </w:r>
    </w:p>
    <w:p w14:paraId="6D404C89" w14:textId="77777777" w:rsidR="00121274" w:rsidRDefault="00000000" w:rsidP="00EF78CD">
      <w:pPr>
        <w:spacing w:after="0" w:line="240" w:lineRule="auto"/>
        <w:ind w:left="24" w:right="0" w:firstLine="0"/>
        <w:jc w:val="center"/>
      </w:pPr>
      <w:r>
        <w:t xml:space="preserve"> </w:t>
      </w:r>
    </w:p>
    <w:p w14:paraId="56C511C3" w14:textId="77777777" w:rsidR="00121274" w:rsidRDefault="00000000" w:rsidP="00EF78CD">
      <w:pPr>
        <w:pStyle w:val="Titre2"/>
        <w:spacing w:after="0" w:line="240" w:lineRule="auto"/>
        <w:ind w:left="483" w:hanging="498"/>
      </w:pPr>
      <w:r>
        <w:t xml:space="preserve">Annotation des types cellulaires </w:t>
      </w:r>
    </w:p>
    <w:p w14:paraId="6147588E" w14:textId="77777777" w:rsidR="00121274" w:rsidRDefault="00000000" w:rsidP="00EF78CD">
      <w:pPr>
        <w:spacing w:after="0" w:line="240" w:lineRule="auto"/>
        <w:ind w:left="-5" w:right="35"/>
      </w:pPr>
      <w:r>
        <w:t xml:space="preserve">Les 23 clusters Leiden ont été annotés manuellement en 8 macro-types cellulaires basés sur l'expression de marqueurs canoniques de la littérature (Tableau 2). Cette annotation a été réalisée via l'inspection des gènes différentiellement exprimés par cluster (test de Wilcoxon, </w:t>
      </w:r>
      <w:proofErr w:type="spellStart"/>
      <w:r>
        <w:t>scanpy.tl.rank_genes_groups</w:t>
      </w:r>
      <w:proofErr w:type="spellEnd"/>
      <w:r>
        <w:t>) et comparée aux atlas de référence (</w:t>
      </w:r>
      <w:proofErr w:type="spellStart"/>
      <w:r>
        <w:t>PanglaoDB</w:t>
      </w:r>
      <w:proofErr w:type="spellEnd"/>
      <w:r>
        <w:t xml:space="preserve">, </w:t>
      </w:r>
      <w:proofErr w:type="spellStart"/>
      <w:r>
        <w:t>CellMarker</w:t>
      </w:r>
      <w:proofErr w:type="spellEnd"/>
      <w:r>
        <w:t xml:space="preserve">). </w:t>
      </w:r>
    </w:p>
    <w:tbl>
      <w:tblPr>
        <w:tblStyle w:val="TableGrid"/>
        <w:tblW w:w="9620" w:type="dxa"/>
        <w:tblInd w:w="-105" w:type="dxa"/>
        <w:tblCellMar>
          <w:top w:w="56" w:type="dxa"/>
          <w:left w:w="105" w:type="dxa"/>
          <w:right w:w="50" w:type="dxa"/>
        </w:tblCellMar>
        <w:tblLook w:val="04A0" w:firstRow="1" w:lastRow="0" w:firstColumn="1" w:lastColumn="0" w:noHBand="0" w:noVBand="1"/>
      </w:tblPr>
      <w:tblGrid>
        <w:gridCol w:w="2749"/>
        <w:gridCol w:w="2292"/>
        <w:gridCol w:w="2285"/>
        <w:gridCol w:w="2294"/>
      </w:tblGrid>
      <w:tr w:rsidR="00121274" w14:paraId="19F87608" w14:textId="77777777">
        <w:trPr>
          <w:trHeight w:val="544"/>
        </w:trPr>
        <w:tc>
          <w:tcPr>
            <w:tcW w:w="2749" w:type="dxa"/>
            <w:tcBorders>
              <w:top w:val="single" w:sz="8" w:space="0" w:color="4F81BD"/>
              <w:left w:val="single" w:sz="8" w:space="0" w:color="4F81BD"/>
              <w:bottom w:val="single" w:sz="18" w:space="0" w:color="4F81BD"/>
              <w:right w:val="single" w:sz="8" w:space="0" w:color="4F81BD"/>
            </w:tcBorders>
          </w:tcPr>
          <w:p w14:paraId="091D1CF3" w14:textId="77777777" w:rsidR="00121274" w:rsidRDefault="00000000" w:rsidP="00EF78CD">
            <w:pPr>
              <w:spacing w:after="0" w:line="240" w:lineRule="auto"/>
              <w:ind w:left="0" w:right="0" w:firstLine="0"/>
              <w:jc w:val="left"/>
            </w:pPr>
            <w:r>
              <w:rPr>
                <w:b/>
                <w:sz w:val="22"/>
              </w:rPr>
              <w:t>Macro-type cellulaire</w:t>
            </w:r>
            <w:r>
              <w:rPr>
                <w:b/>
              </w:rPr>
              <w:t xml:space="preserve"> </w:t>
            </w:r>
          </w:p>
        </w:tc>
        <w:tc>
          <w:tcPr>
            <w:tcW w:w="2292" w:type="dxa"/>
            <w:tcBorders>
              <w:top w:val="single" w:sz="8" w:space="0" w:color="4F81BD"/>
              <w:left w:val="single" w:sz="8" w:space="0" w:color="4F81BD"/>
              <w:bottom w:val="single" w:sz="18" w:space="0" w:color="4F81BD"/>
              <w:right w:val="single" w:sz="8" w:space="0" w:color="4F81BD"/>
            </w:tcBorders>
          </w:tcPr>
          <w:p w14:paraId="3CEC5631" w14:textId="77777777" w:rsidR="00121274" w:rsidRDefault="00000000" w:rsidP="00EF78CD">
            <w:pPr>
              <w:spacing w:after="0" w:line="240" w:lineRule="auto"/>
              <w:ind w:left="0" w:right="0" w:firstLine="0"/>
              <w:jc w:val="left"/>
            </w:pPr>
            <w:r>
              <w:rPr>
                <w:b/>
                <w:sz w:val="22"/>
              </w:rPr>
              <w:t>Clusters Leiden</w:t>
            </w:r>
            <w:r>
              <w:rPr>
                <w:b/>
              </w:rPr>
              <w:t xml:space="preserve"> </w:t>
            </w:r>
          </w:p>
        </w:tc>
        <w:tc>
          <w:tcPr>
            <w:tcW w:w="2285" w:type="dxa"/>
            <w:tcBorders>
              <w:top w:val="single" w:sz="8" w:space="0" w:color="4F81BD"/>
              <w:left w:val="single" w:sz="8" w:space="0" w:color="4F81BD"/>
              <w:bottom w:val="single" w:sz="18" w:space="0" w:color="4F81BD"/>
              <w:right w:val="single" w:sz="8" w:space="0" w:color="4F81BD"/>
            </w:tcBorders>
          </w:tcPr>
          <w:p w14:paraId="51B36D51" w14:textId="77777777" w:rsidR="00121274" w:rsidRDefault="00000000" w:rsidP="00EF78CD">
            <w:pPr>
              <w:spacing w:after="0" w:line="240" w:lineRule="auto"/>
              <w:ind w:left="5" w:right="0" w:firstLine="0"/>
              <w:jc w:val="left"/>
            </w:pPr>
            <w:r>
              <w:rPr>
                <w:b/>
                <w:sz w:val="22"/>
              </w:rPr>
              <w:t>N Noyaux (%)</w:t>
            </w:r>
            <w:r>
              <w:rPr>
                <w:b/>
              </w:rPr>
              <w:t xml:space="preserve"> </w:t>
            </w:r>
          </w:p>
        </w:tc>
        <w:tc>
          <w:tcPr>
            <w:tcW w:w="2294" w:type="dxa"/>
            <w:tcBorders>
              <w:top w:val="single" w:sz="8" w:space="0" w:color="4F81BD"/>
              <w:left w:val="single" w:sz="8" w:space="0" w:color="4F81BD"/>
              <w:bottom w:val="single" w:sz="18" w:space="0" w:color="4F81BD"/>
              <w:right w:val="single" w:sz="8" w:space="0" w:color="4F81BD"/>
            </w:tcBorders>
          </w:tcPr>
          <w:p w14:paraId="6B759C42" w14:textId="77777777" w:rsidR="00121274" w:rsidRDefault="00000000" w:rsidP="00EF78CD">
            <w:pPr>
              <w:spacing w:after="0" w:line="240" w:lineRule="auto"/>
              <w:ind w:left="0" w:right="0" w:firstLine="0"/>
              <w:jc w:val="left"/>
            </w:pPr>
            <w:r>
              <w:rPr>
                <w:b/>
                <w:sz w:val="22"/>
              </w:rPr>
              <w:t>Marqueurs canoniques</w:t>
            </w:r>
            <w:r>
              <w:rPr>
                <w:b/>
              </w:rPr>
              <w:t xml:space="preserve"> </w:t>
            </w:r>
          </w:p>
        </w:tc>
      </w:tr>
      <w:tr w:rsidR="00121274" w14:paraId="560483C3" w14:textId="77777777">
        <w:trPr>
          <w:trHeight w:val="530"/>
        </w:trPr>
        <w:tc>
          <w:tcPr>
            <w:tcW w:w="2749" w:type="dxa"/>
            <w:tcBorders>
              <w:top w:val="single" w:sz="18" w:space="0" w:color="4F81BD"/>
              <w:left w:val="single" w:sz="8" w:space="0" w:color="4F81BD"/>
              <w:bottom w:val="single" w:sz="8" w:space="0" w:color="4F81BD"/>
              <w:right w:val="single" w:sz="8" w:space="0" w:color="4F81BD"/>
            </w:tcBorders>
            <w:shd w:val="clear" w:color="auto" w:fill="D3DFEE"/>
          </w:tcPr>
          <w:p w14:paraId="6BD4D3AA" w14:textId="77777777" w:rsidR="00121274" w:rsidRDefault="00000000" w:rsidP="00EF78CD">
            <w:pPr>
              <w:spacing w:after="0" w:line="240" w:lineRule="auto"/>
              <w:ind w:left="0" w:right="0" w:firstLine="0"/>
              <w:jc w:val="left"/>
            </w:pPr>
            <w:r>
              <w:rPr>
                <w:b/>
                <w:sz w:val="22"/>
              </w:rPr>
              <w:t>Neurones excitateurs</w:t>
            </w:r>
            <w:r>
              <w:rPr>
                <w:b/>
              </w:rPr>
              <w:t xml:space="preserve"> </w:t>
            </w:r>
          </w:p>
        </w:tc>
        <w:tc>
          <w:tcPr>
            <w:tcW w:w="2292" w:type="dxa"/>
            <w:tcBorders>
              <w:top w:val="single" w:sz="18" w:space="0" w:color="4F81BD"/>
              <w:left w:val="single" w:sz="8" w:space="0" w:color="4F81BD"/>
              <w:bottom w:val="single" w:sz="8" w:space="0" w:color="4F81BD"/>
              <w:right w:val="single" w:sz="8" w:space="0" w:color="4F81BD"/>
            </w:tcBorders>
            <w:shd w:val="clear" w:color="auto" w:fill="D3DFEE"/>
          </w:tcPr>
          <w:p w14:paraId="5EC91AE4" w14:textId="77777777" w:rsidR="00121274" w:rsidRDefault="00000000" w:rsidP="00EF78CD">
            <w:pPr>
              <w:spacing w:after="0" w:line="240" w:lineRule="auto"/>
              <w:ind w:left="0" w:right="0" w:firstLine="0"/>
              <w:jc w:val="left"/>
            </w:pPr>
            <w:r>
              <w:rPr>
                <w:sz w:val="22"/>
              </w:rPr>
              <w:t>0, 2, 8, 11, 13, 16, 19</w:t>
            </w:r>
            <w:r>
              <w:t xml:space="preserve"> </w:t>
            </w:r>
          </w:p>
        </w:tc>
        <w:tc>
          <w:tcPr>
            <w:tcW w:w="2285" w:type="dxa"/>
            <w:tcBorders>
              <w:top w:val="single" w:sz="18" w:space="0" w:color="4F81BD"/>
              <w:left w:val="single" w:sz="8" w:space="0" w:color="4F81BD"/>
              <w:bottom w:val="single" w:sz="8" w:space="0" w:color="4F81BD"/>
              <w:right w:val="single" w:sz="8" w:space="0" w:color="4F81BD"/>
            </w:tcBorders>
            <w:shd w:val="clear" w:color="auto" w:fill="D3DFEE"/>
          </w:tcPr>
          <w:p w14:paraId="641979AA" w14:textId="77777777" w:rsidR="00121274" w:rsidRDefault="00000000" w:rsidP="00EF78CD">
            <w:pPr>
              <w:spacing w:after="0" w:line="240" w:lineRule="auto"/>
              <w:ind w:left="5" w:right="0" w:firstLine="0"/>
              <w:jc w:val="left"/>
            </w:pPr>
            <w:r>
              <w:rPr>
                <w:sz w:val="22"/>
              </w:rPr>
              <w:t>22 769 (36,3%)</w:t>
            </w:r>
            <w:r>
              <w:t xml:space="preserve"> </w:t>
            </w:r>
          </w:p>
        </w:tc>
        <w:tc>
          <w:tcPr>
            <w:tcW w:w="2294" w:type="dxa"/>
            <w:tcBorders>
              <w:top w:val="single" w:sz="18" w:space="0" w:color="4F81BD"/>
              <w:left w:val="single" w:sz="8" w:space="0" w:color="4F81BD"/>
              <w:bottom w:val="single" w:sz="8" w:space="0" w:color="4F81BD"/>
              <w:right w:val="single" w:sz="8" w:space="0" w:color="4F81BD"/>
            </w:tcBorders>
            <w:shd w:val="clear" w:color="auto" w:fill="D3DFEE"/>
          </w:tcPr>
          <w:p w14:paraId="405D4A9F" w14:textId="78F105D8" w:rsidR="00121274" w:rsidRDefault="00000000" w:rsidP="00EF78CD">
            <w:pPr>
              <w:spacing w:after="0" w:line="240" w:lineRule="auto"/>
              <w:ind w:left="0" w:right="0" w:firstLine="0"/>
              <w:jc w:val="left"/>
            </w:pPr>
            <w:r>
              <w:rPr>
                <w:sz w:val="22"/>
              </w:rPr>
              <w:t>SLC17A7, SATB2, TBR1</w:t>
            </w:r>
            <w:r>
              <w:t xml:space="preserve"> </w:t>
            </w:r>
          </w:p>
        </w:tc>
      </w:tr>
      <w:tr w:rsidR="00121274" w:rsidRPr="003F5132" w14:paraId="232595E2" w14:textId="77777777">
        <w:trPr>
          <w:trHeight w:val="533"/>
        </w:trPr>
        <w:tc>
          <w:tcPr>
            <w:tcW w:w="2749" w:type="dxa"/>
            <w:tcBorders>
              <w:top w:val="single" w:sz="8" w:space="0" w:color="4F81BD"/>
              <w:left w:val="single" w:sz="8" w:space="0" w:color="4F81BD"/>
              <w:bottom w:val="single" w:sz="8" w:space="0" w:color="4F81BD"/>
              <w:right w:val="single" w:sz="8" w:space="0" w:color="4F81BD"/>
            </w:tcBorders>
          </w:tcPr>
          <w:p w14:paraId="063FAD0E" w14:textId="77777777" w:rsidR="00121274" w:rsidRDefault="00000000" w:rsidP="00EF78CD">
            <w:pPr>
              <w:spacing w:after="0" w:line="240" w:lineRule="auto"/>
              <w:ind w:left="0" w:right="0" w:firstLine="0"/>
              <w:jc w:val="left"/>
            </w:pPr>
            <w:r>
              <w:rPr>
                <w:b/>
                <w:sz w:val="22"/>
              </w:rPr>
              <w:t>Neurones inhibiteurs</w:t>
            </w:r>
            <w:r>
              <w:rPr>
                <w:b/>
              </w:rPr>
              <w:t xml:space="preserve"> </w:t>
            </w:r>
          </w:p>
        </w:tc>
        <w:tc>
          <w:tcPr>
            <w:tcW w:w="2292" w:type="dxa"/>
            <w:tcBorders>
              <w:top w:val="single" w:sz="8" w:space="0" w:color="4F81BD"/>
              <w:left w:val="single" w:sz="8" w:space="0" w:color="4F81BD"/>
              <w:bottom w:val="single" w:sz="8" w:space="0" w:color="4F81BD"/>
              <w:right w:val="single" w:sz="8" w:space="0" w:color="4F81BD"/>
            </w:tcBorders>
          </w:tcPr>
          <w:p w14:paraId="53DEA410" w14:textId="77777777" w:rsidR="00121274" w:rsidRDefault="00000000" w:rsidP="00EF78CD">
            <w:pPr>
              <w:spacing w:after="0" w:line="240" w:lineRule="auto"/>
              <w:ind w:left="0" w:right="0" w:firstLine="0"/>
              <w:jc w:val="left"/>
            </w:pPr>
            <w:r>
              <w:rPr>
                <w:sz w:val="22"/>
              </w:rPr>
              <w:t>1, 7, 12, 20</w:t>
            </w:r>
            <w:r>
              <w:t xml:space="preserve"> </w:t>
            </w:r>
          </w:p>
        </w:tc>
        <w:tc>
          <w:tcPr>
            <w:tcW w:w="2285" w:type="dxa"/>
            <w:tcBorders>
              <w:top w:val="single" w:sz="8" w:space="0" w:color="4F81BD"/>
              <w:left w:val="single" w:sz="8" w:space="0" w:color="4F81BD"/>
              <w:bottom w:val="single" w:sz="8" w:space="0" w:color="4F81BD"/>
              <w:right w:val="single" w:sz="8" w:space="0" w:color="4F81BD"/>
            </w:tcBorders>
          </w:tcPr>
          <w:p w14:paraId="1F48D993" w14:textId="77777777" w:rsidR="00121274" w:rsidRDefault="00000000" w:rsidP="00EF78CD">
            <w:pPr>
              <w:spacing w:after="0" w:line="240" w:lineRule="auto"/>
              <w:ind w:left="5" w:right="0" w:firstLine="0"/>
              <w:jc w:val="left"/>
            </w:pPr>
            <w:r>
              <w:rPr>
                <w:sz w:val="22"/>
              </w:rPr>
              <w:t>13 028 (20,7%)</w:t>
            </w:r>
            <w:r>
              <w:t xml:space="preserve"> </w:t>
            </w:r>
          </w:p>
        </w:tc>
        <w:tc>
          <w:tcPr>
            <w:tcW w:w="2294" w:type="dxa"/>
            <w:tcBorders>
              <w:top w:val="single" w:sz="8" w:space="0" w:color="4F81BD"/>
              <w:left w:val="single" w:sz="8" w:space="0" w:color="4F81BD"/>
              <w:bottom w:val="single" w:sz="8" w:space="0" w:color="4F81BD"/>
              <w:right w:val="single" w:sz="8" w:space="0" w:color="4F81BD"/>
            </w:tcBorders>
          </w:tcPr>
          <w:p w14:paraId="48CF951F" w14:textId="517A2ACD" w:rsidR="00121274" w:rsidRPr="002434EB" w:rsidRDefault="00000000" w:rsidP="00EF78CD">
            <w:pPr>
              <w:tabs>
                <w:tab w:val="right" w:pos="2139"/>
              </w:tabs>
              <w:spacing w:after="0" w:line="240" w:lineRule="auto"/>
              <w:ind w:left="0" w:right="0" w:firstLine="0"/>
              <w:jc w:val="left"/>
              <w:rPr>
                <w:lang w:val="en-US"/>
              </w:rPr>
            </w:pPr>
            <w:r w:rsidRPr="002434EB">
              <w:rPr>
                <w:sz w:val="22"/>
                <w:lang w:val="en-US"/>
              </w:rPr>
              <w:t xml:space="preserve">GAD1, GAD2, </w:t>
            </w:r>
          </w:p>
          <w:p w14:paraId="5E98B35B" w14:textId="77777777" w:rsidR="00121274" w:rsidRPr="002434EB" w:rsidRDefault="00000000" w:rsidP="00EF78CD">
            <w:pPr>
              <w:spacing w:after="0" w:line="240" w:lineRule="auto"/>
              <w:ind w:left="0" w:right="0" w:firstLine="0"/>
              <w:jc w:val="left"/>
              <w:rPr>
                <w:lang w:val="en-US"/>
              </w:rPr>
            </w:pPr>
            <w:r w:rsidRPr="002434EB">
              <w:rPr>
                <w:sz w:val="22"/>
                <w:lang w:val="en-US"/>
              </w:rPr>
              <w:t>PVALB, SST, VIP</w:t>
            </w:r>
            <w:r w:rsidRPr="002434EB">
              <w:rPr>
                <w:lang w:val="en-US"/>
              </w:rPr>
              <w:t xml:space="preserve"> </w:t>
            </w:r>
          </w:p>
        </w:tc>
      </w:tr>
      <w:tr w:rsidR="00121274" w14:paraId="4E6D1C5F" w14:textId="77777777">
        <w:trPr>
          <w:trHeight w:val="519"/>
        </w:trPr>
        <w:tc>
          <w:tcPr>
            <w:tcW w:w="2749" w:type="dxa"/>
            <w:tcBorders>
              <w:top w:val="single" w:sz="8" w:space="0" w:color="4F81BD"/>
              <w:left w:val="single" w:sz="8" w:space="0" w:color="4F81BD"/>
              <w:bottom w:val="single" w:sz="8" w:space="0" w:color="4F81BD"/>
              <w:right w:val="single" w:sz="8" w:space="0" w:color="4F81BD"/>
            </w:tcBorders>
            <w:shd w:val="clear" w:color="auto" w:fill="D3DFEE"/>
          </w:tcPr>
          <w:p w14:paraId="73F3C12F" w14:textId="77777777" w:rsidR="00121274" w:rsidRDefault="00000000" w:rsidP="00EF78CD">
            <w:pPr>
              <w:spacing w:after="0" w:line="240" w:lineRule="auto"/>
              <w:ind w:left="0" w:right="0" w:firstLine="0"/>
              <w:jc w:val="left"/>
            </w:pPr>
            <w:r>
              <w:rPr>
                <w:b/>
                <w:sz w:val="22"/>
              </w:rPr>
              <w:lastRenderedPageBreak/>
              <w:t>Oligodendrocytes/OPC</w:t>
            </w:r>
            <w:r>
              <w:rPr>
                <w:b/>
              </w:rPr>
              <w:t xml:space="preserve"> </w:t>
            </w:r>
          </w:p>
        </w:tc>
        <w:tc>
          <w:tcPr>
            <w:tcW w:w="2292" w:type="dxa"/>
            <w:tcBorders>
              <w:top w:val="single" w:sz="8" w:space="0" w:color="4F81BD"/>
              <w:left w:val="single" w:sz="8" w:space="0" w:color="4F81BD"/>
              <w:bottom w:val="single" w:sz="8" w:space="0" w:color="4F81BD"/>
              <w:right w:val="single" w:sz="8" w:space="0" w:color="4F81BD"/>
            </w:tcBorders>
            <w:shd w:val="clear" w:color="auto" w:fill="D3DFEE"/>
          </w:tcPr>
          <w:p w14:paraId="69473037" w14:textId="77777777" w:rsidR="00121274" w:rsidRDefault="00000000" w:rsidP="00EF78CD">
            <w:pPr>
              <w:spacing w:after="0" w:line="240" w:lineRule="auto"/>
              <w:ind w:left="0" w:right="0" w:firstLine="0"/>
              <w:jc w:val="left"/>
            </w:pPr>
            <w:r>
              <w:rPr>
                <w:sz w:val="22"/>
              </w:rPr>
              <w:t>3, 6, 14</w:t>
            </w:r>
            <w:r>
              <w:t xml:space="preserve"> </w:t>
            </w:r>
          </w:p>
        </w:tc>
        <w:tc>
          <w:tcPr>
            <w:tcW w:w="2285" w:type="dxa"/>
            <w:tcBorders>
              <w:top w:val="single" w:sz="8" w:space="0" w:color="4F81BD"/>
              <w:left w:val="single" w:sz="8" w:space="0" w:color="4F81BD"/>
              <w:bottom w:val="single" w:sz="8" w:space="0" w:color="4F81BD"/>
              <w:right w:val="single" w:sz="8" w:space="0" w:color="4F81BD"/>
            </w:tcBorders>
            <w:shd w:val="clear" w:color="auto" w:fill="D3DFEE"/>
          </w:tcPr>
          <w:p w14:paraId="6B11AFD4" w14:textId="77777777" w:rsidR="00121274" w:rsidRDefault="00000000" w:rsidP="00EF78CD">
            <w:pPr>
              <w:spacing w:after="0" w:line="240" w:lineRule="auto"/>
              <w:ind w:left="5" w:right="0" w:firstLine="0"/>
              <w:jc w:val="left"/>
            </w:pPr>
            <w:r>
              <w:rPr>
                <w:sz w:val="22"/>
              </w:rPr>
              <w:t>9 696 (15,4%)</w:t>
            </w:r>
            <w:r>
              <w:t xml:space="preserve"> </w:t>
            </w:r>
          </w:p>
        </w:tc>
        <w:tc>
          <w:tcPr>
            <w:tcW w:w="2294" w:type="dxa"/>
            <w:tcBorders>
              <w:top w:val="single" w:sz="8" w:space="0" w:color="4F81BD"/>
              <w:left w:val="single" w:sz="8" w:space="0" w:color="4F81BD"/>
              <w:bottom w:val="single" w:sz="8" w:space="0" w:color="4F81BD"/>
              <w:right w:val="single" w:sz="8" w:space="0" w:color="4F81BD"/>
            </w:tcBorders>
            <w:shd w:val="clear" w:color="auto" w:fill="D3DFEE"/>
          </w:tcPr>
          <w:p w14:paraId="20934FE7" w14:textId="77777777" w:rsidR="00121274" w:rsidRDefault="00000000" w:rsidP="00EF78CD">
            <w:pPr>
              <w:spacing w:after="0" w:line="240" w:lineRule="auto"/>
              <w:ind w:left="0" w:right="0" w:firstLine="0"/>
              <w:jc w:val="left"/>
            </w:pPr>
            <w:r>
              <w:rPr>
                <w:sz w:val="22"/>
              </w:rPr>
              <w:t>MBP, MOG, OLIG1, PDGFRA</w:t>
            </w:r>
            <w:r>
              <w:t xml:space="preserve"> </w:t>
            </w:r>
          </w:p>
        </w:tc>
      </w:tr>
      <w:tr w:rsidR="00121274" w14:paraId="2054DC16" w14:textId="77777777">
        <w:trPr>
          <w:trHeight w:val="530"/>
        </w:trPr>
        <w:tc>
          <w:tcPr>
            <w:tcW w:w="2749" w:type="dxa"/>
            <w:tcBorders>
              <w:top w:val="single" w:sz="8" w:space="0" w:color="4F81BD"/>
              <w:left w:val="single" w:sz="8" w:space="0" w:color="4F81BD"/>
              <w:bottom w:val="single" w:sz="8" w:space="0" w:color="4F81BD"/>
              <w:right w:val="single" w:sz="8" w:space="0" w:color="4F81BD"/>
            </w:tcBorders>
          </w:tcPr>
          <w:p w14:paraId="4AE63EFB" w14:textId="77777777" w:rsidR="00121274" w:rsidRDefault="00000000" w:rsidP="00EF78CD">
            <w:pPr>
              <w:spacing w:after="0" w:line="240" w:lineRule="auto"/>
              <w:ind w:left="0" w:right="0" w:firstLine="0"/>
              <w:jc w:val="left"/>
            </w:pPr>
            <w:r>
              <w:rPr>
                <w:b/>
                <w:sz w:val="22"/>
              </w:rPr>
              <w:t xml:space="preserve">Astrocytes </w:t>
            </w:r>
          </w:p>
          <w:p w14:paraId="7E0AEE2F" w14:textId="77777777" w:rsidR="00121274" w:rsidRDefault="00000000" w:rsidP="00EF78CD">
            <w:pPr>
              <w:spacing w:after="0" w:line="240" w:lineRule="auto"/>
              <w:ind w:left="0" w:right="0" w:firstLine="0"/>
              <w:jc w:val="left"/>
            </w:pPr>
            <w:r>
              <w:rPr>
                <w:b/>
                <w:sz w:val="22"/>
              </w:rPr>
              <w:t>Homéostatiques</w:t>
            </w:r>
            <w:r>
              <w:rPr>
                <w:b/>
              </w:rPr>
              <w:t xml:space="preserve"> </w:t>
            </w:r>
          </w:p>
        </w:tc>
        <w:tc>
          <w:tcPr>
            <w:tcW w:w="2292" w:type="dxa"/>
            <w:tcBorders>
              <w:top w:val="single" w:sz="8" w:space="0" w:color="4F81BD"/>
              <w:left w:val="single" w:sz="8" w:space="0" w:color="4F81BD"/>
              <w:bottom w:val="single" w:sz="8" w:space="0" w:color="4F81BD"/>
              <w:right w:val="single" w:sz="8" w:space="0" w:color="4F81BD"/>
            </w:tcBorders>
          </w:tcPr>
          <w:p w14:paraId="04607A76" w14:textId="77777777" w:rsidR="00121274" w:rsidRDefault="00000000" w:rsidP="00EF78CD">
            <w:pPr>
              <w:spacing w:after="0" w:line="240" w:lineRule="auto"/>
              <w:ind w:left="0" w:right="0" w:firstLine="0"/>
              <w:jc w:val="left"/>
            </w:pPr>
            <w:r>
              <w:rPr>
                <w:sz w:val="22"/>
              </w:rPr>
              <w:t>4</w:t>
            </w:r>
            <w:r>
              <w:t xml:space="preserve"> </w:t>
            </w:r>
          </w:p>
        </w:tc>
        <w:tc>
          <w:tcPr>
            <w:tcW w:w="2285" w:type="dxa"/>
            <w:tcBorders>
              <w:top w:val="single" w:sz="8" w:space="0" w:color="4F81BD"/>
              <w:left w:val="single" w:sz="8" w:space="0" w:color="4F81BD"/>
              <w:bottom w:val="single" w:sz="8" w:space="0" w:color="4F81BD"/>
              <w:right w:val="single" w:sz="8" w:space="0" w:color="4F81BD"/>
            </w:tcBorders>
          </w:tcPr>
          <w:p w14:paraId="0446BE3D" w14:textId="77777777" w:rsidR="00121274" w:rsidRDefault="00000000" w:rsidP="00EF78CD">
            <w:pPr>
              <w:spacing w:after="0" w:line="240" w:lineRule="auto"/>
              <w:ind w:left="5" w:right="0" w:firstLine="0"/>
              <w:jc w:val="left"/>
            </w:pPr>
            <w:r>
              <w:rPr>
                <w:sz w:val="22"/>
              </w:rPr>
              <w:t>4 752 (7,6%)</w:t>
            </w:r>
            <w:r>
              <w:t xml:space="preserve"> </w:t>
            </w:r>
          </w:p>
        </w:tc>
        <w:tc>
          <w:tcPr>
            <w:tcW w:w="2294" w:type="dxa"/>
            <w:tcBorders>
              <w:top w:val="single" w:sz="8" w:space="0" w:color="4F81BD"/>
              <w:left w:val="single" w:sz="8" w:space="0" w:color="4F81BD"/>
              <w:bottom w:val="single" w:sz="8" w:space="0" w:color="4F81BD"/>
              <w:right w:val="single" w:sz="8" w:space="0" w:color="4F81BD"/>
            </w:tcBorders>
          </w:tcPr>
          <w:p w14:paraId="28FCD492" w14:textId="56C8D3B6" w:rsidR="00121274" w:rsidRDefault="00000000" w:rsidP="00EF78CD">
            <w:pPr>
              <w:tabs>
                <w:tab w:val="right" w:pos="2139"/>
              </w:tabs>
              <w:spacing w:after="0" w:line="240" w:lineRule="auto"/>
              <w:ind w:left="0" w:right="0" w:firstLine="0"/>
              <w:jc w:val="left"/>
            </w:pPr>
            <w:r>
              <w:rPr>
                <w:sz w:val="22"/>
              </w:rPr>
              <w:t xml:space="preserve">AQP4, GFAP, </w:t>
            </w:r>
          </w:p>
          <w:p w14:paraId="0673B78A" w14:textId="77777777" w:rsidR="00121274" w:rsidRDefault="00000000" w:rsidP="00EF78CD">
            <w:pPr>
              <w:spacing w:after="0" w:line="240" w:lineRule="auto"/>
              <w:ind w:left="0" w:right="0" w:firstLine="0"/>
              <w:jc w:val="left"/>
            </w:pPr>
            <w:r>
              <w:rPr>
                <w:sz w:val="22"/>
              </w:rPr>
              <w:t>SLC1A2</w:t>
            </w:r>
            <w:r>
              <w:t xml:space="preserve"> </w:t>
            </w:r>
          </w:p>
        </w:tc>
      </w:tr>
      <w:tr w:rsidR="00121274" w14:paraId="4BB51CD8" w14:textId="77777777">
        <w:trPr>
          <w:trHeight w:val="523"/>
        </w:trPr>
        <w:tc>
          <w:tcPr>
            <w:tcW w:w="2749" w:type="dxa"/>
            <w:tcBorders>
              <w:top w:val="single" w:sz="8" w:space="0" w:color="4F81BD"/>
              <w:left w:val="single" w:sz="8" w:space="0" w:color="4F81BD"/>
              <w:bottom w:val="single" w:sz="8" w:space="0" w:color="4F81BD"/>
              <w:right w:val="single" w:sz="8" w:space="0" w:color="4F81BD"/>
            </w:tcBorders>
            <w:shd w:val="clear" w:color="auto" w:fill="D3DFEE"/>
          </w:tcPr>
          <w:p w14:paraId="728BFF3F" w14:textId="77777777" w:rsidR="00121274" w:rsidRDefault="00000000" w:rsidP="00EF78CD">
            <w:pPr>
              <w:spacing w:after="0" w:line="240" w:lineRule="auto"/>
              <w:ind w:left="0" w:right="0" w:firstLine="0"/>
              <w:jc w:val="left"/>
            </w:pPr>
            <w:r>
              <w:rPr>
                <w:b/>
                <w:sz w:val="22"/>
              </w:rPr>
              <w:t>Astrocytes Réactifs</w:t>
            </w:r>
            <w:r>
              <w:rPr>
                <w:b/>
              </w:rPr>
              <w:t xml:space="preserve"> </w:t>
            </w:r>
          </w:p>
        </w:tc>
        <w:tc>
          <w:tcPr>
            <w:tcW w:w="2292" w:type="dxa"/>
            <w:tcBorders>
              <w:top w:val="single" w:sz="8" w:space="0" w:color="4F81BD"/>
              <w:left w:val="single" w:sz="8" w:space="0" w:color="4F81BD"/>
              <w:bottom w:val="single" w:sz="8" w:space="0" w:color="4F81BD"/>
              <w:right w:val="single" w:sz="8" w:space="0" w:color="4F81BD"/>
            </w:tcBorders>
            <w:shd w:val="clear" w:color="auto" w:fill="D3DFEE"/>
          </w:tcPr>
          <w:p w14:paraId="7FCC0A1F" w14:textId="77777777" w:rsidR="00121274" w:rsidRDefault="00000000" w:rsidP="00EF78CD">
            <w:pPr>
              <w:spacing w:after="0" w:line="240" w:lineRule="auto"/>
              <w:ind w:left="0" w:right="0" w:firstLine="0"/>
              <w:jc w:val="left"/>
            </w:pPr>
            <w:r>
              <w:rPr>
                <w:sz w:val="22"/>
              </w:rPr>
              <w:t>15</w:t>
            </w:r>
            <w:r>
              <w:t xml:space="preserve"> </w:t>
            </w:r>
          </w:p>
        </w:tc>
        <w:tc>
          <w:tcPr>
            <w:tcW w:w="2285" w:type="dxa"/>
            <w:tcBorders>
              <w:top w:val="single" w:sz="8" w:space="0" w:color="4F81BD"/>
              <w:left w:val="single" w:sz="8" w:space="0" w:color="4F81BD"/>
              <w:bottom w:val="single" w:sz="8" w:space="0" w:color="4F81BD"/>
              <w:right w:val="single" w:sz="8" w:space="0" w:color="4F81BD"/>
            </w:tcBorders>
            <w:shd w:val="clear" w:color="auto" w:fill="D3DFEE"/>
          </w:tcPr>
          <w:p w14:paraId="51AD3960" w14:textId="77777777" w:rsidR="00121274" w:rsidRDefault="00000000" w:rsidP="00EF78CD">
            <w:pPr>
              <w:spacing w:after="0" w:line="240" w:lineRule="auto"/>
              <w:ind w:left="5" w:right="0" w:firstLine="0"/>
              <w:jc w:val="left"/>
            </w:pPr>
            <w:r>
              <w:rPr>
                <w:sz w:val="22"/>
              </w:rPr>
              <w:t>685 (1,1%)</w:t>
            </w:r>
            <w:r>
              <w:t xml:space="preserve"> </w:t>
            </w:r>
          </w:p>
        </w:tc>
        <w:tc>
          <w:tcPr>
            <w:tcW w:w="2294" w:type="dxa"/>
            <w:tcBorders>
              <w:top w:val="single" w:sz="8" w:space="0" w:color="4F81BD"/>
              <w:left w:val="single" w:sz="8" w:space="0" w:color="4F81BD"/>
              <w:bottom w:val="single" w:sz="8" w:space="0" w:color="4F81BD"/>
              <w:right w:val="single" w:sz="8" w:space="0" w:color="4F81BD"/>
            </w:tcBorders>
            <w:shd w:val="clear" w:color="auto" w:fill="D3DFEE"/>
          </w:tcPr>
          <w:p w14:paraId="7D7F0A49" w14:textId="716ED3C4" w:rsidR="00121274" w:rsidRDefault="00000000" w:rsidP="00EF78CD">
            <w:pPr>
              <w:tabs>
                <w:tab w:val="right" w:pos="2139"/>
              </w:tabs>
              <w:spacing w:after="0" w:line="240" w:lineRule="auto"/>
              <w:ind w:left="0" w:right="0" w:firstLine="0"/>
              <w:jc w:val="left"/>
            </w:pPr>
            <w:r>
              <w:rPr>
                <w:sz w:val="22"/>
              </w:rPr>
              <w:t xml:space="preserve">GFAP, VIM, </w:t>
            </w:r>
          </w:p>
          <w:p w14:paraId="0DBAA0BD" w14:textId="77777777" w:rsidR="00121274" w:rsidRDefault="00000000" w:rsidP="00EF78CD">
            <w:pPr>
              <w:spacing w:after="0" w:line="240" w:lineRule="auto"/>
              <w:ind w:left="0" w:right="0" w:firstLine="0"/>
              <w:jc w:val="left"/>
            </w:pPr>
            <w:r>
              <w:rPr>
                <w:sz w:val="22"/>
              </w:rPr>
              <w:t>SERPINA3</w:t>
            </w:r>
            <w:r>
              <w:t xml:space="preserve"> </w:t>
            </w:r>
          </w:p>
        </w:tc>
      </w:tr>
      <w:tr w:rsidR="00121274" w:rsidRPr="003F5132" w14:paraId="2799F8E7" w14:textId="77777777">
        <w:trPr>
          <w:trHeight w:val="785"/>
        </w:trPr>
        <w:tc>
          <w:tcPr>
            <w:tcW w:w="2749" w:type="dxa"/>
            <w:tcBorders>
              <w:top w:val="single" w:sz="8" w:space="0" w:color="4F81BD"/>
              <w:left w:val="single" w:sz="8" w:space="0" w:color="4F81BD"/>
              <w:bottom w:val="single" w:sz="8" w:space="0" w:color="4F81BD"/>
              <w:right w:val="single" w:sz="8" w:space="0" w:color="4F81BD"/>
            </w:tcBorders>
          </w:tcPr>
          <w:p w14:paraId="7E206E6B" w14:textId="77777777" w:rsidR="00121274" w:rsidRDefault="00000000" w:rsidP="00EF78CD">
            <w:pPr>
              <w:spacing w:after="0" w:line="240" w:lineRule="auto"/>
              <w:ind w:left="0" w:right="0" w:firstLine="0"/>
              <w:jc w:val="left"/>
            </w:pPr>
            <w:r>
              <w:rPr>
                <w:b/>
                <w:sz w:val="22"/>
              </w:rPr>
              <w:t>Microglie</w:t>
            </w:r>
            <w:r>
              <w:rPr>
                <w:b/>
              </w:rPr>
              <w:t xml:space="preserve"> </w:t>
            </w:r>
          </w:p>
        </w:tc>
        <w:tc>
          <w:tcPr>
            <w:tcW w:w="2292" w:type="dxa"/>
            <w:tcBorders>
              <w:top w:val="single" w:sz="8" w:space="0" w:color="4F81BD"/>
              <w:left w:val="single" w:sz="8" w:space="0" w:color="4F81BD"/>
              <w:bottom w:val="single" w:sz="8" w:space="0" w:color="4F81BD"/>
              <w:right w:val="single" w:sz="8" w:space="0" w:color="4F81BD"/>
            </w:tcBorders>
          </w:tcPr>
          <w:p w14:paraId="3D390AEA" w14:textId="77777777" w:rsidR="00121274" w:rsidRDefault="00000000" w:rsidP="00EF78CD">
            <w:pPr>
              <w:spacing w:after="0" w:line="240" w:lineRule="auto"/>
              <w:ind w:left="0" w:right="0" w:firstLine="0"/>
              <w:jc w:val="left"/>
            </w:pPr>
            <w:r>
              <w:rPr>
                <w:sz w:val="22"/>
              </w:rPr>
              <w:t>5, 18 (fusionnés)</w:t>
            </w:r>
            <w:r>
              <w:t xml:space="preserve"> </w:t>
            </w:r>
          </w:p>
        </w:tc>
        <w:tc>
          <w:tcPr>
            <w:tcW w:w="2285" w:type="dxa"/>
            <w:tcBorders>
              <w:top w:val="single" w:sz="8" w:space="0" w:color="4F81BD"/>
              <w:left w:val="single" w:sz="8" w:space="0" w:color="4F81BD"/>
              <w:bottom w:val="single" w:sz="8" w:space="0" w:color="4F81BD"/>
              <w:right w:val="single" w:sz="8" w:space="0" w:color="4F81BD"/>
            </w:tcBorders>
          </w:tcPr>
          <w:p w14:paraId="50647937" w14:textId="77777777" w:rsidR="00121274" w:rsidRDefault="00000000" w:rsidP="00EF78CD">
            <w:pPr>
              <w:spacing w:after="0" w:line="240" w:lineRule="auto"/>
              <w:ind w:left="5" w:right="0" w:firstLine="0"/>
              <w:jc w:val="left"/>
            </w:pPr>
            <w:r>
              <w:rPr>
                <w:sz w:val="22"/>
              </w:rPr>
              <w:t>4 875 (7,8%)</w:t>
            </w:r>
            <w:r>
              <w:t xml:space="preserve"> </w:t>
            </w:r>
          </w:p>
        </w:tc>
        <w:tc>
          <w:tcPr>
            <w:tcW w:w="2294" w:type="dxa"/>
            <w:tcBorders>
              <w:top w:val="single" w:sz="8" w:space="0" w:color="4F81BD"/>
              <w:left w:val="single" w:sz="8" w:space="0" w:color="4F81BD"/>
              <w:bottom w:val="single" w:sz="8" w:space="0" w:color="4F81BD"/>
              <w:right w:val="single" w:sz="8" w:space="0" w:color="4F81BD"/>
            </w:tcBorders>
          </w:tcPr>
          <w:p w14:paraId="398B1463" w14:textId="77777777" w:rsidR="00121274" w:rsidRPr="002434EB" w:rsidRDefault="00000000" w:rsidP="00EF78CD">
            <w:pPr>
              <w:spacing w:after="0" w:line="240" w:lineRule="auto"/>
              <w:ind w:left="0" w:right="53" w:firstLine="0"/>
              <w:rPr>
                <w:lang w:val="en-US"/>
              </w:rPr>
            </w:pPr>
            <w:r w:rsidRPr="002434EB">
              <w:rPr>
                <w:sz w:val="22"/>
                <w:lang w:val="en-US"/>
              </w:rPr>
              <w:t>CX3CR1, P2RY12, TMEM119, APOE, TREM2</w:t>
            </w:r>
            <w:r w:rsidRPr="002434EB">
              <w:rPr>
                <w:lang w:val="en-US"/>
              </w:rPr>
              <w:t xml:space="preserve"> </w:t>
            </w:r>
          </w:p>
        </w:tc>
      </w:tr>
      <w:tr w:rsidR="00121274" w14:paraId="237C41DE" w14:textId="77777777">
        <w:trPr>
          <w:trHeight w:val="519"/>
        </w:trPr>
        <w:tc>
          <w:tcPr>
            <w:tcW w:w="2749" w:type="dxa"/>
            <w:tcBorders>
              <w:top w:val="single" w:sz="8" w:space="0" w:color="4F81BD"/>
              <w:left w:val="single" w:sz="8" w:space="0" w:color="4F81BD"/>
              <w:bottom w:val="single" w:sz="8" w:space="0" w:color="4F81BD"/>
              <w:right w:val="single" w:sz="8" w:space="0" w:color="4F81BD"/>
            </w:tcBorders>
            <w:shd w:val="clear" w:color="auto" w:fill="D3DFEE"/>
          </w:tcPr>
          <w:p w14:paraId="58EE6EB6" w14:textId="77777777" w:rsidR="00121274" w:rsidRDefault="00000000" w:rsidP="00EF78CD">
            <w:pPr>
              <w:spacing w:after="0" w:line="240" w:lineRule="auto"/>
              <w:ind w:left="0" w:right="0" w:firstLine="0"/>
            </w:pPr>
            <w:r>
              <w:rPr>
                <w:b/>
                <w:sz w:val="22"/>
              </w:rPr>
              <w:t>Support/</w:t>
            </w:r>
            <w:proofErr w:type="spellStart"/>
            <w:r>
              <w:rPr>
                <w:b/>
                <w:sz w:val="22"/>
              </w:rPr>
              <w:t>Vascular</w:t>
            </w:r>
            <w:proofErr w:type="spellEnd"/>
            <w:r>
              <w:rPr>
                <w:b/>
                <w:sz w:val="22"/>
              </w:rPr>
              <w:t>/Immune</w:t>
            </w:r>
            <w:r>
              <w:rPr>
                <w:b/>
              </w:rPr>
              <w:t xml:space="preserve"> </w:t>
            </w:r>
          </w:p>
        </w:tc>
        <w:tc>
          <w:tcPr>
            <w:tcW w:w="2292" w:type="dxa"/>
            <w:tcBorders>
              <w:top w:val="single" w:sz="8" w:space="0" w:color="4F81BD"/>
              <w:left w:val="single" w:sz="8" w:space="0" w:color="4F81BD"/>
              <w:bottom w:val="single" w:sz="8" w:space="0" w:color="4F81BD"/>
              <w:right w:val="single" w:sz="8" w:space="0" w:color="4F81BD"/>
            </w:tcBorders>
            <w:shd w:val="clear" w:color="auto" w:fill="D3DFEE"/>
          </w:tcPr>
          <w:p w14:paraId="4E1A302E" w14:textId="77777777" w:rsidR="00121274" w:rsidRDefault="00000000" w:rsidP="00EF78CD">
            <w:pPr>
              <w:spacing w:after="0" w:line="240" w:lineRule="auto"/>
              <w:ind w:left="0" w:right="0" w:firstLine="0"/>
              <w:jc w:val="left"/>
            </w:pPr>
            <w:r>
              <w:rPr>
                <w:sz w:val="22"/>
              </w:rPr>
              <w:t>9, 10, 17</w:t>
            </w:r>
            <w:r>
              <w:t xml:space="preserve"> </w:t>
            </w:r>
          </w:p>
        </w:tc>
        <w:tc>
          <w:tcPr>
            <w:tcW w:w="2285" w:type="dxa"/>
            <w:tcBorders>
              <w:top w:val="single" w:sz="8" w:space="0" w:color="4F81BD"/>
              <w:left w:val="single" w:sz="8" w:space="0" w:color="4F81BD"/>
              <w:bottom w:val="single" w:sz="8" w:space="0" w:color="4F81BD"/>
              <w:right w:val="single" w:sz="8" w:space="0" w:color="4F81BD"/>
            </w:tcBorders>
            <w:shd w:val="clear" w:color="auto" w:fill="D3DFEE"/>
          </w:tcPr>
          <w:p w14:paraId="5DB73C69" w14:textId="77777777" w:rsidR="00121274" w:rsidRDefault="00000000" w:rsidP="00EF78CD">
            <w:pPr>
              <w:spacing w:after="0" w:line="240" w:lineRule="auto"/>
              <w:ind w:left="5" w:right="0" w:firstLine="0"/>
              <w:jc w:val="left"/>
            </w:pPr>
            <w:r>
              <w:rPr>
                <w:sz w:val="22"/>
              </w:rPr>
              <w:t>6 611 (10,5%)</w:t>
            </w:r>
            <w:r>
              <w:t xml:space="preserve"> </w:t>
            </w:r>
          </w:p>
        </w:tc>
        <w:tc>
          <w:tcPr>
            <w:tcW w:w="2294" w:type="dxa"/>
            <w:tcBorders>
              <w:top w:val="single" w:sz="8" w:space="0" w:color="4F81BD"/>
              <w:left w:val="single" w:sz="8" w:space="0" w:color="4F81BD"/>
              <w:bottom w:val="single" w:sz="8" w:space="0" w:color="4F81BD"/>
              <w:right w:val="single" w:sz="8" w:space="0" w:color="4F81BD"/>
            </w:tcBorders>
            <w:shd w:val="clear" w:color="auto" w:fill="D3DFEE"/>
          </w:tcPr>
          <w:p w14:paraId="599570F8" w14:textId="43BF0090" w:rsidR="00121274" w:rsidRDefault="00000000" w:rsidP="00EF78CD">
            <w:pPr>
              <w:tabs>
                <w:tab w:val="right" w:pos="2139"/>
              </w:tabs>
              <w:spacing w:after="0" w:line="240" w:lineRule="auto"/>
              <w:ind w:left="0" w:right="0" w:firstLine="0"/>
              <w:jc w:val="left"/>
            </w:pPr>
            <w:r>
              <w:rPr>
                <w:sz w:val="22"/>
              </w:rPr>
              <w:t xml:space="preserve">CLDN5, PDGFRB, </w:t>
            </w:r>
          </w:p>
          <w:p w14:paraId="551BB85A" w14:textId="77777777" w:rsidR="00121274" w:rsidRDefault="00000000" w:rsidP="00EF78CD">
            <w:pPr>
              <w:spacing w:after="0" w:line="240" w:lineRule="auto"/>
              <w:ind w:left="0" w:right="0" w:firstLine="0"/>
              <w:jc w:val="left"/>
            </w:pPr>
            <w:r>
              <w:rPr>
                <w:sz w:val="22"/>
              </w:rPr>
              <w:t>CD3E</w:t>
            </w:r>
            <w:r>
              <w:t xml:space="preserve"> </w:t>
            </w:r>
          </w:p>
        </w:tc>
      </w:tr>
      <w:tr w:rsidR="00121274" w14:paraId="7025DBAD" w14:textId="77777777">
        <w:trPr>
          <w:trHeight w:val="531"/>
        </w:trPr>
        <w:tc>
          <w:tcPr>
            <w:tcW w:w="2749" w:type="dxa"/>
            <w:tcBorders>
              <w:top w:val="single" w:sz="8" w:space="0" w:color="4F81BD"/>
              <w:left w:val="single" w:sz="8" w:space="0" w:color="4F81BD"/>
              <w:bottom w:val="single" w:sz="8" w:space="0" w:color="4F81BD"/>
              <w:right w:val="single" w:sz="8" w:space="0" w:color="4F81BD"/>
            </w:tcBorders>
          </w:tcPr>
          <w:p w14:paraId="70F7AE13" w14:textId="77777777" w:rsidR="00121274" w:rsidRDefault="00000000" w:rsidP="00EF78CD">
            <w:pPr>
              <w:spacing w:after="0" w:line="240" w:lineRule="auto"/>
              <w:ind w:left="0" w:right="0" w:firstLine="0"/>
              <w:jc w:val="left"/>
            </w:pPr>
            <w:proofErr w:type="spellStart"/>
            <w:r>
              <w:rPr>
                <w:b/>
                <w:sz w:val="22"/>
              </w:rPr>
              <w:t>Unknown</w:t>
            </w:r>
            <w:proofErr w:type="spellEnd"/>
            <w:r>
              <w:rPr>
                <w:b/>
                <w:sz w:val="22"/>
              </w:rPr>
              <w:t xml:space="preserve">/Low </w:t>
            </w:r>
            <w:proofErr w:type="spellStart"/>
            <w:r>
              <w:rPr>
                <w:b/>
                <w:sz w:val="22"/>
              </w:rPr>
              <w:t>Quality</w:t>
            </w:r>
            <w:proofErr w:type="spellEnd"/>
            <w:r>
              <w:rPr>
                <w:b/>
              </w:rPr>
              <w:t xml:space="preserve"> </w:t>
            </w:r>
          </w:p>
        </w:tc>
        <w:tc>
          <w:tcPr>
            <w:tcW w:w="2292" w:type="dxa"/>
            <w:tcBorders>
              <w:top w:val="single" w:sz="8" w:space="0" w:color="4F81BD"/>
              <w:left w:val="single" w:sz="8" w:space="0" w:color="4F81BD"/>
              <w:bottom w:val="single" w:sz="8" w:space="0" w:color="4F81BD"/>
              <w:right w:val="single" w:sz="8" w:space="0" w:color="4F81BD"/>
            </w:tcBorders>
          </w:tcPr>
          <w:p w14:paraId="68DDF33B" w14:textId="77777777" w:rsidR="00121274" w:rsidRDefault="00000000" w:rsidP="00EF78CD">
            <w:pPr>
              <w:spacing w:after="0" w:line="240" w:lineRule="auto"/>
              <w:ind w:left="0" w:right="0" w:firstLine="0"/>
              <w:jc w:val="left"/>
            </w:pPr>
            <w:r>
              <w:rPr>
                <w:sz w:val="22"/>
              </w:rPr>
              <w:t>21, 22 (exclus)</w:t>
            </w:r>
            <w:r>
              <w:t xml:space="preserve"> </w:t>
            </w:r>
          </w:p>
        </w:tc>
        <w:tc>
          <w:tcPr>
            <w:tcW w:w="2285" w:type="dxa"/>
            <w:tcBorders>
              <w:top w:val="single" w:sz="8" w:space="0" w:color="4F81BD"/>
              <w:left w:val="single" w:sz="8" w:space="0" w:color="4F81BD"/>
              <w:bottom w:val="single" w:sz="8" w:space="0" w:color="4F81BD"/>
              <w:right w:val="single" w:sz="8" w:space="0" w:color="4F81BD"/>
            </w:tcBorders>
          </w:tcPr>
          <w:p w14:paraId="25C900AB" w14:textId="77777777" w:rsidR="00121274" w:rsidRDefault="00000000" w:rsidP="00EF78CD">
            <w:pPr>
              <w:spacing w:after="0" w:line="240" w:lineRule="auto"/>
              <w:ind w:left="5" w:right="0" w:firstLine="0"/>
              <w:jc w:val="left"/>
            </w:pPr>
            <w:r>
              <w:rPr>
                <w:sz w:val="22"/>
              </w:rPr>
              <w:t>384 (0,6%)</w:t>
            </w:r>
            <w:r>
              <w:t xml:space="preserve"> </w:t>
            </w:r>
          </w:p>
        </w:tc>
        <w:tc>
          <w:tcPr>
            <w:tcW w:w="2294" w:type="dxa"/>
            <w:tcBorders>
              <w:top w:val="single" w:sz="8" w:space="0" w:color="4F81BD"/>
              <w:left w:val="single" w:sz="8" w:space="0" w:color="4F81BD"/>
              <w:bottom w:val="single" w:sz="8" w:space="0" w:color="4F81BD"/>
              <w:right w:val="single" w:sz="8" w:space="0" w:color="4F81BD"/>
            </w:tcBorders>
          </w:tcPr>
          <w:p w14:paraId="2B2B589E" w14:textId="44B1F8EE" w:rsidR="00121274" w:rsidRDefault="00000000" w:rsidP="00EF78CD">
            <w:pPr>
              <w:tabs>
                <w:tab w:val="center" w:pos="1183"/>
                <w:tab w:val="right" w:pos="2139"/>
              </w:tabs>
              <w:spacing w:after="0" w:line="240" w:lineRule="auto"/>
              <w:ind w:left="0" w:right="0" w:firstLine="0"/>
              <w:jc w:val="left"/>
            </w:pPr>
            <w:r>
              <w:rPr>
                <w:sz w:val="22"/>
              </w:rPr>
              <w:t xml:space="preserve">Profil mixte ou </w:t>
            </w:r>
          </w:p>
          <w:p w14:paraId="38F37D97" w14:textId="77777777" w:rsidR="00121274" w:rsidRDefault="00000000" w:rsidP="00EF78CD">
            <w:pPr>
              <w:spacing w:after="0" w:line="240" w:lineRule="auto"/>
              <w:ind w:left="0" w:right="0" w:firstLine="0"/>
              <w:jc w:val="left"/>
            </w:pPr>
            <w:r>
              <w:rPr>
                <w:sz w:val="22"/>
              </w:rPr>
              <w:t>dégradé</w:t>
            </w:r>
            <w:r>
              <w:t xml:space="preserve"> </w:t>
            </w:r>
          </w:p>
        </w:tc>
      </w:tr>
    </w:tbl>
    <w:p w14:paraId="7769632C" w14:textId="77777777" w:rsidR="00121274" w:rsidRDefault="00000000" w:rsidP="00EF78CD">
      <w:pPr>
        <w:spacing w:after="0" w:line="240" w:lineRule="auto"/>
        <w:ind w:right="0"/>
        <w:jc w:val="center"/>
      </w:pPr>
      <w:r>
        <w:rPr>
          <w:i/>
          <w:sz w:val="20"/>
        </w:rPr>
        <w:t>Tableau 2. Annotation manuelle des 23 clusters Leiden en 8 macro-types cellulaires. Les clusters 21-22 (</w:t>
      </w:r>
      <w:proofErr w:type="spellStart"/>
      <w:r>
        <w:rPr>
          <w:i/>
          <w:sz w:val="20"/>
        </w:rPr>
        <w:t>Unknown</w:t>
      </w:r>
      <w:proofErr w:type="spellEnd"/>
      <w:r>
        <w:rPr>
          <w:i/>
          <w:sz w:val="20"/>
        </w:rPr>
        <w:t xml:space="preserve">/Low </w:t>
      </w:r>
      <w:proofErr w:type="spellStart"/>
      <w:r>
        <w:rPr>
          <w:i/>
          <w:sz w:val="20"/>
        </w:rPr>
        <w:t>Quality</w:t>
      </w:r>
      <w:proofErr w:type="spellEnd"/>
      <w:r>
        <w:rPr>
          <w:i/>
          <w:sz w:val="20"/>
        </w:rPr>
        <w:t>) ont été exclus de l'analyse pseudobulk finale.</w:t>
      </w:r>
      <w:r>
        <w:t xml:space="preserve"> </w:t>
      </w:r>
    </w:p>
    <w:p w14:paraId="210E7B68" w14:textId="77777777" w:rsidR="00121274" w:rsidRDefault="00000000" w:rsidP="00EF78CD">
      <w:pPr>
        <w:spacing w:after="0" w:line="240" w:lineRule="auto"/>
        <w:ind w:left="1436" w:right="0"/>
        <w:jc w:val="left"/>
      </w:pPr>
      <w:r>
        <w:rPr>
          <w:rFonts w:ascii="Segoe UI Emoji" w:eastAsia="Segoe UI Emoji" w:hAnsi="Segoe UI Emoji" w:cs="Segoe UI Emoji"/>
          <w:color w:val="666666"/>
          <w:sz w:val="18"/>
        </w:rPr>
        <w:t>⚙️</w:t>
      </w:r>
      <w:r>
        <w:rPr>
          <w:rFonts w:ascii="Century Gothic" w:eastAsia="Century Gothic" w:hAnsi="Century Gothic" w:cs="Century Gothic"/>
          <w:b/>
          <w:color w:val="666666"/>
          <w:sz w:val="18"/>
        </w:rPr>
        <w:t xml:space="preserve"> NOTE TECHNIQUE - Fusion stratégique du Cluster 18 (Microglie DAM) et validation pseudobulk </w:t>
      </w:r>
    </w:p>
    <w:p w14:paraId="43A11854" w14:textId="77777777" w:rsidR="00121274" w:rsidRDefault="00000000" w:rsidP="00EF78CD">
      <w:pPr>
        <w:spacing w:after="0" w:line="240" w:lineRule="auto"/>
        <w:ind w:left="1436" w:right="0"/>
        <w:jc w:val="left"/>
      </w:pPr>
      <w:r>
        <w:rPr>
          <w:rFonts w:ascii="Century Gothic" w:eastAsia="Century Gothic" w:hAnsi="Century Gothic" w:cs="Century Gothic"/>
          <w:color w:val="666666"/>
          <w:sz w:val="18"/>
        </w:rPr>
        <w:t>Problème identifié : Le Cluster 18, initialement annoté comme 'Microglie DAM' (</w:t>
      </w:r>
      <w:proofErr w:type="spellStart"/>
      <w:r>
        <w:rPr>
          <w:rFonts w:ascii="Century Gothic" w:eastAsia="Century Gothic" w:hAnsi="Century Gothic" w:cs="Century Gothic"/>
          <w:color w:val="666666"/>
          <w:sz w:val="18"/>
        </w:rPr>
        <w:t>DiseaseAssociated</w:t>
      </w:r>
      <w:proofErr w:type="spellEnd"/>
      <w:r>
        <w:rPr>
          <w:rFonts w:ascii="Century Gothic" w:eastAsia="Century Gothic" w:hAnsi="Century Gothic" w:cs="Century Gothic"/>
          <w:color w:val="666666"/>
          <w:sz w:val="18"/>
        </w:rPr>
        <w:t xml:space="preserve"> </w:t>
      </w:r>
      <w:proofErr w:type="spellStart"/>
      <w:r>
        <w:rPr>
          <w:rFonts w:ascii="Century Gothic" w:eastAsia="Century Gothic" w:hAnsi="Century Gothic" w:cs="Century Gothic"/>
          <w:color w:val="666666"/>
          <w:sz w:val="18"/>
        </w:rPr>
        <w:t>Microglia</w:t>
      </w:r>
      <w:proofErr w:type="spellEnd"/>
      <w:r>
        <w:rPr>
          <w:rFonts w:ascii="Century Gothic" w:eastAsia="Century Gothic" w:hAnsi="Century Gothic" w:cs="Century Gothic"/>
          <w:color w:val="666666"/>
          <w:sz w:val="18"/>
        </w:rPr>
        <w:t xml:space="preserve">, signature APOE+/TREM2+/P2RY12-), contenait 393 noyaux provenant à 98,2% d'un SEUL donneur (Donor_865). Les 16 autres donneurs contribuaient à peine 7 noyaux au total. </w:t>
      </w:r>
    </w:p>
    <w:p w14:paraId="162F164D" w14:textId="77777777" w:rsidR="00121274" w:rsidRDefault="00000000" w:rsidP="00EF78CD">
      <w:pPr>
        <w:spacing w:after="0" w:line="240" w:lineRule="auto"/>
        <w:ind w:left="1441" w:right="0" w:firstLine="0"/>
        <w:jc w:val="left"/>
      </w:pPr>
      <w:r>
        <w:rPr>
          <w:rFonts w:ascii="Century Gothic" w:eastAsia="Century Gothic" w:hAnsi="Century Gothic" w:cs="Century Gothic"/>
          <w:color w:val="666666"/>
          <w:sz w:val="18"/>
        </w:rPr>
        <w:t xml:space="preserve"> </w:t>
      </w:r>
    </w:p>
    <w:p w14:paraId="27773BE6" w14:textId="77777777" w:rsidR="00121274" w:rsidRDefault="00000000" w:rsidP="00EF78CD">
      <w:pPr>
        <w:spacing w:after="0" w:line="240" w:lineRule="auto"/>
        <w:ind w:left="1436" w:right="0"/>
        <w:jc w:val="left"/>
      </w:pPr>
      <w:r>
        <w:rPr>
          <w:rFonts w:ascii="Century Gothic" w:eastAsia="Century Gothic" w:hAnsi="Century Gothic" w:cs="Century Gothic"/>
          <w:color w:val="666666"/>
          <w:sz w:val="18"/>
        </w:rPr>
        <w:t xml:space="preserve">Décision méthodologique : Fusion avec le Cluster 5 (Microglie Homéostatique) pour former un macro-type 'Microglie' unifié (n=4 875 noyaux, 15 donneurs avec ≥20 cellules). Justification : L'approche pseudobulk exige un minimum de 5 donneurs par type cellulaire pour garantir des </w:t>
      </w:r>
      <w:proofErr w:type="spellStart"/>
      <w:r>
        <w:rPr>
          <w:rFonts w:ascii="Century Gothic" w:eastAsia="Century Gothic" w:hAnsi="Century Gothic" w:cs="Century Gothic"/>
          <w:color w:val="666666"/>
          <w:sz w:val="18"/>
        </w:rPr>
        <w:t>réplicats</w:t>
      </w:r>
      <w:proofErr w:type="spellEnd"/>
      <w:r>
        <w:rPr>
          <w:rFonts w:ascii="Century Gothic" w:eastAsia="Century Gothic" w:hAnsi="Century Gothic" w:cs="Century Gothic"/>
          <w:color w:val="666666"/>
          <w:sz w:val="18"/>
        </w:rPr>
        <w:t xml:space="preserve"> biologiques suffisants et éviter les artefacts individuels. Avec un seul donneur dominant, l'analyse différentielle sur 'Microglie DAM' aurait été statistiquement invalide (confondre effet pathologique et variation inter-individuelle). </w:t>
      </w:r>
    </w:p>
    <w:p w14:paraId="2441BBAD" w14:textId="77777777" w:rsidR="00121274" w:rsidRDefault="00000000" w:rsidP="00EF78CD">
      <w:pPr>
        <w:spacing w:after="0" w:line="240" w:lineRule="auto"/>
        <w:ind w:left="1441" w:right="0" w:firstLine="0"/>
        <w:jc w:val="left"/>
      </w:pPr>
      <w:r>
        <w:rPr>
          <w:rFonts w:ascii="Century Gothic" w:eastAsia="Century Gothic" w:hAnsi="Century Gothic" w:cs="Century Gothic"/>
          <w:color w:val="666666"/>
          <w:sz w:val="18"/>
        </w:rPr>
        <w:t xml:space="preserve"> </w:t>
      </w:r>
    </w:p>
    <w:p w14:paraId="08C99C84" w14:textId="77777777" w:rsidR="00121274" w:rsidRDefault="00000000" w:rsidP="00EF78CD">
      <w:pPr>
        <w:spacing w:after="0" w:line="240" w:lineRule="auto"/>
        <w:ind w:left="1436" w:right="0"/>
        <w:jc w:val="left"/>
      </w:pPr>
      <w:r>
        <w:rPr>
          <w:rFonts w:ascii="Century Gothic" w:eastAsia="Century Gothic" w:hAnsi="Century Gothic" w:cs="Century Gothic"/>
          <w:color w:val="666666"/>
          <w:sz w:val="18"/>
        </w:rPr>
        <w:t xml:space="preserve">Conséquence biologique : Perte de granularité sur l'état d'activation </w:t>
      </w:r>
      <w:proofErr w:type="spellStart"/>
      <w:r>
        <w:rPr>
          <w:rFonts w:ascii="Century Gothic" w:eastAsia="Century Gothic" w:hAnsi="Century Gothic" w:cs="Century Gothic"/>
          <w:color w:val="666666"/>
          <w:sz w:val="18"/>
        </w:rPr>
        <w:t>microglial</w:t>
      </w:r>
      <w:proofErr w:type="spellEnd"/>
      <w:r>
        <w:rPr>
          <w:rFonts w:ascii="Century Gothic" w:eastAsia="Century Gothic" w:hAnsi="Century Gothic" w:cs="Century Gothic"/>
          <w:color w:val="666666"/>
          <w:sz w:val="18"/>
        </w:rPr>
        <w:t>. Les signatures DAM (inflammation, phagocytose) seront diluées dans le macro-type 'Microglie' unifié, réduisant potentiellement la sensibilité pour détecter des gènes spécifiques à l'activation pathologique.</w:t>
      </w:r>
      <w:r>
        <w:t xml:space="preserve"> </w:t>
      </w:r>
    </w:p>
    <w:p w14:paraId="39861E10" w14:textId="77777777" w:rsidR="00121274" w:rsidRDefault="00000000" w:rsidP="00EF78CD">
      <w:pPr>
        <w:spacing w:after="0" w:line="240" w:lineRule="auto"/>
        <w:ind w:left="24" w:right="0" w:firstLine="0"/>
        <w:jc w:val="center"/>
      </w:pPr>
      <w:r>
        <w:t xml:space="preserve"> </w:t>
      </w:r>
    </w:p>
    <w:p w14:paraId="693C28CC" w14:textId="77777777" w:rsidR="00121274" w:rsidRDefault="00000000" w:rsidP="00EF78CD">
      <w:pPr>
        <w:pStyle w:val="Titre2"/>
        <w:spacing w:after="0" w:line="240" w:lineRule="auto"/>
        <w:ind w:left="483" w:hanging="498"/>
      </w:pPr>
      <w:r>
        <w:t xml:space="preserve">Agrégation pseudobulk et analyse différentielle </w:t>
      </w:r>
    </w:p>
    <w:p w14:paraId="43F603E9" w14:textId="7AD09F00" w:rsidR="00121274" w:rsidRDefault="00000000" w:rsidP="00EF78CD">
      <w:pPr>
        <w:tabs>
          <w:tab w:val="center" w:pos="2470"/>
          <w:tab w:val="center" w:pos="4630"/>
          <w:tab w:val="center" w:pos="7232"/>
          <w:tab w:val="right" w:pos="9447"/>
        </w:tabs>
        <w:spacing w:after="0" w:line="240" w:lineRule="auto"/>
        <w:ind w:left="-15" w:right="0" w:firstLine="0"/>
        <w:jc w:val="left"/>
      </w:pPr>
      <w:r>
        <w:t xml:space="preserve">Principe de l'approche pseudobulk : </w:t>
      </w:r>
    </w:p>
    <w:p w14:paraId="5000C767" w14:textId="77777777" w:rsidR="00121274" w:rsidRDefault="00000000" w:rsidP="00EF78CD">
      <w:pPr>
        <w:spacing w:after="0" w:line="240" w:lineRule="auto"/>
        <w:ind w:left="-5" w:right="35"/>
      </w:pPr>
      <w:r>
        <w:t>Les comptages UMI bruts (</w:t>
      </w:r>
      <w:proofErr w:type="spellStart"/>
      <w:r>
        <w:t>adata.layers</w:t>
      </w:r>
      <w:proofErr w:type="spellEnd"/>
      <w:r>
        <w:t>['</w:t>
      </w:r>
      <w:proofErr w:type="spellStart"/>
      <w:r>
        <w:t>counts</w:t>
      </w:r>
      <w:proofErr w:type="spellEnd"/>
      <w:r>
        <w:t>']) ont été agrégés (somme) par combinaison unique de (</w:t>
      </w:r>
      <w:proofErr w:type="spellStart"/>
      <w:r>
        <w:t>type_cellulaire</w:t>
      </w:r>
      <w:proofErr w:type="spellEnd"/>
      <w:r>
        <w:t xml:space="preserve">, donneur), créant des 'échantillons pseudobulk'. Par exemple, pour le type 'Microglie', les comptages de tous les noyaux </w:t>
      </w:r>
      <w:proofErr w:type="spellStart"/>
      <w:r>
        <w:t>microglials</w:t>
      </w:r>
      <w:proofErr w:type="spellEnd"/>
      <w:r>
        <w:t xml:space="preserve"> du Donor_865 ont été sommés pour créer un échantillon 'Microglia__Donor_865'. Cette agrégation transforme les données single-cell en format bulk, où chaque donneur devient un </w:t>
      </w:r>
      <w:proofErr w:type="spellStart"/>
      <w:r>
        <w:t>réplicat</w:t>
      </w:r>
      <w:proofErr w:type="spellEnd"/>
      <w:r>
        <w:t xml:space="preserve"> biologique indépendant. </w:t>
      </w:r>
    </w:p>
    <w:p w14:paraId="48EE9861" w14:textId="77777777" w:rsidR="00121274" w:rsidRDefault="00000000" w:rsidP="00EF78CD">
      <w:pPr>
        <w:spacing w:after="0" w:line="240" w:lineRule="auto"/>
        <w:ind w:left="0" w:right="0" w:firstLine="0"/>
        <w:jc w:val="left"/>
      </w:pPr>
      <w:r>
        <w:t xml:space="preserve"> </w:t>
      </w:r>
    </w:p>
    <w:p w14:paraId="0458928A" w14:textId="40A0DB27" w:rsidR="00121274" w:rsidRDefault="00000000" w:rsidP="00EF78CD">
      <w:pPr>
        <w:tabs>
          <w:tab w:val="center" w:pos="1848"/>
          <w:tab w:val="center" w:pos="3583"/>
          <w:tab w:val="center" w:pos="5693"/>
          <w:tab w:val="center" w:pos="7761"/>
          <w:tab w:val="right" w:pos="9447"/>
        </w:tabs>
        <w:spacing w:after="0" w:line="240" w:lineRule="auto"/>
        <w:ind w:left="-15" w:right="0" w:firstLine="0"/>
        <w:jc w:val="left"/>
      </w:pPr>
      <w:r>
        <w:t xml:space="preserve">Filtres de robustesse statistique appliqués : </w:t>
      </w:r>
    </w:p>
    <w:p w14:paraId="54FA6EAE" w14:textId="77777777" w:rsidR="00121274" w:rsidRDefault="00000000" w:rsidP="00EF78CD">
      <w:pPr>
        <w:numPr>
          <w:ilvl w:val="0"/>
          <w:numId w:val="9"/>
        </w:numPr>
        <w:spacing w:after="0" w:line="240" w:lineRule="auto"/>
        <w:ind w:right="35" w:hanging="244"/>
      </w:pPr>
      <w:r>
        <w:t xml:space="preserve">MIN_CELLS_PER_SAMPLE ≥ 20 : Exclusion des échantillons pseudobulk contenant moins de 20 noyaux (agrégation insuffisante, comptages trop faibles) </w:t>
      </w:r>
    </w:p>
    <w:p w14:paraId="2674EC0B" w14:textId="77777777" w:rsidR="00121274" w:rsidRDefault="00000000" w:rsidP="00EF78CD">
      <w:pPr>
        <w:numPr>
          <w:ilvl w:val="0"/>
          <w:numId w:val="9"/>
        </w:numPr>
        <w:spacing w:after="0" w:line="240" w:lineRule="auto"/>
        <w:ind w:right="35" w:hanging="244"/>
      </w:pPr>
      <w:r>
        <w:t xml:space="preserve">MIN_DONORS_PER_CLUSTER ≥ 5 : Exclusion des types cellulaires présents chez moins de </w:t>
      </w:r>
    </w:p>
    <w:p w14:paraId="6E902BDF" w14:textId="702D7D35" w:rsidR="00121274" w:rsidRDefault="00000000" w:rsidP="00EF78CD">
      <w:pPr>
        <w:tabs>
          <w:tab w:val="center" w:pos="1829"/>
          <w:tab w:val="center" w:pos="4091"/>
          <w:tab w:val="center" w:pos="6426"/>
          <w:tab w:val="right" w:pos="9447"/>
        </w:tabs>
        <w:spacing w:after="0" w:line="240" w:lineRule="auto"/>
        <w:ind w:left="-15" w:right="0" w:firstLine="0"/>
        <w:jc w:val="left"/>
      </w:pPr>
      <w:r>
        <w:t xml:space="preserve">5 donneurs (réplication biologique insuffisante) </w:t>
      </w:r>
    </w:p>
    <w:p w14:paraId="2BF00DF6" w14:textId="1C295836" w:rsidR="00121274" w:rsidRDefault="00000000" w:rsidP="00EF78CD">
      <w:pPr>
        <w:spacing w:after="0" w:line="240" w:lineRule="auto"/>
        <w:ind w:left="-5" w:right="35"/>
      </w:pPr>
      <w:r>
        <w:t>3. Exclusion manuelle du macro-type '</w:t>
      </w:r>
      <w:proofErr w:type="spellStart"/>
      <w:r>
        <w:t>Unknown</w:t>
      </w:r>
      <w:proofErr w:type="spellEnd"/>
      <w:r>
        <w:t xml:space="preserve">/Low </w:t>
      </w:r>
      <w:proofErr w:type="spellStart"/>
      <w:r>
        <w:t>Quality</w:t>
      </w:r>
      <w:proofErr w:type="spellEnd"/>
      <w:r>
        <w:t>' (noyaux de mauvaise qualité, profils dégradés) Résultat final : 96 échantillons pseudobulk couvrant 7 types cellulaires robustes (</w:t>
      </w:r>
      <w:proofErr w:type="spellStart"/>
      <w:r>
        <w:t>Excitatory</w:t>
      </w:r>
      <w:proofErr w:type="spellEnd"/>
      <w:r>
        <w:t xml:space="preserve"> </w:t>
      </w:r>
      <w:proofErr w:type="spellStart"/>
      <w:r>
        <w:t>neuron</w:t>
      </w:r>
      <w:proofErr w:type="spellEnd"/>
      <w:r>
        <w:t xml:space="preserve">, </w:t>
      </w:r>
      <w:proofErr w:type="spellStart"/>
      <w:r>
        <w:t>Inhibitory</w:t>
      </w:r>
      <w:proofErr w:type="spellEnd"/>
      <w:r>
        <w:t xml:space="preserve"> </w:t>
      </w:r>
      <w:proofErr w:type="spellStart"/>
      <w:r>
        <w:t>neuron</w:t>
      </w:r>
      <w:proofErr w:type="spellEnd"/>
      <w:r>
        <w:t xml:space="preserve">, Oligodendrocyte/OPC, Astrocyte </w:t>
      </w:r>
      <w:proofErr w:type="spellStart"/>
      <w:r>
        <w:t>Homeostatic</w:t>
      </w:r>
      <w:proofErr w:type="spellEnd"/>
      <w:r>
        <w:t xml:space="preserve">, Astrocyte </w:t>
      </w:r>
      <w:proofErr w:type="spellStart"/>
      <w:r>
        <w:t>Reactive</w:t>
      </w:r>
      <w:proofErr w:type="spellEnd"/>
      <w:r>
        <w:t xml:space="preserve">, </w:t>
      </w:r>
      <w:proofErr w:type="spellStart"/>
      <w:r>
        <w:t>Microglia</w:t>
      </w:r>
      <w:proofErr w:type="spellEnd"/>
      <w:r>
        <w:t>, Support/</w:t>
      </w:r>
      <w:proofErr w:type="spellStart"/>
      <w:r>
        <w:t>Vascular</w:t>
      </w:r>
      <w:proofErr w:type="spellEnd"/>
      <w:r>
        <w:t xml:space="preserve">/Immune). </w:t>
      </w:r>
    </w:p>
    <w:p w14:paraId="33546B43" w14:textId="7F0F4E59" w:rsidR="00121274" w:rsidRDefault="00000000" w:rsidP="00EF78CD">
      <w:pPr>
        <w:tabs>
          <w:tab w:val="center" w:pos="2556"/>
          <w:tab w:val="center" w:pos="4995"/>
          <w:tab w:val="center" w:pos="7475"/>
          <w:tab w:val="right" w:pos="9447"/>
        </w:tabs>
        <w:spacing w:after="0" w:line="240" w:lineRule="auto"/>
        <w:ind w:left="-15" w:right="0" w:firstLine="0"/>
        <w:jc w:val="left"/>
      </w:pPr>
      <w:r>
        <w:lastRenderedPageBreak/>
        <w:t xml:space="preserve">Modèle d'analyse différentielle (DESeq2) : </w:t>
      </w:r>
    </w:p>
    <w:p w14:paraId="48A3BB76" w14:textId="77777777" w:rsidR="00121274" w:rsidRDefault="00000000" w:rsidP="00EF78CD">
      <w:pPr>
        <w:spacing w:after="0" w:line="240" w:lineRule="auto"/>
        <w:ind w:left="-5" w:right="35"/>
      </w:pPr>
      <w:r>
        <w:t xml:space="preserve">L'analyse DGE a utilisé le package R DESeq2 (Love et al., 2014) avec le modèle linéaire généralisé suivant : </w:t>
      </w:r>
    </w:p>
    <w:p w14:paraId="4C5B7AB4" w14:textId="77777777" w:rsidR="00121274" w:rsidRDefault="00000000" w:rsidP="00EF78CD">
      <w:pPr>
        <w:spacing w:after="0" w:line="240" w:lineRule="auto"/>
        <w:ind w:left="0" w:right="0" w:firstLine="0"/>
        <w:jc w:val="left"/>
      </w:pPr>
      <w:r>
        <w:t xml:space="preserve"> </w:t>
      </w:r>
    </w:p>
    <w:p w14:paraId="6C7F2740" w14:textId="1566A97D" w:rsidR="00121274" w:rsidRPr="002434EB" w:rsidRDefault="00000000" w:rsidP="00EF78CD">
      <w:pPr>
        <w:tabs>
          <w:tab w:val="center" w:pos="2016"/>
          <w:tab w:val="center" w:pos="3127"/>
          <w:tab w:val="center" w:pos="4239"/>
          <w:tab w:val="center" w:pos="6000"/>
          <w:tab w:val="center" w:pos="7757"/>
          <w:tab w:val="right" w:pos="9447"/>
        </w:tabs>
        <w:spacing w:after="0" w:line="240" w:lineRule="auto"/>
        <w:ind w:left="-15" w:right="0" w:firstLine="0"/>
        <w:jc w:val="left"/>
        <w:rPr>
          <w:lang w:val="en-US"/>
        </w:rPr>
      </w:pPr>
      <w:r w:rsidRPr="002434EB">
        <w:rPr>
          <w:lang w:val="en-US"/>
        </w:rPr>
        <w:t xml:space="preserve">Expression ~ sex + </w:t>
      </w:r>
      <w:proofErr w:type="spellStart"/>
      <w:r w:rsidRPr="002434EB">
        <w:rPr>
          <w:lang w:val="en-US"/>
        </w:rPr>
        <w:t>genetic_ancestry</w:t>
      </w:r>
      <w:proofErr w:type="spellEnd"/>
      <w:r w:rsidRPr="002434EB">
        <w:rPr>
          <w:lang w:val="en-US"/>
        </w:rPr>
        <w:t xml:space="preserve"> + disease </w:t>
      </w:r>
    </w:p>
    <w:p w14:paraId="6511B69D" w14:textId="1E80D9A8" w:rsidR="00121274" w:rsidRPr="002434EB" w:rsidRDefault="00000000" w:rsidP="00EF78CD">
      <w:pPr>
        <w:spacing w:after="0" w:line="240" w:lineRule="auto"/>
        <w:ind w:left="-5" w:right="35"/>
        <w:rPr>
          <w:lang w:val="en-US"/>
        </w:rPr>
      </w:pPr>
      <w:r w:rsidRPr="002434EB">
        <w:rPr>
          <w:lang w:val="en-US"/>
        </w:rPr>
        <w:t xml:space="preserve"> </w:t>
      </w:r>
      <w:proofErr w:type="spellStart"/>
      <w:r w:rsidRPr="002434EB">
        <w:rPr>
          <w:lang w:val="en-US"/>
        </w:rPr>
        <w:t>où</w:t>
      </w:r>
      <w:proofErr w:type="spellEnd"/>
      <w:r w:rsidRPr="002434EB">
        <w:rPr>
          <w:lang w:val="en-US"/>
        </w:rPr>
        <w:t xml:space="preserve"> : </w:t>
      </w:r>
    </w:p>
    <w:p w14:paraId="73978251" w14:textId="7C1B9F1A" w:rsidR="00121274" w:rsidRDefault="00000000" w:rsidP="00EF78CD">
      <w:pPr>
        <w:numPr>
          <w:ilvl w:val="0"/>
          <w:numId w:val="10"/>
        </w:numPr>
        <w:spacing w:after="0" w:line="240" w:lineRule="auto"/>
        <w:ind w:right="35" w:hanging="884"/>
      </w:pPr>
      <w:proofErr w:type="spellStart"/>
      <w:r>
        <w:t>sex</w:t>
      </w:r>
      <w:proofErr w:type="spellEnd"/>
      <w:r>
        <w:t xml:space="preserve"> : Sexe biologique (male/</w:t>
      </w:r>
      <w:proofErr w:type="spellStart"/>
      <w:r>
        <w:t>female</w:t>
      </w:r>
      <w:proofErr w:type="spellEnd"/>
      <w:r>
        <w:t xml:space="preserve">) — </w:t>
      </w:r>
      <w:proofErr w:type="spellStart"/>
      <w:r>
        <w:t>covariable</w:t>
      </w:r>
      <w:proofErr w:type="spellEnd"/>
      <w:r>
        <w:t xml:space="preserve"> d'ajustement </w:t>
      </w:r>
    </w:p>
    <w:p w14:paraId="166F631A" w14:textId="77777777" w:rsidR="00121274" w:rsidRDefault="00000000" w:rsidP="00EF78CD">
      <w:pPr>
        <w:numPr>
          <w:ilvl w:val="0"/>
          <w:numId w:val="10"/>
        </w:numPr>
        <w:spacing w:after="0" w:line="240" w:lineRule="auto"/>
        <w:ind w:right="35" w:hanging="884"/>
      </w:pPr>
      <w:proofErr w:type="spellStart"/>
      <w:r>
        <w:t>genetic_ancestry</w:t>
      </w:r>
      <w:proofErr w:type="spellEnd"/>
      <w:r>
        <w:t xml:space="preserve"> : Ascendance génétique (European/East Asian/Asian) — </w:t>
      </w:r>
      <w:proofErr w:type="spellStart"/>
      <w:r>
        <w:t>covariable</w:t>
      </w:r>
      <w:proofErr w:type="spellEnd"/>
      <w:r>
        <w:t xml:space="preserve"> d'ajustement </w:t>
      </w:r>
    </w:p>
    <w:p w14:paraId="4A3991B8" w14:textId="51EF28A4" w:rsidR="00121274" w:rsidRDefault="00000000" w:rsidP="00EF78CD">
      <w:pPr>
        <w:numPr>
          <w:ilvl w:val="0"/>
          <w:numId w:val="10"/>
        </w:numPr>
        <w:spacing w:after="0" w:line="240" w:lineRule="auto"/>
        <w:ind w:right="35" w:hanging="884"/>
      </w:pPr>
      <w:r>
        <w:t xml:space="preserve">disease : Groupe diagnostique (AD/PD/CTRL) — variable d'intérêt </w:t>
      </w:r>
    </w:p>
    <w:p w14:paraId="1D981F4E" w14:textId="77777777" w:rsidR="00121274" w:rsidRDefault="00000000" w:rsidP="00EF78CD">
      <w:pPr>
        <w:spacing w:after="0" w:line="240" w:lineRule="auto"/>
        <w:ind w:left="0" w:right="0" w:firstLine="0"/>
        <w:jc w:val="left"/>
      </w:pPr>
      <w:r>
        <w:t xml:space="preserve"> </w:t>
      </w:r>
    </w:p>
    <w:p w14:paraId="6FF5B68B" w14:textId="4645781C" w:rsidR="00121274" w:rsidRDefault="00000000" w:rsidP="00EF78CD">
      <w:pPr>
        <w:tabs>
          <w:tab w:val="center" w:pos="5174"/>
          <w:tab w:val="right" w:pos="9447"/>
        </w:tabs>
        <w:spacing w:after="0" w:line="240" w:lineRule="auto"/>
        <w:ind w:left="-15" w:right="0" w:firstLine="0"/>
        <w:jc w:val="left"/>
      </w:pPr>
      <w:r>
        <w:t xml:space="preserve">Contrastes testés : </w:t>
      </w:r>
    </w:p>
    <w:p w14:paraId="4068F014" w14:textId="7E147368" w:rsidR="00121274" w:rsidRDefault="00000000" w:rsidP="00EF78CD">
      <w:pPr>
        <w:numPr>
          <w:ilvl w:val="0"/>
          <w:numId w:val="10"/>
        </w:numPr>
        <w:spacing w:after="0" w:line="240" w:lineRule="auto"/>
        <w:ind w:right="35" w:hanging="884"/>
      </w:pPr>
      <w:r>
        <w:t xml:space="preserve">AD vs CTRL (pour chaque type cellulaire) </w:t>
      </w:r>
    </w:p>
    <w:p w14:paraId="14CEF33B" w14:textId="0FD80DAD" w:rsidR="00121274" w:rsidRDefault="00000000" w:rsidP="00EF78CD">
      <w:pPr>
        <w:numPr>
          <w:ilvl w:val="0"/>
          <w:numId w:val="10"/>
        </w:numPr>
        <w:spacing w:after="0" w:line="240" w:lineRule="auto"/>
        <w:ind w:right="35" w:hanging="884"/>
      </w:pPr>
      <w:r>
        <w:t xml:space="preserve">PD vs CTRL (pour chaque type cellulaire) </w:t>
      </w:r>
    </w:p>
    <w:p w14:paraId="6255C83E" w14:textId="77777777" w:rsidR="00121274" w:rsidRDefault="00000000" w:rsidP="00EF78CD">
      <w:pPr>
        <w:spacing w:after="0" w:line="240" w:lineRule="auto"/>
        <w:ind w:left="0" w:right="0" w:firstLine="0"/>
        <w:jc w:val="left"/>
      </w:pPr>
      <w:r>
        <w:t xml:space="preserve"> </w:t>
      </w:r>
    </w:p>
    <w:p w14:paraId="0FEFDA01" w14:textId="0716A486" w:rsidR="00121274" w:rsidRDefault="00000000" w:rsidP="00EF78CD">
      <w:pPr>
        <w:tabs>
          <w:tab w:val="center" w:pos="3105"/>
          <w:tab w:val="center" w:pos="6279"/>
          <w:tab w:val="right" w:pos="9447"/>
        </w:tabs>
        <w:spacing w:after="0" w:line="240" w:lineRule="auto"/>
        <w:ind w:left="-15" w:right="0" w:firstLine="0"/>
        <w:jc w:val="left"/>
      </w:pPr>
      <w:r>
        <w:t xml:space="preserve">Seuils de significativité : </w:t>
      </w:r>
    </w:p>
    <w:p w14:paraId="7F8B05EB" w14:textId="41076A52" w:rsidR="00121274" w:rsidRDefault="00000000" w:rsidP="00EF78CD">
      <w:pPr>
        <w:numPr>
          <w:ilvl w:val="0"/>
          <w:numId w:val="10"/>
        </w:numPr>
        <w:spacing w:after="0" w:line="240" w:lineRule="auto"/>
        <w:ind w:right="35" w:hanging="884"/>
      </w:pPr>
      <w:r>
        <w:t xml:space="preserve">p-value ajustée (FDR, méthode </w:t>
      </w:r>
      <w:proofErr w:type="spellStart"/>
      <w:r>
        <w:t>Benjamini-Hochberg</w:t>
      </w:r>
      <w:proofErr w:type="spellEnd"/>
      <w:r>
        <w:t xml:space="preserve">) : </w:t>
      </w:r>
      <w:proofErr w:type="spellStart"/>
      <w:r>
        <w:t>padj</w:t>
      </w:r>
      <w:proofErr w:type="spellEnd"/>
      <w:r>
        <w:t xml:space="preserve"> &lt; 0,05 </w:t>
      </w:r>
    </w:p>
    <w:p w14:paraId="136EF2FF" w14:textId="77777777" w:rsidR="00121274" w:rsidRDefault="00000000" w:rsidP="00EF78CD">
      <w:pPr>
        <w:numPr>
          <w:ilvl w:val="0"/>
          <w:numId w:val="10"/>
        </w:numPr>
        <w:spacing w:after="0" w:line="240" w:lineRule="auto"/>
        <w:ind w:right="35" w:hanging="884"/>
      </w:pPr>
      <w:proofErr w:type="spellStart"/>
      <w:r>
        <w:t>Fold</w:t>
      </w:r>
      <w:proofErr w:type="spellEnd"/>
      <w:r>
        <w:t xml:space="preserve">-change biologique minimum : |log2FC| &gt; 0,5 (soit FC &gt; 1,41 ou FC &lt; 0,71) </w:t>
      </w:r>
    </w:p>
    <w:p w14:paraId="226CE666" w14:textId="77777777" w:rsidR="00121274" w:rsidRDefault="00000000" w:rsidP="00EF78CD">
      <w:pPr>
        <w:spacing w:after="0" w:line="240" w:lineRule="auto"/>
        <w:ind w:left="1436" w:right="0"/>
        <w:jc w:val="left"/>
      </w:pPr>
      <w:r>
        <w:rPr>
          <w:rFonts w:ascii="Segoe UI Emoji" w:eastAsia="Segoe UI Emoji" w:hAnsi="Segoe UI Emoji" w:cs="Segoe UI Emoji"/>
          <w:color w:val="1A5490"/>
          <w:sz w:val="18"/>
        </w:rPr>
        <w:t>📘</w:t>
      </w:r>
      <w:r>
        <w:rPr>
          <w:rFonts w:ascii="Century Gothic" w:eastAsia="Century Gothic" w:hAnsi="Century Gothic" w:cs="Century Gothic"/>
          <w:b/>
          <w:color w:val="1A5490"/>
          <w:sz w:val="18"/>
        </w:rPr>
        <w:t xml:space="preserve"> NOTE PÉDAGOGIQUE - Rôle des </w:t>
      </w:r>
      <w:proofErr w:type="spellStart"/>
      <w:r>
        <w:rPr>
          <w:rFonts w:ascii="Century Gothic" w:eastAsia="Century Gothic" w:hAnsi="Century Gothic" w:cs="Century Gothic"/>
          <w:b/>
          <w:color w:val="1A5490"/>
          <w:sz w:val="18"/>
        </w:rPr>
        <w:t>covariables</w:t>
      </w:r>
      <w:proofErr w:type="spellEnd"/>
      <w:r>
        <w:rPr>
          <w:rFonts w:ascii="Century Gothic" w:eastAsia="Century Gothic" w:hAnsi="Century Gothic" w:cs="Century Gothic"/>
          <w:b/>
          <w:color w:val="1A5490"/>
          <w:sz w:val="18"/>
        </w:rPr>
        <w:t xml:space="preserve"> d'ajustement dans le modèle DESeq2 </w:t>
      </w:r>
      <w:r>
        <w:rPr>
          <w:rFonts w:ascii="Century Gothic" w:eastAsia="Century Gothic" w:hAnsi="Century Gothic" w:cs="Century Gothic"/>
          <w:color w:val="1A5490"/>
          <w:sz w:val="18"/>
        </w:rPr>
        <w:t>Pourquoi inclure '</w:t>
      </w:r>
      <w:proofErr w:type="spellStart"/>
      <w:r>
        <w:rPr>
          <w:rFonts w:ascii="Century Gothic" w:eastAsia="Century Gothic" w:hAnsi="Century Gothic" w:cs="Century Gothic"/>
          <w:color w:val="1A5490"/>
          <w:sz w:val="18"/>
        </w:rPr>
        <w:t>sex</w:t>
      </w:r>
      <w:proofErr w:type="spellEnd"/>
      <w:r>
        <w:rPr>
          <w:rFonts w:ascii="Century Gothic" w:eastAsia="Century Gothic" w:hAnsi="Century Gothic" w:cs="Century Gothic"/>
          <w:color w:val="1A5490"/>
          <w:sz w:val="18"/>
        </w:rPr>
        <w:t>' et '</w:t>
      </w:r>
      <w:proofErr w:type="spellStart"/>
      <w:r>
        <w:rPr>
          <w:rFonts w:ascii="Century Gothic" w:eastAsia="Century Gothic" w:hAnsi="Century Gothic" w:cs="Century Gothic"/>
          <w:color w:val="1A5490"/>
          <w:sz w:val="18"/>
        </w:rPr>
        <w:t>genetic_ancestry</w:t>
      </w:r>
      <w:proofErr w:type="spellEnd"/>
      <w:r>
        <w:rPr>
          <w:rFonts w:ascii="Century Gothic" w:eastAsia="Century Gothic" w:hAnsi="Century Gothic" w:cs="Century Gothic"/>
          <w:color w:val="1A5490"/>
          <w:sz w:val="18"/>
        </w:rPr>
        <w:t xml:space="preserve">' dans le modèle ? </w:t>
      </w:r>
    </w:p>
    <w:p w14:paraId="46CF8EA7" w14:textId="77777777" w:rsidR="00121274" w:rsidRDefault="00000000" w:rsidP="00EF78CD">
      <w:pPr>
        <w:spacing w:after="0" w:line="240" w:lineRule="auto"/>
        <w:ind w:left="1441" w:right="0" w:firstLine="0"/>
        <w:jc w:val="left"/>
      </w:pPr>
      <w:r>
        <w:rPr>
          <w:rFonts w:ascii="Century Gothic" w:eastAsia="Century Gothic" w:hAnsi="Century Gothic" w:cs="Century Gothic"/>
          <w:color w:val="1A5490"/>
          <w:sz w:val="18"/>
        </w:rPr>
        <w:t xml:space="preserve"> </w:t>
      </w:r>
    </w:p>
    <w:p w14:paraId="23A06DF8" w14:textId="77777777" w:rsidR="00121274" w:rsidRDefault="00000000" w:rsidP="00EF78CD">
      <w:pPr>
        <w:spacing w:after="0" w:line="240" w:lineRule="auto"/>
        <w:ind w:left="1436" w:right="21"/>
        <w:jc w:val="left"/>
      </w:pPr>
      <w:r>
        <w:rPr>
          <w:rFonts w:ascii="Century Gothic" w:eastAsia="Century Gothic" w:hAnsi="Century Gothic" w:cs="Century Gothic"/>
          <w:color w:val="1A5490"/>
          <w:sz w:val="18"/>
        </w:rPr>
        <w:t xml:space="preserve">Sans ajustement, si les groupes AD et CTRL diffèrent systématiquement en termes de sexe (ex: AD=70% hommes, CTRL=50% hommes), les DEGs identifiés pourraient refléter des différences liées au SEXE plutôt qu'à la PATHOLOGIE. Le modèle DESeq2 'nettoie' statistiquement l'effet du sexe et de l'ascendance AVANT de calculer l'effet de la maladie. On obtient ainsi l'effet 'pur' de AD vs CTRL, indépendant des biais démographiques. </w:t>
      </w:r>
    </w:p>
    <w:p w14:paraId="5CA779A4" w14:textId="77777777" w:rsidR="00121274" w:rsidRDefault="00000000" w:rsidP="00EF78CD">
      <w:pPr>
        <w:spacing w:after="0" w:line="240" w:lineRule="auto"/>
        <w:ind w:left="1441" w:right="0" w:firstLine="0"/>
        <w:jc w:val="left"/>
      </w:pPr>
      <w:r>
        <w:rPr>
          <w:rFonts w:ascii="Century Gothic" w:eastAsia="Century Gothic" w:hAnsi="Century Gothic" w:cs="Century Gothic"/>
          <w:color w:val="1A5490"/>
          <w:sz w:val="18"/>
        </w:rPr>
        <w:t xml:space="preserve"> </w:t>
      </w:r>
    </w:p>
    <w:p w14:paraId="1FF26B69" w14:textId="77777777" w:rsidR="00121274" w:rsidRDefault="00000000" w:rsidP="00EF78CD">
      <w:pPr>
        <w:spacing w:after="0" w:line="240" w:lineRule="auto"/>
        <w:ind w:left="1436" w:right="510"/>
      </w:pPr>
      <w:r>
        <w:rPr>
          <w:rFonts w:ascii="Century Gothic" w:eastAsia="Century Gothic" w:hAnsi="Century Gothic" w:cs="Century Gothic"/>
          <w:color w:val="1A5490"/>
          <w:sz w:val="18"/>
        </w:rPr>
        <w:t>Analogie : Imaginez mesurer l'effet d'un médicament sur la tension artérielle, mais vos groupes traité/placebo ont des âges différents. Vous devez 'contrôler pour l'âge' dans votre analyse statistique pour isoler l'effet réel du médicament.</w:t>
      </w:r>
      <w:r>
        <w:t xml:space="preserve"> </w:t>
      </w:r>
    </w:p>
    <w:p w14:paraId="320F6506" w14:textId="77777777" w:rsidR="00121274" w:rsidRDefault="00000000" w:rsidP="00EF78CD">
      <w:pPr>
        <w:spacing w:after="0" w:line="240" w:lineRule="auto"/>
        <w:ind w:left="24" w:right="0" w:firstLine="0"/>
        <w:jc w:val="center"/>
      </w:pPr>
      <w:r>
        <w:t xml:space="preserve"> </w:t>
      </w:r>
    </w:p>
    <w:p w14:paraId="13A374C5" w14:textId="77777777" w:rsidR="00121274" w:rsidRDefault="00000000" w:rsidP="00EF78CD">
      <w:pPr>
        <w:spacing w:after="0" w:line="240" w:lineRule="auto"/>
        <w:ind w:left="24" w:right="0" w:firstLine="0"/>
        <w:jc w:val="center"/>
      </w:pPr>
      <w:r>
        <w:t xml:space="preserve"> </w:t>
      </w:r>
    </w:p>
    <w:p w14:paraId="00C35807" w14:textId="5486996A" w:rsidR="00121274" w:rsidRDefault="00000000" w:rsidP="00EF78CD">
      <w:pPr>
        <w:spacing w:after="0" w:line="240" w:lineRule="auto"/>
        <w:ind w:left="0" w:right="0" w:firstLine="0"/>
        <w:jc w:val="left"/>
      </w:pPr>
      <w:r>
        <w:t xml:space="preserve">  </w:t>
      </w:r>
    </w:p>
    <w:p w14:paraId="6114A955" w14:textId="77777777" w:rsidR="00121274" w:rsidRDefault="00000000" w:rsidP="00EF78CD">
      <w:pPr>
        <w:pStyle w:val="Titre1"/>
        <w:spacing w:after="0" w:line="240" w:lineRule="auto"/>
        <w:ind w:left="305" w:hanging="320"/>
      </w:pPr>
      <w:r>
        <w:t xml:space="preserve">Résultats </w:t>
      </w:r>
    </w:p>
    <w:p w14:paraId="70B102D6" w14:textId="77777777" w:rsidR="00121274" w:rsidRDefault="00000000" w:rsidP="00EF78CD">
      <w:pPr>
        <w:pStyle w:val="Titre2"/>
        <w:spacing w:after="0" w:line="240" w:lineRule="auto"/>
        <w:ind w:left="483" w:hanging="498"/>
      </w:pPr>
      <w:r>
        <w:t xml:space="preserve">Caractérisation globale de la cohorte </w:t>
      </w:r>
    </w:p>
    <w:p w14:paraId="51C6B2B1" w14:textId="77777777" w:rsidR="00121274" w:rsidRDefault="00000000" w:rsidP="00EF78CD">
      <w:pPr>
        <w:spacing w:after="0" w:line="240" w:lineRule="auto"/>
        <w:ind w:left="-5" w:right="35"/>
      </w:pPr>
      <w:r>
        <w:t xml:space="preserve">La projection UMAP de la cohorte finale (Figure 8) montre un bon mélange spatial des trois groupes diagnostiques (AD, PD, CTRL), sans ségrégation évidente par condition. Cette observation suggère que les différences transcriptomiques entre groupes sont subtiles et spécifiques à certains types cellulaires, plutôt que globales et systématiques. L'absence de clustering par donneur ou par batch technique confirme l'efficacité de la normalisation et l'absence d'artefacts batch majeurs. La Figure 9 confirme également un bon mélange des ascendances génétiques, validant la stratégie de contrôle dans le modèle statistique. </w:t>
      </w:r>
    </w:p>
    <w:p w14:paraId="4EC22051" w14:textId="77777777" w:rsidR="00121274" w:rsidRDefault="00000000" w:rsidP="00EF78CD">
      <w:pPr>
        <w:pStyle w:val="Titre2"/>
        <w:spacing w:after="0" w:line="240" w:lineRule="auto"/>
        <w:ind w:left="483" w:hanging="498"/>
      </w:pPr>
      <w:r>
        <w:t xml:space="preserve">Composition cellulaire du DLPFC </w:t>
      </w:r>
    </w:p>
    <w:p w14:paraId="085EB279" w14:textId="77777777" w:rsidR="00121274" w:rsidRDefault="00000000" w:rsidP="00EF78CD">
      <w:pPr>
        <w:spacing w:after="0" w:line="240" w:lineRule="auto"/>
        <w:ind w:left="-5" w:right="35"/>
      </w:pPr>
      <w:r>
        <w:t xml:space="preserve">Les 8 macro-types cellulaires identifiés montrent la composition attendue du cortex cérébral, dominée par les neurones (57% du total : 36,3% excitateurs + 20,7% inhibiteurs) et complétée par les populations gliales (oligodendrocytes/OPC 15,4%, astrocytes 8,7%, microglie 7,8%). La composition relative est stable entre groupes diagnostiques, suggérant que les altérations pathologiques sont principalement transcriptomiques plutôt que démographiques (pas de perte massive de types cellulaires). </w:t>
      </w:r>
    </w:p>
    <w:p w14:paraId="33F186C7" w14:textId="77777777" w:rsidR="00121274" w:rsidRDefault="00000000" w:rsidP="00EF78CD">
      <w:pPr>
        <w:spacing w:after="0" w:line="240" w:lineRule="auto"/>
        <w:ind w:left="0" w:right="360" w:firstLine="0"/>
        <w:jc w:val="right"/>
      </w:pPr>
      <w:r>
        <w:rPr>
          <w:noProof/>
        </w:rPr>
        <w:lastRenderedPageBreak/>
        <w:drawing>
          <wp:inline distT="0" distB="0" distL="0" distR="0" wp14:anchorId="61E72894" wp14:editId="7C0C8F3A">
            <wp:extent cx="5485765" cy="4361815"/>
            <wp:effectExtent l="0" t="0" r="0" b="0"/>
            <wp:docPr id="1439" name="Picture 1439"/>
            <wp:cNvGraphicFramePr/>
            <a:graphic xmlns:a="http://schemas.openxmlformats.org/drawingml/2006/main">
              <a:graphicData uri="http://schemas.openxmlformats.org/drawingml/2006/picture">
                <pic:pic xmlns:pic="http://schemas.openxmlformats.org/drawingml/2006/picture">
                  <pic:nvPicPr>
                    <pic:cNvPr id="1439" name="Picture 1439"/>
                    <pic:cNvPicPr/>
                  </pic:nvPicPr>
                  <pic:blipFill>
                    <a:blip r:embed="rId28"/>
                    <a:stretch>
                      <a:fillRect/>
                    </a:stretch>
                  </pic:blipFill>
                  <pic:spPr>
                    <a:xfrm>
                      <a:off x="0" y="0"/>
                      <a:ext cx="5485765" cy="4361815"/>
                    </a:xfrm>
                    <a:prstGeom prst="rect">
                      <a:avLst/>
                    </a:prstGeom>
                  </pic:spPr>
                </pic:pic>
              </a:graphicData>
            </a:graphic>
          </wp:inline>
        </w:drawing>
      </w:r>
      <w:r>
        <w:t xml:space="preserve"> </w:t>
      </w:r>
    </w:p>
    <w:p w14:paraId="53CC4A52" w14:textId="77777777" w:rsidR="00121274" w:rsidRDefault="00000000" w:rsidP="00EF78CD">
      <w:pPr>
        <w:spacing w:after="0" w:line="240" w:lineRule="auto"/>
        <w:ind w:right="0"/>
        <w:jc w:val="center"/>
      </w:pPr>
      <w:r>
        <w:rPr>
          <w:i/>
          <w:sz w:val="20"/>
        </w:rPr>
        <w:t>Figure 10. Projection UMAP colorée par macro-type cellulaire (classification 'class'). Les neurones excitateurs (EN, rouge) et inhibiteurs (IN, bleu) dominent numériquement, mais tous les types cellulaires majeurs du cortex sont représentés et spatialement séparés.</w:t>
      </w:r>
      <w:r>
        <w:t xml:space="preserve"> </w:t>
      </w:r>
    </w:p>
    <w:p w14:paraId="5F4C174F" w14:textId="77777777" w:rsidR="00121274" w:rsidRDefault="00000000" w:rsidP="00EF78CD">
      <w:pPr>
        <w:spacing w:after="0" w:line="240" w:lineRule="auto"/>
        <w:ind w:left="0" w:right="720" w:firstLine="0"/>
        <w:jc w:val="right"/>
      </w:pPr>
      <w:r>
        <w:rPr>
          <w:noProof/>
        </w:rPr>
        <w:drawing>
          <wp:inline distT="0" distB="0" distL="0" distR="0" wp14:anchorId="08DF9FA1" wp14:editId="05FBAB33">
            <wp:extent cx="5029073" cy="3091180"/>
            <wp:effectExtent l="0" t="0" r="0" b="0"/>
            <wp:docPr id="1622" name="Picture 1622"/>
            <wp:cNvGraphicFramePr/>
            <a:graphic xmlns:a="http://schemas.openxmlformats.org/drawingml/2006/main">
              <a:graphicData uri="http://schemas.openxmlformats.org/drawingml/2006/picture">
                <pic:pic xmlns:pic="http://schemas.openxmlformats.org/drawingml/2006/picture">
                  <pic:nvPicPr>
                    <pic:cNvPr id="1622" name="Picture 1622"/>
                    <pic:cNvPicPr/>
                  </pic:nvPicPr>
                  <pic:blipFill>
                    <a:blip r:embed="rId29"/>
                    <a:stretch>
                      <a:fillRect/>
                    </a:stretch>
                  </pic:blipFill>
                  <pic:spPr>
                    <a:xfrm>
                      <a:off x="0" y="0"/>
                      <a:ext cx="5029073" cy="3091180"/>
                    </a:xfrm>
                    <a:prstGeom prst="rect">
                      <a:avLst/>
                    </a:prstGeom>
                  </pic:spPr>
                </pic:pic>
              </a:graphicData>
            </a:graphic>
          </wp:inline>
        </w:drawing>
      </w:r>
      <w:r>
        <w:t xml:space="preserve"> </w:t>
      </w:r>
    </w:p>
    <w:p w14:paraId="052724A5" w14:textId="77777777" w:rsidR="00121274" w:rsidRDefault="00000000" w:rsidP="00EF78CD">
      <w:pPr>
        <w:spacing w:after="0" w:line="240" w:lineRule="auto"/>
        <w:ind w:right="0"/>
        <w:jc w:val="center"/>
      </w:pPr>
      <w:r>
        <w:rPr>
          <w:i/>
          <w:sz w:val="20"/>
        </w:rPr>
        <w:t>Figure 11. Distribution des noyaux par macro-type cellulaire. Les oligodendrocytes (Oligo) et neurones excitateurs (EN) dominent numériquement le cortex préfrontal.</w:t>
      </w:r>
      <w:r>
        <w:t xml:space="preserve"> </w:t>
      </w:r>
    </w:p>
    <w:p w14:paraId="49B5737B" w14:textId="77777777" w:rsidR="00121274" w:rsidRDefault="00000000" w:rsidP="00EF78CD">
      <w:pPr>
        <w:pStyle w:val="Titre2"/>
        <w:spacing w:after="0" w:line="240" w:lineRule="auto"/>
        <w:ind w:left="483" w:hanging="498"/>
      </w:pPr>
      <w:r>
        <w:lastRenderedPageBreak/>
        <w:t xml:space="preserve">Gènes différentiellement exprimés (DEGs) </w:t>
      </w:r>
    </w:p>
    <w:p w14:paraId="511C0F99" w14:textId="24502EB2" w:rsidR="00121274" w:rsidRDefault="00000000" w:rsidP="00EF78CD">
      <w:pPr>
        <w:tabs>
          <w:tab w:val="center" w:pos="2817"/>
          <w:tab w:val="center" w:pos="6439"/>
          <w:tab w:val="center" w:pos="9079"/>
        </w:tabs>
        <w:spacing w:after="0" w:line="240" w:lineRule="auto"/>
        <w:ind w:left="-15" w:right="0" w:firstLine="0"/>
        <w:jc w:val="left"/>
      </w:pPr>
      <w:r>
        <w:rPr>
          <w:rFonts w:ascii="Segoe UI Emoji" w:eastAsia="Segoe UI Emoji" w:hAnsi="Segoe UI Emoji" w:cs="Segoe UI Emoji"/>
        </w:rPr>
        <w:t xml:space="preserve">  </w:t>
      </w:r>
      <w:r>
        <w:t xml:space="preserve"> AVERTISSEMENT MÉTHODOLOGIQUE </w:t>
      </w:r>
      <w:r>
        <w:rPr>
          <w:rFonts w:ascii="Segoe UI Emoji" w:eastAsia="Segoe UI Emoji" w:hAnsi="Segoe UI Emoji" w:cs="Segoe UI Emoji"/>
        </w:rPr>
        <w:t xml:space="preserve">  </w:t>
      </w:r>
      <w:r>
        <w:t xml:space="preserve"> </w:t>
      </w:r>
    </w:p>
    <w:p w14:paraId="3C8F3939" w14:textId="77777777" w:rsidR="00121274" w:rsidRDefault="00000000" w:rsidP="00EF78CD">
      <w:pPr>
        <w:spacing w:after="0" w:line="240" w:lineRule="auto"/>
        <w:ind w:left="0" w:right="0" w:firstLine="0"/>
        <w:jc w:val="left"/>
      </w:pPr>
      <w:r>
        <w:t xml:space="preserve"> </w:t>
      </w:r>
    </w:p>
    <w:p w14:paraId="5D9314F9" w14:textId="77777777" w:rsidR="00121274" w:rsidRDefault="00000000" w:rsidP="00EF78CD">
      <w:pPr>
        <w:spacing w:after="0" w:line="240" w:lineRule="auto"/>
        <w:ind w:left="-5" w:right="35"/>
      </w:pPr>
      <w:r>
        <w:t xml:space="preserve">Les résultats quantitatifs présentés ci-dessous (nombres de DEGs, log2FC, </w:t>
      </w:r>
      <w:proofErr w:type="spellStart"/>
      <w:r>
        <w:t>padj</w:t>
      </w:r>
      <w:proofErr w:type="spellEnd"/>
      <w:r>
        <w:t xml:space="preserve">) sont basés sur une analyse R/DESeq2 complète mais DOIVENT être considérés comme préliminaires. L'interprétation biologique (signatures inflammatoires, dysfonction synaptique) est robuste et cohérente avec la littérature, mais les valeurs numériques exactes sont limitées par la taille réduite de la cohorte, en particulier pour la maladie de Parkinson (PD, n=3). </w:t>
      </w:r>
    </w:p>
    <w:p w14:paraId="6E98896B" w14:textId="77777777" w:rsidR="00121274" w:rsidRDefault="00000000" w:rsidP="00EF78CD">
      <w:pPr>
        <w:spacing w:after="0" w:line="240" w:lineRule="auto"/>
        <w:ind w:left="0" w:right="0" w:firstLine="0"/>
        <w:jc w:val="left"/>
      </w:pPr>
      <w:r>
        <w:t xml:space="preserve"> </w:t>
      </w:r>
    </w:p>
    <w:p w14:paraId="6CDCBC76" w14:textId="77777777" w:rsidR="00121274" w:rsidRDefault="00000000" w:rsidP="00EF78CD">
      <w:pPr>
        <w:spacing w:after="0" w:line="240" w:lineRule="auto"/>
        <w:ind w:left="-5" w:right="35"/>
      </w:pPr>
      <w:r>
        <w:t xml:space="preserve">Le Tableau 3 résume les résultats de l'analyse différentielle par type cellulaire et contraste, en distinguant les gènes significatifs après correction pour tests multiples (FDR&lt;0,05) et les gènes en forte tendance (P&lt;0,01) qui restent biologiquement informatifs malgré l'absence de significativité stricte. </w:t>
      </w:r>
    </w:p>
    <w:tbl>
      <w:tblPr>
        <w:tblStyle w:val="TableGrid"/>
        <w:tblW w:w="9620" w:type="dxa"/>
        <w:tblInd w:w="-105" w:type="dxa"/>
        <w:tblCellMar>
          <w:top w:w="54" w:type="dxa"/>
          <w:left w:w="105" w:type="dxa"/>
          <w:right w:w="50" w:type="dxa"/>
        </w:tblCellMar>
        <w:tblLook w:val="04A0" w:firstRow="1" w:lastRow="0" w:firstColumn="1" w:lastColumn="0" w:noHBand="0" w:noVBand="1"/>
      </w:tblPr>
      <w:tblGrid>
        <w:gridCol w:w="2736"/>
        <w:gridCol w:w="1512"/>
        <w:gridCol w:w="752"/>
        <w:gridCol w:w="1233"/>
        <w:gridCol w:w="1333"/>
        <w:gridCol w:w="2054"/>
      </w:tblGrid>
      <w:tr w:rsidR="00121274" w14:paraId="0A977706" w14:textId="77777777">
        <w:trPr>
          <w:trHeight w:val="546"/>
        </w:trPr>
        <w:tc>
          <w:tcPr>
            <w:tcW w:w="2737" w:type="dxa"/>
            <w:tcBorders>
              <w:top w:val="single" w:sz="8" w:space="0" w:color="4F81BD"/>
              <w:left w:val="single" w:sz="8" w:space="0" w:color="4F81BD"/>
              <w:bottom w:val="single" w:sz="18" w:space="0" w:color="4F81BD"/>
              <w:right w:val="single" w:sz="8" w:space="0" w:color="4F81BD"/>
            </w:tcBorders>
          </w:tcPr>
          <w:p w14:paraId="6B36FEF7" w14:textId="77777777" w:rsidR="00121274" w:rsidRDefault="00000000" w:rsidP="00EF78CD">
            <w:pPr>
              <w:spacing w:after="0" w:line="240" w:lineRule="auto"/>
              <w:ind w:left="0" w:right="0" w:firstLine="0"/>
              <w:jc w:val="left"/>
            </w:pPr>
            <w:r>
              <w:rPr>
                <w:b/>
                <w:sz w:val="22"/>
              </w:rPr>
              <w:t>Cell type</w:t>
            </w:r>
            <w:r>
              <w:rPr>
                <w:b/>
              </w:rPr>
              <w:t xml:space="preserve"> </w:t>
            </w:r>
          </w:p>
        </w:tc>
        <w:tc>
          <w:tcPr>
            <w:tcW w:w="1512" w:type="dxa"/>
            <w:tcBorders>
              <w:top w:val="single" w:sz="8" w:space="0" w:color="4F81BD"/>
              <w:left w:val="single" w:sz="8" w:space="0" w:color="4F81BD"/>
              <w:bottom w:val="single" w:sz="18" w:space="0" w:color="4F81BD"/>
              <w:right w:val="single" w:sz="8" w:space="0" w:color="4F81BD"/>
            </w:tcBorders>
          </w:tcPr>
          <w:p w14:paraId="37E02C90" w14:textId="77777777" w:rsidR="00121274" w:rsidRDefault="00000000" w:rsidP="00EF78CD">
            <w:pPr>
              <w:spacing w:after="0" w:line="240" w:lineRule="auto"/>
              <w:ind w:left="1" w:right="0" w:firstLine="0"/>
              <w:jc w:val="left"/>
            </w:pPr>
            <w:r>
              <w:rPr>
                <w:b/>
                <w:sz w:val="22"/>
              </w:rPr>
              <w:t>Contraste</w:t>
            </w:r>
            <w:r>
              <w:rPr>
                <w:b/>
              </w:rPr>
              <w:t xml:space="preserve"> </w:t>
            </w:r>
          </w:p>
        </w:tc>
        <w:tc>
          <w:tcPr>
            <w:tcW w:w="752" w:type="dxa"/>
            <w:tcBorders>
              <w:top w:val="single" w:sz="8" w:space="0" w:color="4F81BD"/>
              <w:left w:val="single" w:sz="8" w:space="0" w:color="4F81BD"/>
              <w:bottom w:val="single" w:sz="18" w:space="0" w:color="4F81BD"/>
              <w:right w:val="single" w:sz="8" w:space="0" w:color="4F81BD"/>
            </w:tcBorders>
          </w:tcPr>
          <w:p w14:paraId="2E1A5A45" w14:textId="77777777" w:rsidR="00121274" w:rsidRDefault="00000000" w:rsidP="00EF78CD">
            <w:pPr>
              <w:spacing w:after="0" w:line="240" w:lineRule="auto"/>
              <w:ind w:left="5" w:right="0" w:firstLine="0"/>
              <w:jc w:val="left"/>
            </w:pPr>
            <w:r>
              <w:rPr>
                <w:b/>
                <w:sz w:val="22"/>
              </w:rPr>
              <w:t>Total</w:t>
            </w:r>
            <w:r>
              <w:rPr>
                <w:b/>
              </w:rPr>
              <w:t xml:space="preserve"> </w:t>
            </w:r>
          </w:p>
        </w:tc>
        <w:tc>
          <w:tcPr>
            <w:tcW w:w="1233" w:type="dxa"/>
            <w:tcBorders>
              <w:top w:val="single" w:sz="8" w:space="0" w:color="4F81BD"/>
              <w:left w:val="single" w:sz="8" w:space="0" w:color="4F81BD"/>
              <w:bottom w:val="single" w:sz="18" w:space="0" w:color="4F81BD"/>
              <w:right w:val="single" w:sz="8" w:space="0" w:color="4F81BD"/>
            </w:tcBorders>
          </w:tcPr>
          <w:p w14:paraId="4405C742" w14:textId="77777777" w:rsidR="00121274" w:rsidRDefault="00000000" w:rsidP="00EF78CD">
            <w:pPr>
              <w:spacing w:after="0" w:line="240" w:lineRule="auto"/>
              <w:ind w:left="0" w:right="0" w:firstLine="0"/>
              <w:jc w:val="left"/>
            </w:pPr>
            <w:r>
              <w:rPr>
                <w:b/>
                <w:sz w:val="22"/>
              </w:rPr>
              <w:t>Tendances (P&lt;0.01)</w:t>
            </w:r>
            <w:r>
              <w:rPr>
                <w:b/>
              </w:rPr>
              <w:t xml:space="preserve"> </w:t>
            </w:r>
          </w:p>
        </w:tc>
        <w:tc>
          <w:tcPr>
            <w:tcW w:w="1333" w:type="dxa"/>
            <w:tcBorders>
              <w:top w:val="single" w:sz="8" w:space="0" w:color="4F81BD"/>
              <w:left w:val="single" w:sz="8" w:space="0" w:color="4F81BD"/>
              <w:bottom w:val="single" w:sz="18" w:space="0" w:color="4F81BD"/>
              <w:right w:val="single" w:sz="8" w:space="0" w:color="4F81BD"/>
            </w:tcBorders>
          </w:tcPr>
          <w:p w14:paraId="2CB9FFAD" w14:textId="77777777" w:rsidR="00121274" w:rsidRDefault="00000000" w:rsidP="00EF78CD">
            <w:pPr>
              <w:spacing w:after="0" w:line="240" w:lineRule="auto"/>
              <w:ind w:left="0" w:right="0" w:firstLine="0"/>
              <w:jc w:val="left"/>
            </w:pPr>
            <w:proofErr w:type="spellStart"/>
            <w:r>
              <w:rPr>
                <w:b/>
                <w:sz w:val="22"/>
              </w:rPr>
              <w:t>Signif</w:t>
            </w:r>
            <w:proofErr w:type="spellEnd"/>
            <w:r>
              <w:rPr>
                <w:b/>
                <w:sz w:val="22"/>
              </w:rPr>
              <w:t xml:space="preserve">. </w:t>
            </w:r>
          </w:p>
          <w:p w14:paraId="76925B5F" w14:textId="77777777" w:rsidR="00121274" w:rsidRDefault="00000000" w:rsidP="00EF78CD">
            <w:pPr>
              <w:spacing w:after="0" w:line="240" w:lineRule="auto"/>
              <w:ind w:left="0" w:right="0" w:firstLine="0"/>
            </w:pPr>
            <w:r>
              <w:rPr>
                <w:b/>
                <w:sz w:val="22"/>
              </w:rPr>
              <w:t>(FDR&lt;0.05)</w:t>
            </w:r>
            <w:r>
              <w:rPr>
                <w:b/>
              </w:rPr>
              <w:t xml:space="preserve"> </w:t>
            </w:r>
          </w:p>
        </w:tc>
        <w:tc>
          <w:tcPr>
            <w:tcW w:w="2054" w:type="dxa"/>
            <w:tcBorders>
              <w:top w:val="single" w:sz="8" w:space="0" w:color="4F81BD"/>
              <w:left w:val="single" w:sz="8" w:space="0" w:color="4F81BD"/>
              <w:bottom w:val="single" w:sz="18" w:space="0" w:color="4F81BD"/>
              <w:right w:val="single" w:sz="8" w:space="0" w:color="4F81BD"/>
            </w:tcBorders>
          </w:tcPr>
          <w:p w14:paraId="67C84F4F" w14:textId="77777777" w:rsidR="00121274" w:rsidRDefault="00000000" w:rsidP="00EF78CD">
            <w:pPr>
              <w:spacing w:after="0" w:line="240" w:lineRule="auto"/>
              <w:ind w:left="4" w:right="0" w:firstLine="0"/>
              <w:jc w:val="left"/>
            </w:pPr>
            <w:r>
              <w:rPr>
                <w:b/>
                <w:sz w:val="22"/>
              </w:rPr>
              <w:t>Top gènes</w:t>
            </w:r>
            <w:r>
              <w:rPr>
                <w:b/>
              </w:rPr>
              <w:t xml:space="preserve"> </w:t>
            </w:r>
          </w:p>
        </w:tc>
      </w:tr>
      <w:tr w:rsidR="00121274" w14:paraId="2AF68005" w14:textId="77777777">
        <w:trPr>
          <w:trHeight w:val="785"/>
        </w:trPr>
        <w:tc>
          <w:tcPr>
            <w:tcW w:w="2737" w:type="dxa"/>
            <w:tcBorders>
              <w:top w:val="single" w:sz="18" w:space="0" w:color="4F81BD"/>
              <w:left w:val="single" w:sz="8" w:space="0" w:color="4F81BD"/>
              <w:bottom w:val="single" w:sz="8" w:space="0" w:color="4F81BD"/>
              <w:right w:val="single" w:sz="8" w:space="0" w:color="4F81BD"/>
            </w:tcBorders>
            <w:shd w:val="clear" w:color="auto" w:fill="D3DFEE"/>
          </w:tcPr>
          <w:p w14:paraId="6FBDD52D" w14:textId="77777777" w:rsidR="00121274" w:rsidRDefault="00000000" w:rsidP="00EF78CD">
            <w:pPr>
              <w:spacing w:after="0" w:line="240" w:lineRule="auto"/>
              <w:ind w:left="0" w:right="0" w:firstLine="0"/>
              <w:jc w:val="left"/>
            </w:pPr>
            <w:proofErr w:type="spellStart"/>
            <w:r>
              <w:rPr>
                <w:b/>
                <w:sz w:val="22"/>
              </w:rPr>
              <w:t>Astrocyte.Homeostatic</w:t>
            </w:r>
            <w:proofErr w:type="spellEnd"/>
            <w:r>
              <w:rPr>
                <w:b/>
              </w:rPr>
              <w:t xml:space="preserve"> </w:t>
            </w:r>
          </w:p>
        </w:tc>
        <w:tc>
          <w:tcPr>
            <w:tcW w:w="1512" w:type="dxa"/>
            <w:tcBorders>
              <w:top w:val="single" w:sz="18" w:space="0" w:color="4F81BD"/>
              <w:left w:val="single" w:sz="8" w:space="0" w:color="4F81BD"/>
              <w:bottom w:val="single" w:sz="8" w:space="0" w:color="4F81BD"/>
              <w:right w:val="single" w:sz="8" w:space="0" w:color="4F81BD"/>
            </w:tcBorders>
            <w:shd w:val="clear" w:color="auto" w:fill="D3DFEE"/>
          </w:tcPr>
          <w:p w14:paraId="60A821CC" w14:textId="77777777" w:rsidR="00121274" w:rsidRDefault="00000000" w:rsidP="00EF78CD">
            <w:pPr>
              <w:spacing w:after="0" w:line="240" w:lineRule="auto"/>
              <w:ind w:left="1" w:right="0" w:firstLine="0"/>
            </w:pPr>
            <w:proofErr w:type="spellStart"/>
            <w:r>
              <w:rPr>
                <w:sz w:val="22"/>
              </w:rPr>
              <w:t>AD_vs_CTRL</w:t>
            </w:r>
            <w:proofErr w:type="spellEnd"/>
            <w:r>
              <w:t xml:space="preserve"> </w:t>
            </w:r>
          </w:p>
        </w:tc>
        <w:tc>
          <w:tcPr>
            <w:tcW w:w="752" w:type="dxa"/>
            <w:tcBorders>
              <w:top w:val="single" w:sz="18" w:space="0" w:color="4F81BD"/>
              <w:left w:val="single" w:sz="8" w:space="0" w:color="4F81BD"/>
              <w:bottom w:val="single" w:sz="8" w:space="0" w:color="4F81BD"/>
              <w:right w:val="single" w:sz="8" w:space="0" w:color="4F81BD"/>
            </w:tcBorders>
            <w:shd w:val="clear" w:color="auto" w:fill="D3DFEE"/>
          </w:tcPr>
          <w:p w14:paraId="2D257217" w14:textId="77777777" w:rsidR="00121274" w:rsidRDefault="00000000" w:rsidP="00EF78CD">
            <w:pPr>
              <w:spacing w:after="0" w:line="240" w:lineRule="auto"/>
              <w:ind w:left="5" w:right="0" w:firstLine="0"/>
              <w:jc w:val="left"/>
            </w:pPr>
            <w:r>
              <w:rPr>
                <w:sz w:val="22"/>
              </w:rPr>
              <w:t>1578</w:t>
            </w:r>
            <w:r>
              <w:t xml:space="preserve"> </w:t>
            </w:r>
          </w:p>
        </w:tc>
        <w:tc>
          <w:tcPr>
            <w:tcW w:w="1233" w:type="dxa"/>
            <w:tcBorders>
              <w:top w:val="single" w:sz="18" w:space="0" w:color="4F81BD"/>
              <w:left w:val="single" w:sz="8" w:space="0" w:color="4F81BD"/>
              <w:bottom w:val="single" w:sz="8" w:space="0" w:color="4F81BD"/>
              <w:right w:val="single" w:sz="8" w:space="0" w:color="4F81BD"/>
            </w:tcBorders>
            <w:shd w:val="clear" w:color="auto" w:fill="D3DFEE"/>
          </w:tcPr>
          <w:p w14:paraId="1096B42D" w14:textId="77777777" w:rsidR="00121274" w:rsidRDefault="00000000" w:rsidP="00EF78CD">
            <w:pPr>
              <w:spacing w:after="0" w:line="240" w:lineRule="auto"/>
              <w:ind w:left="0" w:right="0" w:firstLine="0"/>
              <w:jc w:val="left"/>
            </w:pPr>
            <w:r>
              <w:rPr>
                <w:sz w:val="22"/>
              </w:rPr>
              <w:t>4</w:t>
            </w:r>
            <w:r>
              <w:t xml:space="preserve"> </w:t>
            </w:r>
          </w:p>
        </w:tc>
        <w:tc>
          <w:tcPr>
            <w:tcW w:w="1333" w:type="dxa"/>
            <w:tcBorders>
              <w:top w:val="single" w:sz="18" w:space="0" w:color="4F81BD"/>
              <w:left w:val="single" w:sz="8" w:space="0" w:color="4F81BD"/>
              <w:bottom w:val="single" w:sz="8" w:space="0" w:color="4F81BD"/>
              <w:right w:val="single" w:sz="8" w:space="0" w:color="4F81BD"/>
            </w:tcBorders>
            <w:shd w:val="clear" w:color="auto" w:fill="D3DFEE"/>
          </w:tcPr>
          <w:p w14:paraId="008AD155" w14:textId="77777777" w:rsidR="00121274" w:rsidRDefault="00000000" w:rsidP="00EF78CD">
            <w:pPr>
              <w:spacing w:after="0" w:line="240" w:lineRule="auto"/>
              <w:ind w:left="0" w:right="0" w:firstLine="0"/>
              <w:jc w:val="left"/>
            </w:pPr>
            <w:r>
              <w:rPr>
                <w:sz w:val="22"/>
              </w:rPr>
              <w:t>0</w:t>
            </w:r>
            <w:r>
              <w:t xml:space="preserve"> </w:t>
            </w:r>
          </w:p>
        </w:tc>
        <w:tc>
          <w:tcPr>
            <w:tcW w:w="2054" w:type="dxa"/>
            <w:tcBorders>
              <w:top w:val="single" w:sz="18" w:space="0" w:color="4F81BD"/>
              <w:left w:val="single" w:sz="8" w:space="0" w:color="4F81BD"/>
              <w:bottom w:val="single" w:sz="8" w:space="0" w:color="4F81BD"/>
              <w:right w:val="single" w:sz="8" w:space="0" w:color="4F81BD"/>
            </w:tcBorders>
            <w:shd w:val="clear" w:color="auto" w:fill="D3DFEE"/>
          </w:tcPr>
          <w:p w14:paraId="688D5915" w14:textId="77777777" w:rsidR="00121274" w:rsidRDefault="00000000" w:rsidP="00EF78CD">
            <w:pPr>
              <w:spacing w:after="0" w:line="240" w:lineRule="auto"/>
              <w:ind w:left="4" w:right="0" w:firstLine="0"/>
            </w:pPr>
            <w:r>
              <w:rPr>
                <w:sz w:val="22"/>
              </w:rPr>
              <w:t xml:space="preserve">ENSG00000189108, </w:t>
            </w:r>
          </w:p>
          <w:p w14:paraId="119F651B" w14:textId="77777777" w:rsidR="00121274" w:rsidRDefault="00000000" w:rsidP="00EF78CD">
            <w:pPr>
              <w:spacing w:after="0" w:line="240" w:lineRule="auto"/>
              <w:ind w:left="4" w:right="0" w:firstLine="0"/>
              <w:jc w:val="left"/>
            </w:pPr>
            <w:r>
              <w:rPr>
                <w:sz w:val="22"/>
              </w:rPr>
              <w:t>ENSG00000286797, ENSG00000179241</w:t>
            </w:r>
            <w:r>
              <w:t xml:space="preserve"> </w:t>
            </w:r>
          </w:p>
        </w:tc>
      </w:tr>
      <w:tr w:rsidR="00121274" w14:paraId="3E5A7BE1" w14:textId="77777777">
        <w:trPr>
          <w:trHeight w:val="778"/>
        </w:trPr>
        <w:tc>
          <w:tcPr>
            <w:tcW w:w="2737" w:type="dxa"/>
            <w:tcBorders>
              <w:top w:val="single" w:sz="8" w:space="0" w:color="4F81BD"/>
              <w:left w:val="single" w:sz="8" w:space="0" w:color="4F81BD"/>
              <w:bottom w:val="single" w:sz="8" w:space="0" w:color="4F81BD"/>
              <w:right w:val="single" w:sz="8" w:space="0" w:color="4F81BD"/>
            </w:tcBorders>
          </w:tcPr>
          <w:p w14:paraId="4D9A1708" w14:textId="77777777" w:rsidR="00121274" w:rsidRDefault="00000000" w:rsidP="00EF78CD">
            <w:pPr>
              <w:spacing w:after="0" w:line="240" w:lineRule="auto"/>
              <w:ind w:left="0" w:right="0" w:firstLine="0"/>
              <w:jc w:val="left"/>
            </w:pPr>
            <w:proofErr w:type="spellStart"/>
            <w:r>
              <w:rPr>
                <w:b/>
                <w:sz w:val="22"/>
              </w:rPr>
              <w:t>Astrocyte.Homeostatic</w:t>
            </w:r>
            <w:proofErr w:type="spellEnd"/>
            <w:r>
              <w:rPr>
                <w:b/>
              </w:rPr>
              <w:t xml:space="preserve"> </w:t>
            </w:r>
          </w:p>
        </w:tc>
        <w:tc>
          <w:tcPr>
            <w:tcW w:w="1512" w:type="dxa"/>
            <w:tcBorders>
              <w:top w:val="single" w:sz="8" w:space="0" w:color="4F81BD"/>
              <w:left w:val="single" w:sz="8" w:space="0" w:color="4F81BD"/>
              <w:bottom w:val="single" w:sz="8" w:space="0" w:color="4F81BD"/>
              <w:right w:val="single" w:sz="8" w:space="0" w:color="4F81BD"/>
            </w:tcBorders>
          </w:tcPr>
          <w:p w14:paraId="2B72783B" w14:textId="77777777" w:rsidR="00121274" w:rsidRDefault="00000000" w:rsidP="00EF78CD">
            <w:pPr>
              <w:spacing w:after="0" w:line="240" w:lineRule="auto"/>
              <w:ind w:left="1" w:right="0" w:firstLine="0"/>
            </w:pPr>
            <w:proofErr w:type="spellStart"/>
            <w:r>
              <w:rPr>
                <w:sz w:val="22"/>
              </w:rPr>
              <w:t>PD_vs_CTRL</w:t>
            </w:r>
            <w:proofErr w:type="spellEnd"/>
            <w:r>
              <w:t xml:space="preserve"> </w:t>
            </w:r>
          </w:p>
        </w:tc>
        <w:tc>
          <w:tcPr>
            <w:tcW w:w="752" w:type="dxa"/>
            <w:tcBorders>
              <w:top w:val="single" w:sz="8" w:space="0" w:color="4F81BD"/>
              <w:left w:val="single" w:sz="8" w:space="0" w:color="4F81BD"/>
              <w:bottom w:val="single" w:sz="8" w:space="0" w:color="4F81BD"/>
              <w:right w:val="single" w:sz="8" w:space="0" w:color="4F81BD"/>
            </w:tcBorders>
          </w:tcPr>
          <w:p w14:paraId="617B3F9B" w14:textId="77777777" w:rsidR="00121274" w:rsidRDefault="00000000" w:rsidP="00EF78CD">
            <w:pPr>
              <w:spacing w:after="0" w:line="240" w:lineRule="auto"/>
              <w:ind w:left="5" w:right="0" w:firstLine="0"/>
              <w:jc w:val="left"/>
            </w:pPr>
            <w:r>
              <w:rPr>
                <w:sz w:val="22"/>
              </w:rPr>
              <w:t>1578</w:t>
            </w:r>
            <w:r>
              <w:t xml:space="preserve"> </w:t>
            </w:r>
          </w:p>
        </w:tc>
        <w:tc>
          <w:tcPr>
            <w:tcW w:w="1233" w:type="dxa"/>
            <w:tcBorders>
              <w:top w:val="single" w:sz="8" w:space="0" w:color="4F81BD"/>
              <w:left w:val="single" w:sz="8" w:space="0" w:color="4F81BD"/>
              <w:bottom w:val="single" w:sz="8" w:space="0" w:color="4F81BD"/>
              <w:right w:val="single" w:sz="8" w:space="0" w:color="4F81BD"/>
            </w:tcBorders>
          </w:tcPr>
          <w:p w14:paraId="504404C9" w14:textId="77777777" w:rsidR="00121274" w:rsidRDefault="00000000" w:rsidP="00EF78CD">
            <w:pPr>
              <w:spacing w:after="0" w:line="240" w:lineRule="auto"/>
              <w:ind w:left="0" w:right="0" w:firstLine="0"/>
              <w:jc w:val="left"/>
            </w:pPr>
            <w:r>
              <w:rPr>
                <w:sz w:val="22"/>
              </w:rPr>
              <w:t>28</w:t>
            </w:r>
            <w:r>
              <w:t xml:space="preserve"> </w:t>
            </w:r>
          </w:p>
        </w:tc>
        <w:tc>
          <w:tcPr>
            <w:tcW w:w="1333" w:type="dxa"/>
            <w:tcBorders>
              <w:top w:val="single" w:sz="8" w:space="0" w:color="4F81BD"/>
              <w:left w:val="single" w:sz="8" w:space="0" w:color="4F81BD"/>
              <w:bottom w:val="single" w:sz="8" w:space="0" w:color="4F81BD"/>
              <w:right w:val="single" w:sz="8" w:space="0" w:color="4F81BD"/>
            </w:tcBorders>
          </w:tcPr>
          <w:p w14:paraId="5C7866F0" w14:textId="77777777" w:rsidR="00121274" w:rsidRDefault="00000000" w:rsidP="00EF78CD">
            <w:pPr>
              <w:spacing w:after="0" w:line="240" w:lineRule="auto"/>
              <w:ind w:left="0" w:right="0" w:firstLine="0"/>
              <w:jc w:val="left"/>
            </w:pPr>
            <w:r>
              <w:rPr>
                <w:sz w:val="22"/>
              </w:rPr>
              <w:t>0</w:t>
            </w:r>
            <w:r>
              <w:t xml:space="preserve"> </w:t>
            </w:r>
          </w:p>
        </w:tc>
        <w:tc>
          <w:tcPr>
            <w:tcW w:w="2054" w:type="dxa"/>
            <w:tcBorders>
              <w:top w:val="single" w:sz="8" w:space="0" w:color="4F81BD"/>
              <w:left w:val="single" w:sz="8" w:space="0" w:color="4F81BD"/>
              <w:bottom w:val="single" w:sz="8" w:space="0" w:color="4F81BD"/>
              <w:right w:val="single" w:sz="8" w:space="0" w:color="4F81BD"/>
            </w:tcBorders>
          </w:tcPr>
          <w:p w14:paraId="1211EFD0" w14:textId="77777777" w:rsidR="00121274" w:rsidRDefault="00000000" w:rsidP="00EF78CD">
            <w:pPr>
              <w:spacing w:after="0" w:line="240" w:lineRule="auto"/>
              <w:ind w:left="4" w:right="0" w:firstLine="0"/>
            </w:pPr>
            <w:r>
              <w:rPr>
                <w:sz w:val="22"/>
              </w:rPr>
              <w:t xml:space="preserve">ENSG00000121966, </w:t>
            </w:r>
          </w:p>
          <w:p w14:paraId="5529C43F" w14:textId="77777777" w:rsidR="00121274" w:rsidRDefault="00000000" w:rsidP="00EF78CD">
            <w:pPr>
              <w:spacing w:after="0" w:line="240" w:lineRule="auto"/>
              <w:ind w:left="4" w:right="0" w:firstLine="0"/>
              <w:jc w:val="left"/>
            </w:pPr>
            <w:r>
              <w:rPr>
                <w:sz w:val="22"/>
              </w:rPr>
              <w:t>ENSG00000265533, ENSG00000100311</w:t>
            </w:r>
            <w:r>
              <w:t xml:space="preserve"> </w:t>
            </w:r>
          </w:p>
        </w:tc>
      </w:tr>
      <w:tr w:rsidR="00121274" w14:paraId="7A0D9B48" w14:textId="77777777">
        <w:trPr>
          <w:trHeight w:val="775"/>
        </w:trPr>
        <w:tc>
          <w:tcPr>
            <w:tcW w:w="2737" w:type="dxa"/>
            <w:tcBorders>
              <w:top w:val="single" w:sz="8" w:space="0" w:color="4F81BD"/>
              <w:left w:val="single" w:sz="8" w:space="0" w:color="4F81BD"/>
              <w:bottom w:val="single" w:sz="8" w:space="0" w:color="4F81BD"/>
              <w:right w:val="single" w:sz="8" w:space="0" w:color="4F81BD"/>
            </w:tcBorders>
            <w:shd w:val="clear" w:color="auto" w:fill="D3DFEE"/>
          </w:tcPr>
          <w:p w14:paraId="304F3C28" w14:textId="77777777" w:rsidR="00121274" w:rsidRDefault="00000000" w:rsidP="00EF78CD">
            <w:pPr>
              <w:spacing w:after="0" w:line="240" w:lineRule="auto"/>
              <w:ind w:left="0" w:right="0" w:firstLine="0"/>
              <w:jc w:val="left"/>
            </w:pPr>
            <w:proofErr w:type="spellStart"/>
            <w:r>
              <w:rPr>
                <w:b/>
                <w:sz w:val="22"/>
              </w:rPr>
              <w:t>Astrocyte.Reactive</w:t>
            </w:r>
            <w:proofErr w:type="spellEnd"/>
            <w:r>
              <w:rPr>
                <w:b/>
              </w:rPr>
              <w:t xml:space="preserve"> </w:t>
            </w:r>
          </w:p>
        </w:tc>
        <w:tc>
          <w:tcPr>
            <w:tcW w:w="1512" w:type="dxa"/>
            <w:tcBorders>
              <w:top w:val="single" w:sz="8" w:space="0" w:color="4F81BD"/>
              <w:left w:val="single" w:sz="8" w:space="0" w:color="4F81BD"/>
              <w:bottom w:val="single" w:sz="8" w:space="0" w:color="4F81BD"/>
              <w:right w:val="single" w:sz="8" w:space="0" w:color="4F81BD"/>
            </w:tcBorders>
            <w:shd w:val="clear" w:color="auto" w:fill="D3DFEE"/>
          </w:tcPr>
          <w:p w14:paraId="6AC3A711" w14:textId="77777777" w:rsidR="00121274" w:rsidRDefault="00000000" w:rsidP="00EF78CD">
            <w:pPr>
              <w:spacing w:after="0" w:line="240" w:lineRule="auto"/>
              <w:ind w:left="1" w:right="0" w:firstLine="0"/>
            </w:pPr>
            <w:proofErr w:type="spellStart"/>
            <w:r>
              <w:rPr>
                <w:sz w:val="22"/>
              </w:rPr>
              <w:t>AD_vs_CTRL</w:t>
            </w:r>
            <w:proofErr w:type="spellEnd"/>
            <w:r>
              <w:t xml:space="preserve"> </w:t>
            </w:r>
          </w:p>
        </w:tc>
        <w:tc>
          <w:tcPr>
            <w:tcW w:w="752" w:type="dxa"/>
            <w:tcBorders>
              <w:top w:val="single" w:sz="8" w:space="0" w:color="4F81BD"/>
              <w:left w:val="single" w:sz="8" w:space="0" w:color="4F81BD"/>
              <w:bottom w:val="single" w:sz="8" w:space="0" w:color="4F81BD"/>
              <w:right w:val="single" w:sz="8" w:space="0" w:color="4F81BD"/>
            </w:tcBorders>
            <w:shd w:val="clear" w:color="auto" w:fill="D3DFEE"/>
          </w:tcPr>
          <w:p w14:paraId="6EED1D86" w14:textId="77777777" w:rsidR="00121274" w:rsidRDefault="00000000" w:rsidP="00EF78CD">
            <w:pPr>
              <w:spacing w:after="0" w:line="240" w:lineRule="auto"/>
              <w:ind w:left="5" w:right="0" w:firstLine="0"/>
              <w:jc w:val="left"/>
            </w:pPr>
            <w:r>
              <w:rPr>
                <w:sz w:val="22"/>
              </w:rPr>
              <w:t>1464</w:t>
            </w:r>
            <w:r>
              <w:t xml:space="preserve"> </w:t>
            </w:r>
          </w:p>
        </w:tc>
        <w:tc>
          <w:tcPr>
            <w:tcW w:w="1233" w:type="dxa"/>
            <w:tcBorders>
              <w:top w:val="single" w:sz="8" w:space="0" w:color="4F81BD"/>
              <w:left w:val="single" w:sz="8" w:space="0" w:color="4F81BD"/>
              <w:bottom w:val="single" w:sz="8" w:space="0" w:color="4F81BD"/>
              <w:right w:val="single" w:sz="8" w:space="0" w:color="4F81BD"/>
            </w:tcBorders>
            <w:shd w:val="clear" w:color="auto" w:fill="D3DFEE"/>
          </w:tcPr>
          <w:p w14:paraId="1992A288" w14:textId="77777777" w:rsidR="00121274" w:rsidRDefault="00000000" w:rsidP="00EF78CD">
            <w:pPr>
              <w:spacing w:after="0" w:line="240" w:lineRule="auto"/>
              <w:ind w:left="0" w:right="0" w:firstLine="0"/>
              <w:jc w:val="left"/>
            </w:pPr>
            <w:r>
              <w:rPr>
                <w:sz w:val="22"/>
              </w:rPr>
              <w:t>9</w:t>
            </w:r>
            <w:r>
              <w:t xml:space="preserve"> </w:t>
            </w:r>
          </w:p>
        </w:tc>
        <w:tc>
          <w:tcPr>
            <w:tcW w:w="1333" w:type="dxa"/>
            <w:tcBorders>
              <w:top w:val="single" w:sz="8" w:space="0" w:color="4F81BD"/>
              <w:left w:val="single" w:sz="8" w:space="0" w:color="4F81BD"/>
              <w:bottom w:val="single" w:sz="8" w:space="0" w:color="4F81BD"/>
              <w:right w:val="single" w:sz="8" w:space="0" w:color="4F81BD"/>
            </w:tcBorders>
            <w:shd w:val="clear" w:color="auto" w:fill="D3DFEE"/>
          </w:tcPr>
          <w:p w14:paraId="2971F0D5" w14:textId="77777777" w:rsidR="00121274" w:rsidRDefault="00000000" w:rsidP="00EF78CD">
            <w:pPr>
              <w:spacing w:after="0" w:line="240" w:lineRule="auto"/>
              <w:ind w:left="0" w:right="0" w:firstLine="0"/>
              <w:jc w:val="left"/>
            </w:pPr>
            <w:r>
              <w:rPr>
                <w:sz w:val="22"/>
              </w:rPr>
              <w:t>0</w:t>
            </w:r>
            <w:r>
              <w:t xml:space="preserve"> </w:t>
            </w:r>
          </w:p>
        </w:tc>
        <w:tc>
          <w:tcPr>
            <w:tcW w:w="2054" w:type="dxa"/>
            <w:tcBorders>
              <w:top w:val="single" w:sz="8" w:space="0" w:color="4F81BD"/>
              <w:left w:val="single" w:sz="8" w:space="0" w:color="4F81BD"/>
              <w:bottom w:val="single" w:sz="8" w:space="0" w:color="4F81BD"/>
              <w:right w:val="single" w:sz="8" w:space="0" w:color="4F81BD"/>
            </w:tcBorders>
            <w:shd w:val="clear" w:color="auto" w:fill="D3DFEE"/>
          </w:tcPr>
          <w:p w14:paraId="1330E26A" w14:textId="77777777" w:rsidR="00121274" w:rsidRDefault="00000000" w:rsidP="00EF78CD">
            <w:pPr>
              <w:spacing w:after="0" w:line="240" w:lineRule="auto"/>
              <w:ind w:left="4" w:right="0" w:firstLine="0"/>
            </w:pPr>
            <w:r>
              <w:rPr>
                <w:sz w:val="22"/>
              </w:rPr>
              <w:t xml:space="preserve">ENSG00000204389, </w:t>
            </w:r>
          </w:p>
          <w:p w14:paraId="556AB77A" w14:textId="77777777" w:rsidR="00121274" w:rsidRDefault="00000000" w:rsidP="00EF78CD">
            <w:pPr>
              <w:spacing w:after="0" w:line="240" w:lineRule="auto"/>
              <w:ind w:left="4" w:right="0" w:firstLine="0"/>
              <w:jc w:val="left"/>
            </w:pPr>
            <w:r>
              <w:rPr>
                <w:sz w:val="22"/>
              </w:rPr>
              <w:t>ENSG00000260788, ENSG00000204832</w:t>
            </w:r>
            <w:r>
              <w:t xml:space="preserve"> </w:t>
            </w:r>
          </w:p>
        </w:tc>
      </w:tr>
      <w:tr w:rsidR="00121274" w14:paraId="25C704A1" w14:textId="77777777">
        <w:trPr>
          <w:trHeight w:val="785"/>
        </w:trPr>
        <w:tc>
          <w:tcPr>
            <w:tcW w:w="2737" w:type="dxa"/>
            <w:tcBorders>
              <w:top w:val="single" w:sz="8" w:space="0" w:color="4F81BD"/>
              <w:left w:val="single" w:sz="8" w:space="0" w:color="4F81BD"/>
              <w:bottom w:val="single" w:sz="8" w:space="0" w:color="4F81BD"/>
              <w:right w:val="single" w:sz="8" w:space="0" w:color="4F81BD"/>
            </w:tcBorders>
          </w:tcPr>
          <w:p w14:paraId="770B22CC" w14:textId="77777777" w:rsidR="00121274" w:rsidRDefault="00000000" w:rsidP="00EF78CD">
            <w:pPr>
              <w:spacing w:after="0" w:line="240" w:lineRule="auto"/>
              <w:ind w:left="0" w:right="0" w:firstLine="0"/>
              <w:jc w:val="left"/>
            </w:pPr>
            <w:proofErr w:type="spellStart"/>
            <w:r>
              <w:rPr>
                <w:b/>
                <w:sz w:val="22"/>
              </w:rPr>
              <w:t>Excitatory.neuron</w:t>
            </w:r>
            <w:proofErr w:type="spellEnd"/>
            <w:r>
              <w:rPr>
                <w:b/>
              </w:rPr>
              <w:t xml:space="preserve"> </w:t>
            </w:r>
          </w:p>
        </w:tc>
        <w:tc>
          <w:tcPr>
            <w:tcW w:w="1512" w:type="dxa"/>
            <w:tcBorders>
              <w:top w:val="single" w:sz="8" w:space="0" w:color="4F81BD"/>
              <w:left w:val="single" w:sz="8" w:space="0" w:color="4F81BD"/>
              <w:bottom w:val="single" w:sz="8" w:space="0" w:color="4F81BD"/>
              <w:right w:val="single" w:sz="8" w:space="0" w:color="4F81BD"/>
            </w:tcBorders>
          </w:tcPr>
          <w:p w14:paraId="0142DFE1" w14:textId="77777777" w:rsidR="00121274" w:rsidRDefault="00000000" w:rsidP="00EF78CD">
            <w:pPr>
              <w:spacing w:after="0" w:line="240" w:lineRule="auto"/>
              <w:ind w:left="1" w:right="0" w:firstLine="0"/>
            </w:pPr>
            <w:proofErr w:type="spellStart"/>
            <w:r>
              <w:rPr>
                <w:sz w:val="22"/>
              </w:rPr>
              <w:t>AD_vs_CTRL</w:t>
            </w:r>
            <w:proofErr w:type="spellEnd"/>
            <w:r>
              <w:t xml:space="preserve"> </w:t>
            </w:r>
          </w:p>
        </w:tc>
        <w:tc>
          <w:tcPr>
            <w:tcW w:w="752" w:type="dxa"/>
            <w:tcBorders>
              <w:top w:val="single" w:sz="8" w:space="0" w:color="4F81BD"/>
              <w:left w:val="single" w:sz="8" w:space="0" w:color="4F81BD"/>
              <w:bottom w:val="single" w:sz="8" w:space="0" w:color="4F81BD"/>
              <w:right w:val="single" w:sz="8" w:space="0" w:color="4F81BD"/>
            </w:tcBorders>
          </w:tcPr>
          <w:p w14:paraId="7D936046" w14:textId="77777777" w:rsidR="00121274" w:rsidRDefault="00000000" w:rsidP="00EF78CD">
            <w:pPr>
              <w:spacing w:after="0" w:line="240" w:lineRule="auto"/>
              <w:ind w:left="5" w:right="0" w:firstLine="0"/>
              <w:jc w:val="left"/>
            </w:pPr>
            <w:r>
              <w:rPr>
                <w:sz w:val="22"/>
              </w:rPr>
              <w:t>1607</w:t>
            </w:r>
            <w:r>
              <w:t xml:space="preserve"> </w:t>
            </w:r>
          </w:p>
        </w:tc>
        <w:tc>
          <w:tcPr>
            <w:tcW w:w="1233" w:type="dxa"/>
            <w:tcBorders>
              <w:top w:val="single" w:sz="8" w:space="0" w:color="4F81BD"/>
              <w:left w:val="single" w:sz="8" w:space="0" w:color="4F81BD"/>
              <w:bottom w:val="single" w:sz="8" w:space="0" w:color="4F81BD"/>
              <w:right w:val="single" w:sz="8" w:space="0" w:color="4F81BD"/>
            </w:tcBorders>
          </w:tcPr>
          <w:p w14:paraId="19E15DB6" w14:textId="77777777" w:rsidR="00121274" w:rsidRDefault="00000000" w:rsidP="00EF78CD">
            <w:pPr>
              <w:spacing w:after="0" w:line="240" w:lineRule="auto"/>
              <w:ind w:left="0" w:right="0" w:firstLine="0"/>
              <w:jc w:val="left"/>
            </w:pPr>
            <w:r>
              <w:rPr>
                <w:sz w:val="22"/>
              </w:rPr>
              <w:t>10</w:t>
            </w:r>
            <w:r>
              <w:t xml:space="preserve"> </w:t>
            </w:r>
          </w:p>
        </w:tc>
        <w:tc>
          <w:tcPr>
            <w:tcW w:w="1333" w:type="dxa"/>
            <w:tcBorders>
              <w:top w:val="single" w:sz="8" w:space="0" w:color="4F81BD"/>
              <w:left w:val="single" w:sz="8" w:space="0" w:color="4F81BD"/>
              <w:bottom w:val="single" w:sz="8" w:space="0" w:color="4F81BD"/>
              <w:right w:val="single" w:sz="8" w:space="0" w:color="4F81BD"/>
            </w:tcBorders>
          </w:tcPr>
          <w:p w14:paraId="75D4CCEE" w14:textId="77777777" w:rsidR="00121274" w:rsidRDefault="00000000" w:rsidP="00EF78CD">
            <w:pPr>
              <w:spacing w:after="0" w:line="240" w:lineRule="auto"/>
              <w:ind w:left="0" w:right="0" w:firstLine="0"/>
              <w:jc w:val="left"/>
            </w:pPr>
            <w:r>
              <w:rPr>
                <w:sz w:val="22"/>
              </w:rPr>
              <w:t>0</w:t>
            </w:r>
            <w:r>
              <w:t xml:space="preserve"> </w:t>
            </w:r>
          </w:p>
        </w:tc>
        <w:tc>
          <w:tcPr>
            <w:tcW w:w="2054" w:type="dxa"/>
            <w:tcBorders>
              <w:top w:val="single" w:sz="8" w:space="0" w:color="4F81BD"/>
              <w:left w:val="single" w:sz="8" w:space="0" w:color="4F81BD"/>
              <w:bottom w:val="single" w:sz="8" w:space="0" w:color="4F81BD"/>
              <w:right w:val="single" w:sz="8" w:space="0" w:color="4F81BD"/>
            </w:tcBorders>
          </w:tcPr>
          <w:p w14:paraId="7FC6C10A" w14:textId="77777777" w:rsidR="00121274" w:rsidRDefault="00000000" w:rsidP="00EF78CD">
            <w:pPr>
              <w:spacing w:after="0" w:line="240" w:lineRule="auto"/>
              <w:ind w:left="4" w:right="0" w:firstLine="0"/>
            </w:pPr>
            <w:r>
              <w:rPr>
                <w:sz w:val="22"/>
              </w:rPr>
              <w:t xml:space="preserve">ENSG00000038427, </w:t>
            </w:r>
          </w:p>
          <w:p w14:paraId="06E8A322" w14:textId="77777777" w:rsidR="00121274" w:rsidRDefault="00000000" w:rsidP="00EF78CD">
            <w:pPr>
              <w:spacing w:after="0" w:line="240" w:lineRule="auto"/>
              <w:ind w:left="4" w:right="0" w:firstLine="0"/>
              <w:jc w:val="left"/>
            </w:pPr>
            <w:r>
              <w:rPr>
                <w:sz w:val="22"/>
              </w:rPr>
              <w:t>ENSG00000226383, ENSG00000135269</w:t>
            </w:r>
            <w:r>
              <w:t xml:space="preserve"> </w:t>
            </w:r>
          </w:p>
        </w:tc>
      </w:tr>
      <w:tr w:rsidR="00121274" w14:paraId="7F842525" w14:textId="77777777">
        <w:trPr>
          <w:trHeight w:val="776"/>
        </w:trPr>
        <w:tc>
          <w:tcPr>
            <w:tcW w:w="2737" w:type="dxa"/>
            <w:tcBorders>
              <w:top w:val="single" w:sz="8" w:space="0" w:color="4F81BD"/>
              <w:left w:val="single" w:sz="8" w:space="0" w:color="4F81BD"/>
              <w:bottom w:val="single" w:sz="8" w:space="0" w:color="4F81BD"/>
              <w:right w:val="single" w:sz="8" w:space="0" w:color="4F81BD"/>
            </w:tcBorders>
            <w:shd w:val="clear" w:color="auto" w:fill="D3DFEE"/>
          </w:tcPr>
          <w:p w14:paraId="5F094D95" w14:textId="77777777" w:rsidR="00121274" w:rsidRDefault="00000000" w:rsidP="00EF78CD">
            <w:pPr>
              <w:spacing w:after="0" w:line="240" w:lineRule="auto"/>
              <w:ind w:left="0" w:right="0" w:firstLine="0"/>
              <w:jc w:val="left"/>
            </w:pPr>
            <w:proofErr w:type="spellStart"/>
            <w:r>
              <w:rPr>
                <w:b/>
                <w:sz w:val="22"/>
              </w:rPr>
              <w:t>Excitatory.neuron</w:t>
            </w:r>
            <w:proofErr w:type="spellEnd"/>
            <w:r>
              <w:rPr>
                <w:b/>
              </w:rPr>
              <w:t xml:space="preserve"> </w:t>
            </w:r>
          </w:p>
        </w:tc>
        <w:tc>
          <w:tcPr>
            <w:tcW w:w="1512" w:type="dxa"/>
            <w:tcBorders>
              <w:top w:val="single" w:sz="8" w:space="0" w:color="4F81BD"/>
              <w:left w:val="single" w:sz="8" w:space="0" w:color="4F81BD"/>
              <w:bottom w:val="single" w:sz="8" w:space="0" w:color="4F81BD"/>
              <w:right w:val="single" w:sz="8" w:space="0" w:color="4F81BD"/>
            </w:tcBorders>
            <w:shd w:val="clear" w:color="auto" w:fill="D3DFEE"/>
          </w:tcPr>
          <w:p w14:paraId="02F236B5" w14:textId="77777777" w:rsidR="00121274" w:rsidRDefault="00000000" w:rsidP="00EF78CD">
            <w:pPr>
              <w:spacing w:after="0" w:line="240" w:lineRule="auto"/>
              <w:ind w:left="1" w:right="0" w:firstLine="0"/>
            </w:pPr>
            <w:proofErr w:type="spellStart"/>
            <w:r>
              <w:rPr>
                <w:sz w:val="22"/>
              </w:rPr>
              <w:t>PD_vs_CTRL</w:t>
            </w:r>
            <w:proofErr w:type="spellEnd"/>
            <w:r>
              <w:t xml:space="preserve"> </w:t>
            </w:r>
          </w:p>
        </w:tc>
        <w:tc>
          <w:tcPr>
            <w:tcW w:w="752" w:type="dxa"/>
            <w:tcBorders>
              <w:top w:val="single" w:sz="8" w:space="0" w:color="4F81BD"/>
              <w:left w:val="single" w:sz="8" w:space="0" w:color="4F81BD"/>
              <w:bottom w:val="single" w:sz="8" w:space="0" w:color="4F81BD"/>
              <w:right w:val="single" w:sz="8" w:space="0" w:color="4F81BD"/>
            </w:tcBorders>
            <w:shd w:val="clear" w:color="auto" w:fill="D3DFEE"/>
          </w:tcPr>
          <w:p w14:paraId="21296E9C" w14:textId="77777777" w:rsidR="00121274" w:rsidRDefault="00000000" w:rsidP="00EF78CD">
            <w:pPr>
              <w:spacing w:after="0" w:line="240" w:lineRule="auto"/>
              <w:ind w:left="5" w:right="0" w:firstLine="0"/>
              <w:jc w:val="left"/>
            </w:pPr>
            <w:r>
              <w:rPr>
                <w:sz w:val="22"/>
              </w:rPr>
              <w:t>1607</w:t>
            </w:r>
            <w:r>
              <w:t xml:space="preserve"> </w:t>
            </w:r>
          </w:p>
        </w:tc>
        <w:tc>
          <w:tcPr>
            <w:tcW w:w="1233" w:type="dxa"/>
            <w:tcBorders>
              <w:top w:val="single" w:sz="8" w:space="0" w:color="4F81BD"/>
              <w:left w:val="single" w:sz="8" w:space="0" w:color="4F81BD"/>
              <w:bottom w:val="single" w:sz="8" w:space="0" w:color="4F81BD"/>
              <w:right w:val="single" w:sz="8" w:space="0" w:color="4F81BD"/>
            </w:tcBorders>
            <w:shd w:val="clear" w:color="auto" w:fill="D3DFEE"/>
          </w:tcPr>
          <w:p w14:paraId="4D851AA2" w14:textId="77777777" w:rsidR="00121274" w:rsidRDefault="00000000" w:rsidP="00EF78CD">
            <w:pPr>
              <w:spacing w:after="0" w:line="240" w:lineRule="auto"/>
              <w:ind w:left="0" w:right="0" w:firstLine="0"/>
              <w:jc w:val="left"/>
            </w:pPr>
            <w:r>
              <w:rPr>
                <w:sz w:val="22"/>
              </w:rPr>
              <w:t>12</w:t>
            </w:r>
            <w:r>
              <w:t xml:space="preserve"> </w:t>
            </w:r>
          </w:p>
        </w:tc>
        <w:tc>
          <w:tcPr>
            <w:tcW w:w="1333" w:type="dxa"/>
            <w:tcBorders>
              <w:top w:val="single" w:sz="8" w:space="0" w:color="4F81BD"/>
              <w:left w:val="single" w:sz="8" w:space="0" w:color="4F81BD"/>
              <w:bottom w:val="single" w:sz="8" w:space="0" w:color="4F81BD"/>
              <w:right w:val="single" w:sz="8" w:space="0" w:color="4F81BD"/>
            </w:tcBorders>
            <w:shd w:val="clear" w:color="auto" w:fill="D3DFEE"/>
          </w:tcPr>
          <w:p w14:paraId="065BA008" w14:textId="77777777" w:rsidR="00121274" w:rsidRDefault="00000000" w:rsidP="00EF78CD">
            <w:pPr>
              <w:spacing w:after="0" w:line="240" w:lineRule="auto"/>
              <w:ind w:left="0" w:right="0" w:firstLine="0"/>
              <w:jc w:val="left"/>
            </w:pPr>
            <w:r>
              <w:rPr>
                <w:sz w:val="22"/>
              </w:rPr>
              <w:t>0</w:t>
            </w:r>
            <w:r>
              <w:t xml:space="preserve"> </w:t>
            </w:r>
          </w:p>
        </w:tc>
        <w:tc>
          <w:tcPr>
            <w:tcW w:w="2054" w:type="dxa"/>
            <w:tcBorders>
              <w:top w:val="single" w:sz="8" w:space="0" w:color="4F81BD"/>
              <w:left w:val="single" w:sz="8" w:space="0" w:color="4F81BD"/>
              <w:bottom w:val="single" w:sz="8" w:space="0" w:color="4F81BD"/>
              <w:right w:val="single" w:sz="8" w:space="0" w:color="4F81BD"/>
            </w:tcBorders>
            <w:shd w:val="clear" w:color="auto" w:fill="D3DFEE"/>
          </w:tcPr>
          <w:p w14:paraId="04170AF5" w14:textId="77777777" w:rsidR="00121274" w:rsidRDefault="00000000" w:rsidP="00EF78CD">
            <w:pPr>
              <w:spacing w:after="0" w:line="240" w:lineRule="auto"/>
              <w:ind w:left="4" w:right="0" w:firstLine="0"/>
            </w:pPr>
            <w:r>
              <w:rPr>
                <w:sz w:val="22"/>
              </w:rPr>
              <w:t xml:space="preserve">ENSG00000272865, </w:t>
            </w:r>
          </w:p>
          <w:p w14:paraId="030C0763" w14:textId="77777777" w:rsidR="00121274" w:rsidRDefault="00000000" w:rsidP="00EF78CD">
            <w:pPr>
              <w:spacing w:after="0" w:line="240" w:lineRule="auto"/>
              <w:ind w:left="4" w:right="0" w:firstLine="0"/>
              <w:jc w:val="left"/>
            </w:pPr>
            <w:r>
              <w:rPr>
                <w:sz w:val="22"/>
              </w:rPr>
              <w:t>ENSG00000257258, ENSG00000276070</w:t>
            </w:r>
            <w:r>
              <w:t xml:space="preserve"> </w:t>
            </w:r>
          </w:p>
        </w:tc>
      </w:tr>
      <w:tr w:rsidR="00121274" w14:paraId="3BB44290" w14:textId="77777777">
        <w:trPr>
          <w:trHeight w:val="781"/>
        </w:trPr>
        <w:tc>
          <w:tcPr>
            <w:tcW w:w="2737" w:type="dxa"/>
            <w:tcBorders>
              <w:top w:val="single" w:sz="8" w:space="0" w:color="4F81BD"/>
              <w:left w:val="single" w:sz="8" w:space="0" w:color="4F81BD"/>
              <w:bottom w:val="single" w:sz="8" w:space="0" w:color="4F81BD"/>
              <w:right w:val="single" w:sz="8" w:space="0" w:color="4F81BD"/>
            </w:tcBorders>
          </w:tcPr>
          <w:p w14:paraId="0B9207E4" w14:textId="77777777" w:rsidR="00121274" w:rsidRDefault="00000000" w:rsidP="00EF78CD">
            <w:pPr>
              <w:spacing w:after="0" w:line="240" w:lineRule="auto"/>
              <w:ind w:left="0" w:right="0" w:firstLine="0"/>
              <w:jc w:val="left"/>
            </w:pPr>
            <w:proofErr w:type="spellStart"/>
            <w:r>
              <w:rPr>
                <w:b/>
                <w:sz w:val="22"/>
              </w:rPr>
              <w:t>Inhibitory.neuron</w:t>
            </w:r>
            <w:proofErr w:type="spellEnd"/>
            <w:r>
              <w:rPr>
                <w:b/>
              </w:rPr>
              <w:t xml:space="preserve"> </w:t>
            </w:r>
          </w:p>
        </w:tc>
        <w:tc>
          <w:tcPr>
            <w:tcW w:w="1512" w:type="dxa"/>
            <w:tcBorders>
              <w:top w:val="single" w:sz="8" w:space="0" w:color="4F81BD"/>
              <w:left w:val="single" w:sz="8" w:space="0" w:color="4F81BD"/>
              <w:bottom w:val="single" w:sz="8" w:space="0" w:color="4F81BD"/>
              <w:right w:val="single" w:sz="8" w:space="0" w:color="4F81BD"/>
            </w:tcBorders>
          </w:tcPr>
          <w:p w14:paraId="7C455B37" w14:textId="77777777" w:rsidR="00121274" w:rsidRDefault="00000000" w:rsidP="00EF78CD">
            <w:pPr>
              <w:spacing w:after="0" w:line="240" w:lineRule="auto"/>
              <w:ind w:left="1" w:right="0" w:firstLine="0"/>
            </w:pPr>
            <w:proofErr w:type="spellStart"/>
            <w:r>
              <w:rPr>
                <w:sz w:val="22"/>
              </w:rPr>
              <w:t>AD_vs_CTRL</w:t>
            </w:r>
            <w:proofErr w:type="spellEnd"/>
            <w:r>
              <w:t xml:space="preserve"> </w:t>
            </w:r>
          </w:p>
        </w:tc>
        <w:tc>
          <w:tcPr>
            <w:tcW w:w="752" w:type="dxa"/>
            <w:tcBorders>
              <w:top w:val="single" w:sz="8" w:space="0" w:color="4F81BD"/>
              <w:left w:val="single" w:sz="8" w:space="0" w:color="4F81BD"/>
              <w:bottom w:val="single" w:sz="8" w:space="0" w:color="4F81BD"/>
              <w:right w:val="single" w:sz="8" w:space="0" w:color="4F81BD"/>
            </w:tcBorders>
          </w:tcPr>
          <w:p w14:paraId="0BC93F53" w14:textId="77777777" w:rsidR="00121274" w:rsidRDefault="00000000" w:rsidP="00EF78CD">
            <w:pPr>
              <w:spacing w:after="0" w:line="240" w:lineRule="auto"/>
              <w:ind w:left="5" w:right="0" w:firstLine="0"/>
              <w:jc w:val="left"/>
            </w:pPr>
            <w:r>
              <w:rPr>
                <w:sz w:val="22"/>
              </w:rPr>
              <w:t>1764</w:t>
            </w:r>
            <w:r>
              <w:t xml:space="preserve"> </w:t>
            </w:r>
          </w:p>
        </w:tc>
        <w:tc>
          <w:tcPr>
            <w:tcW w:w="1233" w:type="dxa"/>
            <w:tcBorders>
              <w:top w:val="single" w:sz="8" w:space="0" w:color="4F81BD"/>
              <w:left w:val="single" w:sz="8" w:space="0" w:color="4F81BD"/>
              <w:bottom w:val="single" w:sz="8" w:space="0" w:color="4F81BD"/>
              <w:right w:val="single" w:sz="8" w:space="0" w:color="4F81BD"/>
            </w:tcBorders>
          </w:tcPr>
          <w:p w14:paraId="428F0DD2" w14:textId="77777777" w:rsidR="00121274" w:rsidRDefault="00000000" w:rsidP="00EF78CD">
            <w:pPr>
              <w:spacing w:after="0" w:line="240" w:lineRule="auto"/>
              <w:ind w:left="0" w:right="0" w:firstLine="0"/>
              <w:jc w:val="left"/>
            </w:pPr>
            <w:r>
              <w:rPr>
                <w:sz w:val="22"/>
              </w:rPr>
              <w:t>6</w:t>
            </w:r>
            <w:r>
              <w:t xml:space="preserve"> </w:t>
            </w:r>
          </w:p>
        </w:tc>
        <w:tc>
          <w:tcPr>
            <w:tcW w:w="1333" w:type="dxa"/>
            <w:tcBorders>
              <w:top w:val="single" w:sz="8" w:space="0" w:color="4F81BD"/>
              <w:left w:val="single" w:sz="8" w:space="0" w:color="4F81BD"/>
              <w:bottom w:val="single" w:sz="8" w:space="0" w:color="4F81BD"/>
              <w:right w:val="single" w:sz="8" w:space="0" w:color="4F81BD"/>
            </w:tcBorders>
          </w:tcPr>
          <w:p w14:paraId="051213C0" w14:textId="77777777" w:rsidR="00121274" w:rsidRDefault="00000000" w:rsidP="00EF78CD">
            <w:pPr>
              <w:spacing w:after="0" w:line="240" w:lineRule="auto"/>
              <w:ind w:left="0" w:right="0" w:firstLine="0"/>
              <w:jc w:val="left"/>
            </w:pPr>
            <w:r>
              <w:rPr>
                <w:sz w:val="22"/>
              </w:rPr>
              <w:t>0</w:t>
            </w:r>
            <w:r>
              <w:t xml:space="preserve"> </w:t>
            </w:r>
          </w:p>
        </w:tc>
        <w:tc>
          <w:tcPr>
            <w:tcW w:w="2054" w:type="dxa"/>
            <w:tcBorders>
              <w:top w:val="single" w:sz="8" w:space="0" w:color="4F81BD"/>
              <w:left w:val="single" w:sz="8" w:space="0" w:color="4F81BD"/>
              <w:bottom w:val="single" w:sz="8" w:space="0" w:color="4F81BD"/>
              <w:right w:val="single" w:sz="8" w:space="0" w:color="4F81BD"/>
            </w:tcBorders>
          </w:tcPr>
          <w:p w14:paraId="218C53CA" w14:textId="77777777" w:rsidR="00121274" w:rsidRDefault="00000000" w:rsidP="00EF78CD">
            <w:pPr>
              <w:spacing w:after="0" w:line="240" w:lineRule="auto"/>
              <w:ind w:left="4" w:right="0" w:firstLine="0"/>
            </w:pPr>
            <w:r>
              <w:rPr>
                <w:sz w:val="22"/>
              </w:rPr>
              <w:t xml:space="preserve">ENSG00000178175, </w:t>
            </w:r>
          </w:p>
          <w:p w14:paraId="1F773836" w14:textId="77777777" w:rsidR="00121274" w:rsidRDefault="00000000" w:rsidP="00EF78CD">
            <w:pPr>
              <w:spacing w:after="0" w:line="240" w:lineRule="auto"/>
              <w:ind w:left="4" w:right="0" w:firstLine="0"/>
              <w:jc w:val="left"/>
            </w:pPr>
            <w:r>
              <w:rPr>
                <w:sz w:val="22"/>
              </w:rPr>
              <w:t>ENSG00000261272, ENSG00000166523</w:t>
            </w:r>
            <w:r>
              <w:t xml:space="preserve"> </w:t>
            </w:r>
          </w:p>
        </w:tc>
      </w:tr>
      <w:tr w:rsidR="00121274" w14:paraId="0BB2199C" w14:textId="77777777">
        <w:trPr>
          <w:trHeight w:val="775"/>
        </w:trPr>
        <w:tc>
          <w:tcPr>
            <w:tcW w:w="2737" w:type="dxa"/>
            <w:tcBorders>
              <w:top w:val="single" w:sz="8" w:space="0" w:color="4F81BD"/>
              <w:left w:val="single" w:sz="8" w:space="0" w:color="4F81BD"/>
              <w:bottom w:val="single" w:sz="8" w:space="0" w:color="4F81BD"/>
              <w:right w:val="single" w:sz="8" w:space="0" w:color="4F81BD"/>
            </w:tcBorders>
            <w:shd w:val="clear" w:color="auto" w:fill="D3DFEE"/>
          </w:tcPr>
          <w:p w14:paraId="0D6A6B14" w14:textId="77777777" w:rsidR="00121274" w:rsidRDefault="00000000" w:rsidP="00EF78CD">
            <w:pPr>
              <w:spacing w:after="0" w:line="240" w:lineRule="auto"/>
              <w:ind w:left="0" w:right="0" w:firstLine="0"/>
              <w:jc w:val="left"/>
            </w:pPr>
            <w:proofErr w:type="spellStart"/>
            <w:r>
              <w:rPr>
                <w:b/>
                <w:sz w:val="22"/>
              </w:rPr>
              <w:t>Inhibitory.neuron</w:t>
            </w:r>
            <w:proofErr w:type="spellEnd"/>
            <w:r>
              <w:rPr>
                <w:b/>
              </w:rPr>
              <w:t xml:space="preserve"> </w:t>
            </w:r>
          </w:p>
        </w:tc>
        <w:tc>
          <w:tcPr>
            <w:tcW w:w="1512" w:type="dxa"/>
            <w:tcBorders>
              <w:top w:val="single" w:sz="8" w:space="0" w:color="4F81BD"/>
              <w:left w:val="single" w:sz="8" w:space="0" w:color="4F81BD"/>
              <w:bottom w:val="single" w:sz="8" w:space="0" w:color="4F81BD"/>
              <w:right w:val="single" w:sz="8" w:space="0" w:color="4F81BD"/>
            </w:tcBorders>
            <w:shd w:val="clear" w:color="auto" w:fill="D3DFEE"/>
          </w:tcPr>
          <w:p w14:paraId="469A8CCC" w14:textId="77777777" w:rsidR="00121274" w:rsidRDefault="00000000" w:rsidP="00EF78CD">
            <w:pPr>
              <w:spacing w:after="0" w:line="240" w:lineRule="auto"/>
              <w:ind w:left="1" w:right="0" w:firstLine="0"/>
            </w:pPr>
            <w:proofErr w:type="spellStart"/>
            <w:r>
              <w:rPr>
                <w:sz w:val="22"/>
              </w:rPr>
              <w:t>PD_vs_CTRL</w:t>
            </w:r>
            <w:proofErr w:type="spellEnd"/>
            <w:r>
              <w:t xml:space="preserve"> </w:t>
            </w:r>
          </w:p>
        </w:tc>
        <w:tc>
          <w:tcPr>
            <w:tcW w:w="752" w:type="dxa"/>
            <w:tcBorders>
              <w:top w:val="single" w:sz="8" w:space="0" w:color="4F81BD"/>
              <w:left w:val="single" w:sz="8" w:space="0" w:color="4F81BD"/>
              <w:bottom w:val="single" w:sz="8" w:space="0" w:color="4F81BD"/>
              <w:right w:val="single" w:sz="8" w:space="0" w:color="4F81BD"/>
            </w:tcBorders>
            <w:shd w:val="clear" w:color="auto" w:fill="D3DFEE"/>
          </w:tcPr>
          <w:p w14:paraId="3218403B" w14:textId="77777777" w:rsidR="00121274" w:rsidRDefault="00000000" w:rsidP="00EF78CD">
            <w:pPr>
              <w:spacing w:after="0" w:line="240" w:lineRule="auto"/>
              <w:ind w:left="5" w:right="0" w:firstLine="0"/>
              <w:jc w:val="left"/>
            </w:pPr>
            <w:r>
              <w:rPr>
                <w:sz w:val="22"/>
              </w:rPr>
              <w:t>1764</w:t>
            </w:r>
            <w:r>
              <w:t xml:space="preserve"> </w:t>
            </w:r>
          </w:p>
        </w:tc>
        <w:tc>
          <w:tcPr>
            <w:tcW w:w="1233" w:type="dxa"/>
            <w:tcBorders>
              <w:top w:val="single" w:sz="8" w:space="0" w:color="4F81BD"/>
              <w:left w:val="single" w:sz="8" w:space="0" w:color="4F81BD"/>
              <w:bottom w:val="single" w:sz="8" w:space="0" w:color="4F81BD"/>
              <w:right w:val="single" w:sz="8" w:space="0" w:color="4F81BD"/>
            </w:tcBorders>
            <w:shd w:val="clear" w:color="auto" w:fill="D3DFEE"/>
          </w:tcPr>
          <w:p w14:paraId="6764F445" w14:textId="77777777" w:rsidR="00121274" w:rsidRDefault="00000000" w:rsidP="00EF78CD">
            <w:pPr>
              <w:spacing w:after="0" w:line="240" w:lineRule="auto"/>
              <w:ind w:left="0" w:right="0" w:firstLine="0"/>
              <w:jc w:val="left"/>
            </w:pPr>
            <w:r>
              <w:rPr>
                <w:sz w:val="22"/>
              </w:rPr>
              <w:t>1</w:t>
            </w:r>
            <w:r>
              <w:t xml:space="preserve"> </w:t>
            </w:r>
          </w:p>
        </w:tc>
        <w:tc>
          <w:tcPr>
            <w:tcW w:w="1333" w:type="dxa"/>
            <w:tcBorders>
              <w:top w:val="single" w:sz="8" w:space="0" w:color="4F81BD"/>
              <w:left w:val="single" w:sz="8" w:space="0" w:color="4F81BD"/>
              <w:bottom w:val="single" w:sz="8" w:space="0" w:color="4F81BD"/>
              <w:right w:val="single" w:sz="8" w:space="0" w:color="4F81BD"/>
            </w:tcBorders>
            <w:shd w:val="clear" w:color="auto" w:fill="D3DFEE"/>
          </w:tcPr>
          <w:p w14:paraId="26FBD6EE" w14:textId="77777777" w:rsidR="00121274" w:rsidRDefault="00000000" w:rsidP="00EF78CD">
            <w:pPr>
              <w:spacing w:after="0" w:line="240" w:lineRule="auto"/>
              <w:ind w:left="0" w:right="0" w:firstLine="0"/>
              <w:jc w:val="left"/>
            </w:pPr>
            <w:r>
              <w:rPr>
                <w:sz w:val="22"/>
              </w:rPr>
              <w:t>0</w:t>
            </w:r>
            <w:r>
              <w:t xml:space="preserve"> </w:t>
            </w:r>
          </w:p>
        </w:tc>
        <w:tc>
          <w:tcPr>
            <w:tcW w:w="2054" w:type="dxa"/>
            <w:tcBorders>
              <w:top w:val="single" w:sz="8" w:space="0" w:color="4F81BD"/>
              <w:left w:val="single" w:sz="8" w:space="0" w:color="4F81BD"/>
              <w:bottom w:val="single" w:sz="8" w:space="0" w:color="4F81BD"/>
              <w:right w:val="single" w:sz="8" w:space="0" w:color="4F81BD"/>
            </w:tcBorders>
            <w:shd w:val="clear" w:color="auto" w:fill="D3DFEE"/>
          </w:tcPr>
          <w:p w14:paraId="26713677" w14:textId="77777777" w:rsidR="00121274" w:rsidRDefault="00000000" w:rsidP="00EF78CD">
            <w:pPr>
              <w:spacing w:after="0" w:line="240" w:lineRule="auto"/>
              <w:ind w:left="4" w:right="0" w:firstLine="0"/>
            </w:pPr>
            <w:r>
              <w:rPr>
                <w:sz w:val="22"/>
              </w:rPr>
              <w:t xml:space="preserve">ENSG00000164695, </w:t>
            </w:r>
          </w:p>
          <w:p w14:paraId="60432A14" w14:textId="77777777" w:rsidR="00121274" w:rsidRDefault="00000000" w:rsidP="00EF78CD">
            <w:pPr>
              <w:spacing w:after="0" w:line="240" w:lineRule="auto"/>
              <w:ind w:left="4" w:right="0" w:firstLine="0"/>
              <w:jc w:val="left"/>
            </w:pPr>
            <w:r>
              <w:rPr>
                <w:sz w:val="22"/>
              </w:rPr>
              <w:t>ENSG00000099260, ENSG00000227121</w:t>
            </w:r>
            <w:r>
              <w:t xml:space="preserve"> </w:t>
            </w:r>
          </w:p>
        </w:tc>
      </w:tr>
      <w:tr w:rsidR="00121274" w14:paraId="5A0DA473" w14:textId="77777777">
        <w:trPr>
          <w:trHeight w:val="786"/>
        </w:trPr>
        <w:tc>
          <w:tcPr>
            <w:tcW w:w="2737" w:type="dxa"/>
            <w:tcBorders>
              <w:top w:val="single" w:sz="8" w:space="0" w:color="4F81BD"/>
              <w:left w:val="single" w:sz="8" w:space="0" w:color="4F81BD"/>
              <w:bottom w:val="single" w:sz="8" w:space="0" w:color="4F81BD"/>
              <w:right w:val="single" w:sz="8" w:space="0" w:color="4F81BD"/>
            </w:tcBorders>
          </w:tcPr>
          <w:p w14:paraId="4A8D2F11" w14:textId="77777777" w:rsidR="00121274" w:rsidRDefault="00000000" w:rsidP="00EF78CD">
            <w:pPr>
              <w:spacing w:after="0" w:line="240" w:lineRule="auto"/>
              <w:ind w:left="0" w:right="0" w:firstLine="0"/>
              <w:jc w:val="left"/>
            </w:pPr>
            <w:proofErr w:type="spellStart"/>
            <w:r>
              <w:rPr>
                <w:b/>
                <w:sz w:val="22"/>
              </w:rPr>
              <w:t>Microglia</w:t>
            </w:r>
            <w:proofErr w:type="spellEnd"/>
            <w:r>
              <w:rPr>
                <w:b/>
              </w:rPr>
              <w:t xml:space="preserve"> </w:t>
            </w:r>
          </w:p>
        </w:tc>
        <w:tc>
          <w:tcPr>
            <w:tcW w:w="1512" w:type="dxa"/>
            <w:tcBorders>
              <w:top w:val="single" w:sz="8" w:space="0" w:color="4F81BD"/>
              <w:left w:val="single" w:sz="8" w:space="0" w:color="4F81BD"/>
              <w:bottom w:val="single" w:sz="8" w:space="0" w:color="4F81BD"/>
              <w:right w:val="single" w:sz="8" w:space="0" w:color="4F81BD"/>
            </w:tcBorders>
          </w:tcPr>
          <w:p w14:paraId="25537E43" w14:textId="77777777" w:rsidR="00121274" w:rsidRDefault="00000000" w:rsidP="00EF78CD">
            <w:pPr>
              <w:spacing w:after="0" w:line="240" w:lineRule="auto"/>
              <w:ind w:left="1" w:right="0" w:firstLine="0"/>
            </w:pPr>
            <w:proofErr w:type="spellStart"/>
            <w:r>
              <w:rPr>
                <w:sz w:val="22"/>
              </w:rPr>
              <w:t>AD_vs_CTRL</w:t>
            </w:r>
            <w:proofErr w:type="spellEnd"/>
            <w:r>
              <w:t xml:space="preserve"> </w:t>
            </w:r>
          </w:p>
        </w:tc>
        <w:tc>
          <w:tcPr>
            <w:tcW w:w="752" w:type="dxa"/>
            <w:tcBorders>
              <w:top w:val="single" w:sz="8" w:space="0" w:color="4F81BD"/>
              <w:left w:val="single" w:sz="8" w:space="0" w:color="4F81BD"/>
              <w:bottom w:val="single" w:sz="8" w:space="0" w:color="4F81BD"/>
              <w:right w:val="single" w:sz="8" w:space="0" w:color="4F81BD"/>
            </w:tcBorders>
          </w:tcPr>
          <w:p w14:paraId="0F1F9713" w14:textId="77777777" w:rsidR="00121274" w:rsidRDefault="00000000" w:rsidP="00EF78CD">
            <w:pPr>
              <w:spacing w:after="0" w:line="240" w:lineRule="auto"/>
              <w:ind w:left="5" w:right="0" w:firstLine="0"/>
              <w:jc w:val="left"/>
            </w:pPr>
            <w:r>
              <w:rPr>
                <w:sz w:val="22"/>
              </w:rPr>
              <w:t>1504</w:t>
            </w:r>
            <w:r>
              <w:t xml:space="preserve"> </w:t>
            </w:r>
          </w:p>
        </w:tc>
        <w:tc>
          <w:tcPr>
            <w:tcW w:w="1233" w:type="dxa"/>
            <w:tcBorders>
              <w:top w:val="single" w:sz="8" w:space="0" w:color="4F81BD"/>
              <w:left w:val="single" w:sz="8" w:space="0" w:color="4F81BD"/>
              <w:bottom w:val="single" w:sz="8" w:space="0" w:color="4F81BD"/>
              <w:right w:val="single" w:sz="8" w:space="0" w:color="4F81BD"/>
            </w:tcBorders>
          </w:tcPr>
          <w:p w14:paraId="49F3795C" w14:textId="77777777" w:rsidR="00121274" w:rsidRDefault="00000000" w:rsidP="00EF78CD">
            <w:pPr>
              <w:spacing w:after="0" w:line="240" w:lineRule="auto"/>
              <w:ind w:left="0" w:right="0" w:firstLine="0"/>
              <w:jc w:val="left"/>
            </w:pPr>
            <w:r>
              <w:rPr>
                <w:sz w:val="22"/>
              </w:rPr>
              <w:t>26</w:t>
            </w:r>
            <w:r>
              <w:t xml:space="preserve"> </w:t>
            </w:r>
          </w:p>
        </w:tc>
        <w:tc>
          <w:tcPr>
            <w:tcW w:w="1333" w:type="dxa"/>
            <w:tcBorders>
              <w:top w:val="single" w:sz="8" w:space="0" w:color="4F81BD"/>
              <w:left w:val="single" w:sz="8" w:space="0" w:color="4F81BD"/>
              <w:bottom w:val="single" w:sz="8" w:space="0" w:color="4F81BD"/>
              <w:right w:val="single" w:sz="8" w:space="0" w:color="4F81BD"/>
            </w:tcBorders>
          </w:tcPr>
          <w:p w14:paraId="1C83A6E0" w14:textId="77777777" w:rsidR="00121274" w:rsidRDefault="00000000" w:rsidP="00EF78CD">
            <w:pPr>
              <w:spacing w:after="0" w:line="240" w:lineRule="auto"/>
              <w:ind w:left="0" w:right="0" w:firstLine="0"/>
              <w:jc w:val="left"/>
            </w:pPr>
            <w:r>
              <w:rPr>
                <w:sz w:val="22"/>
              </w:rPr>
              <w:t>0</w:t>
            </w:r>
            <w:r>
              <w:t xml:space="preserve"> </w:t>
            </w:r>
          </w:p>
        </w:tc>
        <w:tc>
          <w:tcPr>
            <w:tcW w:w="2054" w:type="dxa"/>
            <w:tcBorders>
              <w:top w:val="single" w:sz="8" w:space="0" w:color="4F81BD"/>
              <w:left w:val="single" w:sz="8" w:space="0" w:color="4F81BD"/>
              <w:bottom w:val="single" w:sz="8" w:space="0" w:color="4F81BD"/>
              <w:right w:val="single" w:sz="8" w:space="0" w:color="4F81BD"/>
            </w:tcBorders>
          </w:tcPr>
          <w:p w14:paraId="01A59ACC" w14:textId="77777777" w:rsidR="00121274" w:rsidRDefault="00000000" w:rsidP="00EF78CD">
            <w:pPr>
              <w:spacing w:after="0" w:line="240" w:lineRule="auto"/>
              <w:ind w:left="4" w:right="0" w:firstLine="0"/>
            </w:pPr>
            <w:r>
              <w:rPr>
                <w:sz w:val="22"/>
              </w:rPr>
              <w:t xml:space="preserve">ENSG00000229618, </w:t>
            </w:r>
          </w:p>
          <w:p w14:paraId="49303929" w14:textId="77777777" w:rsidR="00121274" w:rsidRDefault="00000000" w:rsidP="00EF78CD">
            <w:pPr>
              <w:spacing w:after="0" w:line="240" w:lineRule="auto"/>
              <w:ind w:left="4" w:right="0" w:firstLine="0"/>
              <w:jc w:val="left"/>
            </w:pPr>
            <w:r>
              <w:rPr>
                <w:sz w:val="22"/>
              </w:rPr>
              <w:t>ENSG00000026508, ENSG00000140030</w:t>
            </w:r>
            <w:r>
              <w:t xml:space="preserve"> </w:t>
            </w:r>
          </w:p>
        </w:tc>
      </w:tr>
      <w:tr w:rsidR="00121274" w14:paraId="530867F4" w14:textId="77777777">
        <w:trPr>
          <w:trHeight w:val="775"/>
        </w:trPr>
        <w:tc>
          <w:tcPr>
            <w:tcW w:w="2737" w:type="dxa"/>
            <w:tcBorders>
              <w:top w:val="single" w:sz="8" w:space="0" w:color="4F81BD"/>
              <w:left w:val="single" w:sz="8" w:space="0" w:color="4F81BD"/>
              <w:bottom w:val="single" w:sz="8" w:space="0" w:color="4F81BD"/>
              <w:right w:val="single" w:sz="8" w:space="0" w:color="4F81BD"/>
            </w:tcBorders>
            <w:shd w:val="clear" w:color="auto" w:fill="D3DFEE"/>
          </w:tcPr>
          <w:p w14:paraId="586AAAD0" w14:textId="77777777" w:rsidR="00121274" w:rsidRDefault="00000000" w:rsidP="00EF78CD">
            <w:pPr>
              <w:spacing w:after="0" w:line="240" w:lineRule="auto"/>
              <w:ind w:left="0" w:right="0" w:firstLine="0"/>
              <w:jc w:val="left"/>
            </w:pPr>
            <w:proofErr w:type="spellStart"/>
            <w:r>
              <w:rPr>
                <w:b/>
                <w:sz w:val="22"/>
              </w:rPr>
              <w:t>Microglia</w:t>
            </w:r>
            <w:proofErr w:type="spellEnd"/>
            <w:r>
              <w:rPr>
                <w:b/>
              </w:rPr>
              <w:t xml:space="preserve"> </w:t>
            </w:r>
          </w:p>
        </w:tc>
        <w:tc>
          <w:tcPr>
            <w:tcW w:w="1512" w:type="dxa"/>
            <w:tcBorders>
              <w:top w:val="single" w:sz="8" w:space="0" w:color="4F81BD"/>
              <w:left w:val="single" w:sz="8" w:space="0" w:color="4F81BD"/>
              <w:bottom w:val="single" w:sz="8" w:space="0" w:color="4F81BD"/>
              <w:right w:val="single" w:sz="8" w:space="0" w:color="4F81BD"/>
            </w:tcBorders>
            <w:shd w:val="clear" w:color="auto" w:fill="D3DFEE"/>
          </w:tcPr>
          <w:p w14:paraId="0F27E201" w14:textId="77777777" w:rsidR="00121274" w:rsidRDefault="00000000" w:rsidP="00EF78CD">
            <w:pPr>
              <w:spacing w:after="0" w:line="240" w:lineRule="auto"/>
              <w:ind w:left="1" w:right="0" w:firstLine="0"/>
            </w:pPr>
            <w:proofErr w:type="spellStart"/>
            <w:r>
              <w:rPr>
                <w:sz w:val="22"/>
              </w:rPr>
              <w:t>PD_vs_CTRL</w:t>
            </w:r>
            <w:proofErr w:type="spellEnd"/>
            <w:r>
              <w:t xml:space="preserve"> </w:t>
            </w:r>
          </w:p>
        </w:tc>
        <w:tc>
          <w:tcPr>
            <w:tcW w:w="752" w:type="dxa"/>
            <w:tcBorders>
              <w:top w:val="single" w:sz="8" w:space="0" w:color="4F81BD"/>
              <w:left w:val="single" w:sz="8" w:space="0" w:color="4F81BD"/>
              <w:bottom w:val="single" w:sz="8" w:space="0" w:color="4F81BD"/>
              <w:right w:val="single" w:sz="8" w:space="0" w:color="4F81BD"/>
            </w:tcBorders>
            <w:shd w:val="clear" w:color="auto" w:fill="D3DFEE"/>
          </w:tcPr>
          <w:p w14:paraId="0815FE2F" w14:textId="77777777" w:rsidR="00121274" w:rsidRDefault="00000000" w:rsidP="00EF78CD">
            <w:pPr>
              <w:spacing w:after="0" w:line="240" w:lineRule="auto"/>
              <w:ind w:left="5" w:right="0" w:firstLine="0"/>
              <w:jc w:val="left"/>
            </w:pPr>
            <w:r>
              <w:rPr>
                <w:sz w:val="22"/>
              </w:rPr>
              <w:t>1504</w:t>
            </w:r>
            <w:r>
              <w:t xml:space="preserve"> </w:t>
            </w:r>
          </w:p>
        </w:tc>
        <w:tc>
          <w:tcPr>
            <w:tcW w:w="1233" w:type="dxa"/>
            <w:tcBorders>
              <w:top w:val="single" w:sz="8" w:space="0" w:color="4F81BD"/>
              <w:left w:val="single" w:sz="8" w:space="0" w:color="4F81BD"/>
              <w:bottom w:val="single" w:sz="8" w:space="0" w:color="4F81BD"/>
              <w:right w:val="single" w:sz="8" w:space="0" w:color="4F81BD"/>
            </w:tcBorders>
            <w:shd w:val="clear" w:color="auto" w:fill="D3DFEE"/>
          </w:tcPr>
          <w:p w14:paraId="4EC4FEEE" w14:textId="77777777" w:rsidR="00121274" w:rsidRDefault="00000000" w:rsidP="00EF78CD">
            <w:pPr>
              <w:spacing w:after="0" w:line="240" w:lineRule="auto"/>
              <w:ind w:left="0" w:right="0" w:firstLine="0"/>
              <w:jc w:val="left"/>
            </w:pPr>
            <w:r>
              <w:rPr>
                <w:sz w:val="22"/>
              </w:rPr>
              <w:t>2</w:t>
            </w:r>
            <w:r>
              <w:t xml:space="preserve"> </w:t>
            </w:r>
          </w:p>
        </w:tc>
        <w:tc>
          <w:tcPr>
            <w:tcW w:w="1333" w:type="dxa"/>
            <w:tcBorders>
              <w:top w:val="single" w:sz="8" w:space="0" w:color="4F81BD"/>
              <w:left w:val="single" w:sz="8" w:space="0" w:color="4F81BD"/>
              <w:bottom w:val="single" w:sz="8" w:space="0" w:color="4F81BD"/>
              <w:right w:val="single" w:sz="8" w:space="0" w:color="4F81BD"/>
            </w:tcBorders>
            <w:shd w:val="clear" w:color="auto" w:fill="D3DFEE"/>
          </w:tcPr>
          <w:p w14:paraId="7674D097" w14:textId="77777777" w:rsidR="00121274" w:rsidRDefault="00000000" w:rsidP="00EF78CD">
            <w:pPr>
              <w:spacing w:after="0" w:line="240" w:lineRule="auto"/>
              <w:ind w:left="0" w:right="0" w:firstLine="0"/>
              <w:jc w:val="left"/>
            </w:pPr>
            <w:r>
              <w:rPr>
                <w:sz w:val="22"/>
              </w:rPr>
              <w:t>0</w:t>
            </w:r>
            <w:r>
              <w:t xml:space="preserve"> </w:t>
            </w:r>
          </w:p>
        </w:tc>
        <w:tc>
          <w:tcPr>
            <w:tcW w:w="2054" w:type="dxa"/>
            <w:tcBorders>
              <w:top w:val="single" w:sz="8" w:space="0" w:color="4F81BD"/>
              <w:left w:val="single" w:sz="8" w:space="0" w:color="4F81BD"/>
              <w:bottom w:val="single" w:sz="8" w:space="0" w:color="4F81BD"/>
              <w:right w:val="single" w:sz="8" w:space="0" w:color="4F81BD"/>
            </w:tcBorders>
            <w:shd w:val="clear" w:color="auto" w:fill="D3DFEE"/>
          </w:tcPr>
          <w:p w14:paraId="7A7332C7" w14:textId="77777777" w:rsidR="00121274" w:rsidRDefault="00000000" w:rsidP="00EF78CD">
            <w:pPr>
              <w:spacing w:after="0" w:line="240" w:lineRule="auto"/>
              <w:ind w:left="4" w:right="0" w:firstLine="0"/>
            </w:pPr>
            <w:r>
              <w:rPr>
                <w:sz w:val="22"/>
              </w:rPr>
              <w:t xml:space="preserve">ENSG00000197430, </w:t>
            </w:r>
          </w:p>
          <w:p w14:paraId="306FFB4C" w14:textId="77777777" w:rsidR="00121274" w:rsidRDefault="00000000" w:rsidP="00EF78CD">
            <w:pPr>
              <w:spacing w:after="0" w:line="240" w:lineRule="auto"/>
              <w:ind w:left="4" w:right="0" w:firstLine="0"/>
              <w:jc w:val="left"/>
            </w:pPr>
            <w:r>
              <w:rPr>
                <w:sz w:val="22"/>
              </w:rPr>
              <w:t>ENSG00000178722, ENSG00000110876</w:t>
            </w:r>
            <w:r>
              <w:t xml:space="preserve"> </w:t>
            </w:r>
          </w:p>
        </w:tc>
      </w:tr>
      <w:tr w:rsidR="00121274" w14:paraId="2D0D24E1" w14:textId="77777777">
        <w:trPr>
          <w:trHeight w:val="781"/>
        </w:trPr>
        <w:tc>
          <w:tcPr>
            <w:tcW w:w="2737" w:type="dxa"/>
            <w:tcBorders>
              <w:top w:val="single" w:sz="8" w:space="0" w:color="4F81BD"/>
              <w:left w:val="single" w:sz="8" w:space="0" w:color="4F81BD"/>
              <w:bottom w:val="single" w:sz="8" w:space="0" w:color="4F81BD"/>
              <w:right w:val="single" w:sz="8" w:space="0" w:color="4F81BD"/>
            </w:tcBorders>
          </w:tcPr>
          <w:p w14:paraId="0488D136" w14:textId="77777777" w:rsidR="00121274" w:rsidRDefault="00000000" w:rsidP="00EF78CD">
            <w:pPr>
              <w:spacing w:after="0" w:line="240" w:lineRule="auto"/>
              <w:ind w:left="0" w:right="0" w:firstLine="0"/>
              <w:jc w:val="left"/>
            </w:pPr>
            <w:proofErr w:type="spellStart"/>
            <w:r>
              <w:rPr>
                <w:b/>
                <w:sz w:val="22"/>
              </w:rPr>
              <w:t>Oligodendrocyte.OPC</w:t>
            </w:r>
            <w:proofErr w:type="spellEnd"/>
            <w:r>
              <w:rPr>
                <w:b/>
              </w:rPr>
              <w:t xml:space="preserve"> </w:t>
            </w:r>
          </w:p>
        </w:tc>
        <w:tc>
          <w:tcPr>
            <w:tcW w:w="1512" w:type="dxa"/>
            <w:tcBorders>
              <w:top w:val="single" w:sz="8" w:space="0" w:color="4F81BD"/>
              <w:left w:val="single" w:sz="8" w:space="0" w:color="4F81BD"/>
              <w:bottom w:val="single" w:sz="8" w:space="0" w:color="4F81BD"/>
              <w:right w:val="single" w:sz="8" w:space="0" w:color="4F81BD"/>
            </w:tcBorders>
          </w:tcPr>
          <w:p w14:paraId="0FCEC8BB" w14:textId="77777777" w:rsidR="00121274" w:rsidRDefault="00000000" w:rsidP="00EF78CD">
            <w:pPr>
              <w:spacing w:after="0" w:line="240" w:lineRule="auto"/>
              <w:ind w:left="1" w:right="0" w:firstLine="0"/>
            </w:pPr>
            <w:proofErr w:type="spellStart"/>
            <w:r>
              <w:rPr>
                <w:sz w:val="22"/>
              </w:rPr>
              <w:t>AD_vs_CTRL</w:t>
            </w:r>
            <w:proofErr w:type="spellEnd"/>
            <w:r>
              <w:t xml:space="preserve"> </w:t>
            </w:r>
          </w:p>
        </w:tc>
        <w:tc>
          <w:tcPr>
            <w:tcW w:w="752" w:type="dxa"/>
            <w:tcBorders>
              <w:top w:val="single" w:sz="8" w:space="0" w:color="4F81BD"/>
              <w:left w:val="single" w:sz="8" w:space="0" w:color="4F81BD"/>
              <w:bottom w:val="single" w:sz="8" w:space="0" w:color="4F81BD"/>
              <w:right w:val="single" w:sz="8" w:space="0" w:color="4F81BD"/>
            </w:tcBorders>
          </w:tcPr>
          <w:p w14:paraId="0AF765AF" w14:textId="77777777" w:rsidR="00121274" w:rsidRDefault="00000000" w:rsidP="00EF78CD">
            <w:pPr>
              <w:spacing w:after="0" w:line="240" w:lineRule="auto"/>
              <w:ind w:left="5" w:right="0" w:firstLine="0"/>
              <w:jc w:val="left"/>
            </w:pPr>
            <w:r>
              <w:rPr>
                <w:sz w:val="22"/>
              </w:rPr>
              <w:t>1602</w:t>
            </w:r>
            <w:r>
              <w:t xml:space="preserve"> </w:t>
            </w:r>
          </w:p>
        </w:tc>
        <w:tc>
          <w:tcPr>
            <w:tcW w:w="1233" w:type="dxa"/>
            <w:tcBorders>
              <w:top w:val="single" w:sz="8" w:space="0" w:color="4F81BD"/>
              <w:left w:val="single" w:sz="8" w:space="0" w:color="4F81BD"/>
              <w:bottom w:val="single" w:sz="8" w:space="0" w:color="4F81BD"/>
              <w:right w:val="single" w:sz="8" w:space="0" w:color="4F81BD"/>
            </w:tcBorders>
          </w:tcPr>
          <w:p w14:paraId="5004A372" w14:textId="77777777" w:rsidR="00121274" w:rsidRDefault="00000000" w:rsidP="00EF78CD">
            <w:pPr>
              <w:spacing w:after="0" w:line="240" w:lineRule="auto"/>
              <w:ind w:left="0" w:right="0" w:firstLine="0"/>
              <w:jc w:val="left"/>
            </w:pPr>
            <w:r>
              <w:rPr>
                <w:sz w:val="22"/>
              </w:rPr>
              <w:t>5</w:t>
            </w:r>
            <w:r>
              <w:t xml:space="preserve"> </w:t>
            </w:r>
          </w:p>
        </w:tc>
        <w:tc>
          <w:tcPr>
            <w:tcW w:w="1333" w:type="dxa"/>
            <w:tcBorders>
              <w:top w:val="single" w:sz="8" w:space="0" w:color="4F81BD"/>
              <w:left w:val="single" w:sz="8" w:space="0" w:color="4F81BD"/>
              <w:bottom w:val="single" w:sz="8" w:space="0" w:color="4F81BD"/>
              <w:right w:val="single" w:sz="8" w:space="0" w:color="4F81BD"/>
            </w:tcBorders>
          </w:tcPr>
          <w:p w14:paraId="5CFF2115" w14:textId="77777777" w:rsidR="00121274" w:rsidRDefault="00000000" w:rsidP="00EF78CD">
            <w:pPr>
              <w:spacing w:after="0" w:line="240" w:lineRule="auto"/>
              <w:ind w:left="0" w:right="0" w:firstLine="0"/>
              <w:jc w:val="left"/>
            </w:pPr>
            <w:r>
              <w:rPr>
                <w:sz w:val="22"/>
              </w:rPr>
              <w:t>0</w:t>
            </w:r>
            <w:r>
              <w:t xml:space="preserve"> </w:t>
            </w:r>
          </w:p>
        </w:tc>
        <w:tc>
          <w:tcPr>
            <w:tcW w:w="2054" w:type="dxa"/>
            <w:tcBorders>
              <w:top w:val="single" w:sz="8" w:space="0" w:color="4F81BD"/>
              <w:left w:val="single" w:sz="8" w:space="0" w:color="4F81BD"/>
              <w:bottom w:val="single" w:sz="8" w:space="0" w:color="4F81BD"/>
              <w:right w:val="single" w:sz="8" w:space="0" w:color="4F81BD"/>
            </w:tcBorders>
          </w:tcPr>
          <w:p w14:paraId="42A50635" w14:textId="77777777" w:rsidR="00121274" w:rsidRDefault="00000000" w:rsidP="00EF78CD">
            <w:pPr>
              <w:spacing w:after="0" w:line="240" w:lineRule="auto"/>
              <w:ind w:left="4" w:right="0" w:firstLine="0"/>
            </w:pPr>
            <w:r>
              <w:rPr>
                <w:sz w:val="22"/>
              </w:rPr>
              <w:t xml:space="preserve">ENSG00000160801, </w:t>
            </w:r>
          </w:p>
          <w:p w14:paraId="4FEC0874" w14:textId="77777777" w:rsidR="00121274" w:rsidRDefault="00000000" w:rsidP="00EF78CD">
            <w:pPr>
              <w:spacing w:after="0" w:line="240" w:lineRule="auto"/>
              <w:ind w:left="4" w:right="0" w:firstLine="0"/>
              <w:jc w:val="left"/>
            </w:pPr>
            <w:r>
              <w:rPr>
                <w:sz w:val="22"/>
              </w:rPr>
              <w:t>ENSG00000026508, ENSG00000286797</w:t>
            </w:r>
            <w:r>
              <w:t xml:space="preserve"> </w:t>
            </w:r>
          </w:p>
        </w:tc>
      </w:tr>
      <w:tr w:rsidR="00121274" w14:paraId="2DAE35C3" w14:textId="77777777">
        <w:trPr>
          <w:trHeight w:val="775"/>
        </w:trPr>
        <w:tc>
          <w:tcPr>
            <w:tcW w:w="2737" w:type="dxa"/>
            <w:tcBorders>
              <w:top w:val="single" w:sz="8" w:space="0" w:color="4F81BD"/>
              <w:left w:val="single" w:sz="8" w:space="0" w:color="4F81BD"/>
              <w:bottom w:val="single" w:sz="8" w:space="0" w:color="4F81BD"/>
              <w:right w:val="single" w:sz="8" w:space="0" w:color="4F81BD"/>
            </w:tcBorders>
            <w:shd w:val="clear" w:color="auto" w:fill="D3DFEE"/>
          </w:tcPr>
          <w:p w14:paraId="6C4CA44D" w14:textId="77777777" w:rsidR="00121274" w:rsidRDefault="00000000" w:rsidP="00EF78CD">
            <w:pPr>
              <w:spacing w:after="0" w:line="240" w:lineRule="auto"/>
              <w:ind w:left="0" w:right="0" w:firstLine="0"/>
              <w:jc w:val="left"/>
            </w:pPr>
            <w:proofErr w:type="spellStart"/>
            <w:r>
              <w:rPr>
                <w:b/>
                <w:sz w:val="22"/>
              </w:rPr>
              <w:lastRenderedPageBreak/>
              <w:t>Oligodendrocyte.OPC</w:t>
            </w:r>
            <w:proofErr w:type="spellEnd"/>
            <w:r>
              <w:rPr>
                <w:b/>
              </w:rPr>
              <w:t xml:space="preserve"> </w:t>
            </w:r>
          </w:p>
        </w:tc>
        <w:tc>
          <w:tcPr>
            <w:tcW w:w="1512" w:type="dxa"/>
            <w:tcBorders>
              <w:top w:val="single" w:sz="8" w:space="0" w:color="4F81BD"/>
              <w:left w:val="single" w:sz="8" w:space="0" w:color="4F81BD"/>
              <w:bottom w:val="single" w:sz="8" w:space="0" w:color="4F81BD"/>
              <w:right w:val="single" w:sz="8" w:space="0" w:color="4F81BD"/>
            </w:tcBorders>
            <w:shd w:val="clear" w:color="auto" w:fill="D3DFEE"/>
          </w:tcPr>
          <w:p w14:paraId="534812A3" w14:textId="77777777" w:rsidR="00121274" w:rsidRDefault="00000000" w:rsidP="00EF78CD">
            <w:pPr>
              <w:spacing w:after="0" w:line="240" w:lineRule="auto"/>
              <w:ind w:left="1" w:right="0" w:firstLine="0"/>
            </w:pPr>
            <w:proofErr w:type="spellStart"/>
            <w:r>
              <w:rPr>
                <w:sz w:val="22"/>
              </w:rPr>
              <w:t>PD_vs_CTRL</w:t>
            </w:r>
            <w:proofErr w:type="spellEnd"/>
            <w:r>
              <w:t xml:space="preserve"> </w:t>
            </w:r>
          </w:p>
        </w:tc>
        <w:tc>
          <w:tcPr>
            <w:tcW w:w="752" w:type="dxa"/>
            <w:tcBorders>
              <w:top w:val="single" w:sz="8" w:space="0" w:color="4F81BD"/>
              <w:left w:val="single" w:sz="8" w:space="0" w:color="4F81BD"/>
              <w:bottom w:val="single" w:sz="8" w:space="0" w:color="4F81BD"/>
              <w:right w:val="single" w:sz="8" w:space="0" w:color="4F81BD"/>
            </w:tcBorders>
            <w:shd w:val="clear" w:color="auto" w:fill="D3DFEE"/>
          </w:tcPr>
          <w:p w14:paraId="0EFFCA04" w14:textId="77777777" w:rsidR="00121274" w:rsidRDefault="00000000" w:rsidP="00EF78CD">
            <w:pPr>
              <w:spacing w:after="0" w:line="240" w:lineRule="auto"/>
              <w:ind w:left="5" w:right="0" w:firstLine="0"/>
              <w:jc w:val="left"/>
            </w:pPr>
            <w:r>
              <w:rPr>
                <w:sz w:val="22"/>
              </w:rPr>
              <w:t>1602</w:t>
            </w:r>
            <w:r>
              <w:t xml:space="preserve"> </w:t>
            </w:r>
          </w:p>
        </w:tc>
        <w:tc>
          <w:tcPr>
            <w:tcW w:w="1233" w:type="dxa"/>
            <w:tcBorders>
              <w:top w:val="single" w:sz="8" w:space="0" w:color="4F81BD"/>
              <w:left w:val="single" w:sz="8" w:space="0" w:color="4F81BD"/>
              <w:bottom w:val="single" w:sz="8" w:space="0" w:color="4F81BD"/>
              <w:right w:val="single" w:sz="8" w:space="0" w:color="4F81BD"/>
            </w:tcBorders>
            <w:shd w:val="clear" w:color="auto" w:fill="D3DFEE"/>
          </w:tcPr>
          <w:p w14:paraId="05F5A3EB" w14:textId="77777777" w:rsidR="00121274" w:rsidRDefault="00000000" w:rsidP="00EF78CD">
            <w:pPr>
              <w:spacing w:after="0" w:line="240" w:lineRule="auto"/>
              <w:ind w:left="0" w:right="0" w:firstLine="0"/>
              <w:jc w:val="left"/>
            </w:pPr>
            <w:r>
              <w:rPr>
                <w:sz w:val="22"/>
              </w:rPr>
              <w:t>7</w:t>
            </w:r>
            <w:r>
              <w:t xml:space="preserve"> </w:t>
            </w:r>
          </w:p>
        </w:tc>
        <w:tc>
          <w:tcPr>
            <w:tcW w:w="1333" w:type="dxa"/>
            <w:tcBorders>
              <w:top w:val="single" w:sz="8" w:space="0" w:color="4F81BD"/>
              <w:left w:val="single" w:sz="8" w:space="0" w:color="4F81BD"/>
              <w:bottom w:val="single" w:sz="8" w:space="0" w:color="4F81BD"/>
              <w:right w:val="single" w:sz="8" w:space="0" w:color="4F81BD"/>
            </w:tcBorders>
            <w:shd w:val="clear" w:color="auto" w:fill="D3DFEE"/>
          </w:tcPr>
          <w:p w14:paraId="3B9E2525" w14:textId="77777777" w:rsidR="00121274" w:rsidRDefault="00000000" w:rsidP="00EF78CD">
            <w:pPr>
              <w:spacing w:after="0" w:line="240" w:lineRule="auto"/>
              <w:ind w:left="0" w:right="0" w:firstLine="0"/>
              <w:jc w:val="left"/>
            </w:pPr>
            <w:r>
              <w:rPr>
                <w:sz w:val="22"/>
              </w:rPr>
              <w:t>0</w:t>
            </w:r>
            <w:r>
              <w:t xml:space="preserve"> </w:t>
            </w:r>
          </w:p>
        </w:tc>
        <w:tc>
          <w:tcPr>
            <w:tcW w:w="2054" w:type="dxa"/>
            <w:tcBorders>
              <w:top w:val="single" w:sz="8" w:space="0" w:color="4F81BD"/>
              <w:left w:val="single" w:sz="8" w:space="0" w:color="4F81BD"/>
              <w:bottom w:val="single" w:sz="8" w:space="0" w:color="4F81BD"/>
              <w:right w:val="single" w:sz="8" w:space="0" w:color="4F81BD"/>
            </w:tcBorders>
            <w:shd w:val="clear" w:color="auto" w:fill="D3DFEE"/>
          </w:tcPr>
          <w:p w14:paraId="3D03CDD0" w14:textId="77777777" w:rsidR="00121274" w:rsidRDefault="00000000" w:rsidP="00EF78CD">
            <w:pPr>
              <w:spacing w:after="0" w:line="240" w:lineRule="auto"/>
              <w:ind w:left="4" w:right="0" w:firstLine="0"/>
            </w:pPr>
            <w:r>
              <w:rPr>
                <w:sz w:val="22"/>
              </w:rPr>
              <w:t xml:space="preserve">ENSG00000119535, </w:t>
            </w:r>
          </w:p>
          <w:p w14:paraId="55FB8871" w14:textId="77777777" w:rsidR="00121274" w:rsidRDefault="00000000" w:rsidP="00EF78CD">
            <w:pPr>
              <w:spacing w:after="0" w:line="240" w:lineRule="auto"/>
              <w:ind w:left="4" w:right="0" w:firstLine="0"/>
              <w:jc w:val="left"/>
            </w:pPr>
            <w:r>
              <w:rPr>
                <w:sz w:val="22"/>
              </w:rPr>
              <w:t>ENSG00000161911, ENSG00000092969</w:t>
            </w:r>
            <w:r>
              <w:t xml:space="preserve"> </w:t>
            </w:r>
          </w:p>
        </w:tc>
      </w:tr>
      <w:tr w:rsidR="00121274" w14:paraId="6CB23CAC" w14:textId="77777777">
        <w:trPr>
          <w:trHeight w:val="785"/>
        </w:trPr>
        <w:tc>
          <w:tcPr>
            <w:tcW w:w="2737" w:type="dxa"/>
            <w:tcBorders>
              <w:top w:val="single" w:sz="8" w:space="0" w:color="4F81BD"/>
              <w:left w:val="single" w:sz="8" w:space="0" w:color="4F81BD"/>
              <w:bottom w:val="single" w:sz="8" w:space="0" w:color="4F81BD"/>
              <w:right w:val="single" w:sz="8" w:space="0" w:color="4F81BD"/>
            </w:tcBorders>
          </w:tcPr>
          <w:p w14:paraId="0F514419" w14:textId="77777777" w:rsidR="00121274" w:rsidRDefault="00000000" w:rsidP="00EF78CD">
            <w:pPr>
              <w:spacing w:after="0" w:line="240" w:lineRule="auto"/>
              <w:ind w:left="0" w:right="0" w:firstLine="0"/>
            </w:pPr>
            <w:proofErr w:type="spellStart"/>
            <w:r>
              <w:rPr>
                <w:b/>
                <w:sz w:val="22"/>
              </w:rPr>
              <w:t>Support.Vascular.Immune</w:t>
            </w:r>
            <w:proofErr w:type="spellEnd"/>
            <w:r>
              <w:rPr>
                <w:b/>
              </w:rPr>
              <w:t xml:space="preserve"> </w:t>
            </w:r>
          </w:p>
        </w:tc>
        <w:tc>
          <w:tcPr>
            <w:tcW w:w="1512" w:type="dxa"/>
            <w:tcBorders>
              <w:top w:val="single" w:sz="8" w:space="0" w:color="4F81BD"/>
              <w:left w:val="single" w:sz="8" w:space="0" w:color="4F81BD"/>
              <w:bottom w:val="single" w:sz="8" w:space="0" w:color="4F81BD"/>
              <w:right w:val="single" w:sz="8" w:space="0" w:color="4F81BD"/>
            </w:tcBorders>
          </w:tcPr>
          <w:p w14:paraId="3BAE26C8" w14:textId="77777777" w:rsidR="00121274" w:rsidRDefault="00000000" w:rsidP="00EF78CD">
            <w:pPr>
              <w:spacing w:after="0" w:line="240" w:lineRule="auto"/>
              <w:ind w:left="1" w:right="0" w:firstLine="0"/>
            </w:pPr>
            <w:proofErr w:type="spellStart"/>
            <w:r>
              <w:rPr>
                <w:sz w:val="22"/>
              </w:rPr>
              <w:t>AD_vs_CTRL</w:t>
            </w:r>
            <w:proofErr w:type="spellEnd"/>
            <w:r>
              <w:t xml:space="preserve"> </w:t>
            </w:r>
          </w:p>
        </w:tc>
        <w:tc>
          <w:tcPr>
            <w:tcW w:w="752" w:type="dxa"/>
            <w:tcBorders>
              <w:top w:val="single" w:sz="8" w:space="0" w:color="4F81BD"/>
              <w:left w:val="single" w:sz="8" w:space="0" w:color="4F81BD"/>
              <w:bottom w:val="single" w:sz="8" w:space="0" w:color="4F81BD"/>
              <w:right w:val="single" w:sz="8" w:space="0" w:color="4F81BD"/>
            </w:tcBorders>
          </w:tcPr>
          <w:p w14:paraId="2312AD3C" w14:textId="77777777" w:rsidR="00121274" w:rsidRDefault="00000000" w:rsidP="00EF78CD">
            <w:pPr>
              <w:spacing w:after="0" w:line="240" w:lineRule="auto"/>
              <w:ind w:left="5" w:right="0" w:firstLine="0"/>
              <w:jc w:val="left"/>
            </w:pPr>
            <w:r>
              <w:rPr>
                <w:sz w:val="22"/>
              </w:rPr>
              <w:t>1555</w:t>
            </w:r>
            <w:r>
              <w:t xml:space="preserve"> </w:t>
            </w:r>
          </w:p>
        </w:tc>
        <w:tc>
          <w:tcPr>
            <w:tcW w:w="1233" w:type="dxa"/>
            <w:tcBorders>
              <w:top w:val="single" w:sz="8" w:space="0" w:color="4F81BD"/>
              <w:left w:val="single" w:sz="8" w:space="0" w:color="4F81BD"/>
              <w:bottom w:val="single" w:sz="8" w:space="0" w:color="4F81BD"/>
              <w:right w:val="single" w:sz="8" w:space="0" w:color="4F81BD"/>
            </w:tcBorders>
          </w:tcPr>
          <w:p w14:paraId="1E8CA3D3" w14:textId="77777777" w:rsidR="00121274" w:rsidRDefault="00000000" w:rsidP="00EF78CD">
            <w:pPr>
              <w:spacing w:after="0" w:line="240" w:lineRule="auto"/>
              <w:ind w:left="0" w:right="0" w:firstLine="0"/>
              <w:jc w:val="left"/>
            </w:pPr>
            <w:r>
              <w:rPr>
                <w:sz w:val="22"/>
              </w:rPr>
              <w:t>5</w:t>
            </w:r>
            <w:r>
              <w:t xml:space="preserve"> </w:t>
            </w:r>
          </w:p>
        </w:tc>
        <w:tc>
          <w:tcPr>
            <w:tcW w:w="1333" w:type="dxa"/>
            <w:tcBorders>
              <w:top w:val="single" w:sz="8" w:space="0" w:color="4F81BD"/>
              <w:left w:val="single" w:sz="8" w:space="0" w:color="4F81BD"/>
              <w:bottom w:val="single" w:sz="8" w:space="0" w:color="4F81BD"/>
              <w:right w:val="single" w:sz="8" w:space="0" w:color="4F81BD"/>
            </w:tcBorders>
          </w:tcPr>
          <w:p w14:paraId="1475A501" w14:textId="77777777" w:rsidR="00121274" w:rsidRDefault="00000000" w:rsidP="00EF78CD">
            <w:pPr>
              <w:spacing w:after="0" w:line="240" w:lineRule="auto"/>
              <w:ind w:left="0" w:right="0" w:firstLine="0"/>
              <w:jc w:val="left"/>
            </w:pPr>
            <w:r>
              <w:rPr>
                <w:sz w:val="22"/>
              </w:rPr>
              <w:t>1</w:t>
            </w:r>
            <w:r>
              <w:t xml:space="preserve"> </w:t>
            </w:r>
          </w:p>
        </w:tc>
        <w:tc>
          <w:tcPr>
            <w:tcW w:w="2054" w:type="dxa"/>
            <w:tcBorders>
              <w:top w:val="single" w:sz="8" w:space="0" w:color="4F81BD"/>
              <w:left w:val="single" w:sz="8" w:space="0" w:color="4F81BD"/>
              <w:bottom w:val="single" w:sz="8" w:space="0" w:color="4F81BD"/>
              <w:right w:val="single" w:sz="8" w:space="0" w:color="4F81BD"/>
            </w:tcBorders>
          </w:tcPr>
          <w:p w14:paraId="0047D88E" w14:textId="77777777" w:rsidR="00121274" w:rsidRDefault="00000000" w:rsidP="00EF78CD">
            <w:pPr>
              <w:spacing w:after="0" w:line="240" w:lineRule="auto"/>
              <w:ind w:left="4" w:right="0" w:firstLine="0"/>
            </w:pPr>
            <w:r>
              <w:rPr>
                <w:sz w:val="22"/>
              </w:rPr>
              <w:t xml:space="preserve">ENSG00000026508, </w:t>
            </w:r>
          </w:p>
          <w:p w14:paraId="5F4B741C" w14:textId="77777777" w:rsidR="00121274" w:rsidRDefault="00000000" w:rsidP="00EF78CD">
            <w:pPr>
              <w:spacing w:after="0" w:line="240" w:lineRule="auto"/>
              <w:ind w:left="4" w:right="0" w:firstLine="0"/>
              <w:jc w:val="left"/>
            </w:pPr>
            <w:r>
              <w:rPr>
                <w:sz w:val="22"/>
              </w:rPr>
              <w:t>ENSG00000226383, ENSG00000253154</w:t>
            </w:r>
            <w:r>
              <w:t xml:space="preserve"> </w:t>
            </w:r>
          </w:p>
        </w:tc>
      </w:tr>
      <w:tr w:rsidR="00121274" w14:paraId="1A145246" w14:textId="77777777">
        <w:trPr>
          <w:trHeight w:val="776"/>
        </w:trPr>
        <w:tc>
          <w:tcPr>
            <w:tcW w:w="2737" w:type="dxa"/>
            <w:tcBorders>
              <w:top w:val="single" w:sz="8" w:space="0" w:color="4F81BD"/>
              <w:left w:val="single" w:sz="8" w:space="0" w:color="4F81BD"/>
              <w:bottom w:val="single" w:sz="8" w:space="0" w:color="4F81BD"/>
              <w:right w:val="single" w:sz="8" w:space="0" w:color="4F81BD"/>
            </w:tcBorders>
            <w:shd w:val="clear" w:color="auto" w:fill="D3DFEE"/>
          </w:tcPr>
          <w:p w14:paraId="0CCE8D4C" w14:textId="77777777" w:rsidR="00121274" w:rsidRDefault="00000000" w:rsidP="00EF78CD">
            <w:pPr>
              <w:spacing w:after="0" w:line="240" w:lineRule="auto"/>
              <w:ind w:left="0" w:right="0" w:firstLine="0"/>
            </w:pPr>
            <w:proofErr w:type="spellStart"/>
            <w:r>
              <w:rPr>
                <w:b/>
                <w:sz w:val="22"/>
              </w:rPr>
              <w:t>Support.Vascular.Immune</w:t>
            </w:r>
            <w:proofErr w:type="spellEnd"/>
            <w:r>
              <w:rPr>
                <w:b/>
              </w:rPr>
              <w:t xml:space="preserve"> </w:t>
            </w:r>
          </w:p>
        </w:tc>
        <w:tc>
          <w:tcPr>
            <w:tcW w:w="1512" w:type="dxa"/>
            <w:tcBorders>
              <w:top w:val="single" w:sz="8" w:space="0" w:color="4F81BD"/>
              <w:left w:val="single" w:sz="8" w:space="0" w:color="4F81BD"/>
              <w:bottom w:val="single" w:sz="8" w:space="0" w:color="4F81BD"/>
              <w:right w:val="single" w:sz="8" w:space="0" w:color="4F81BD"/>
            </w:tcBorders>
            <w:shd w:val="clear" w:color="auto" w:fill="D3DFEE"/>
          </w:tcPr>
          <w:p w14:paraId="6B0F44FE" w14:textId="77777777" w:rsidR="00121274" w:rsidRDefault="00000000" w:rsidP="00EF78CD">
            <w:pPr>
              <w:spacing w:after="0" w:line="240" w:lineRule="auto"/>
              <w:ind w:left="1" w:right="0" w:firstLine="0"/>
            </w:pPr>
            <w:proofErr w:type="spellStart"/>
            <w:r>
              <w:rPr>
                <w:sz w:val="22"/>
              </w:rPr>
              <w:t>PD_vs_CTRL</w:t>
            </w:r>
            <w:proofErr w:type="spellEnd"/>
            <w:r>
              <w:t xml:space="preserve"> </w:t>
            </w:r>
          </w:p>
        </w:tc>
        <w:tc>
          <w:tcPr>
            <w:tcW w:w="752" w:type="dxa"/>
            <w:tcBorders>
              <w:top w:val="single" w:sz="8" w:space="0" w:color="4F81BD"/>
              <w:left w:val="single" w:sz="8" w:space="0" w:color="4F81BD"/>
              <w:bottom w:val="single" w:sz="8" w:space="0" w:color="4F81BD"/>
              <w:right w:val="single" w:sz="8" w:space="0" w:color="4F81BD"/>
            </w:tcBorders>
            <w:shd w:val="clear" w:color="auto" w:fill="D3DFEE"/>
          </w:tcPr>
          <w:p w14:paraId="43D6C0CE" w14:textId="77777777" w:rsidR="00121274" w:rsidRDefault="00000000" w:rsidP="00EF78CD">
            <w:pPr>
              <w:spacing w:after="0" w:line="240" w:lineRule="auto"/>
              <w:ind w:left="5" w:right="0" w:firstLine="0"/>
              <w:jc w:val="left"/>
            </w:pPr>
            <w:r>
              <w:rPr>
                <w:sz w:val="22"/>
              </w:rPr>
              <w:t>1555</w:t>
            </w:r>
            <w:r>
              <w:t xml:space="preserve"> </w:t>
            </w:r>
          </w:p>
        </w:tc>
        <w:tc>
          <w:tcPr>
            <w:tcW w:w="1233" w:type="dxa"/>
            <w:tcBorders>
              <w:top w:val="single" w:sz="8" w:space="0" w:color="4F81BD"/>
              <w:left w:val="single" w:sz="8" w:space="0" w:color="4F81BD"/>
              <w:bottom w:val="single" w:sz="8" w:space="0" w:color="4F81BD"/>
              <w:right w:val="single" w:sz="8" w:space="0" w:color="4F81BD"/>
            </w:tcBorders>
            <w:shd w:val="clear" w:color="auto" w:fill="D3DFEE"/>
          </w:tcPr>
          <w:p w14:paraId="20AF747B" w14:textId="77777777" w:rsidR="00121274" w:rsidRDefault="00000000" w:rsidP="00EF78CD">
            <w:pPr>
              <w:spacing w:after="0" w:line="240" w:lineRule="auto"/>
              <w:ind w:left="0" w:right="0" w:firstLine="0"/>
              <w:jc w:val="left"/>
            </w:pPr>
            <w:r>
              <w:rPr>
                <w:sz w:val="22"/>
              </w:rPr>
              <w:t>10</w:t>
            </w:r>
            <w:r>
              <w:t xml:space="preserve"> </w:t>
            </w:r>
          </w:p>
        </w:tc>
        <w:tc>
          <w:tcPr>
            <w:tcW w:w="1333" w:type="dxa"/>
            <w:tcBorders>
              <w:top w:val="single" w:sz="8" w:space="0" w:color="4F81BD"/>
              <w:left w:val="single" w:sz="8" w:space="0" w:color="4F81BD"/>
              <w:bottom w:val="single" w:sz="8" w:space="0" w:color="4F81BD"/>
              <w:right w:val="single" w:sz="8" w:space="0" w:color="4F81BD"/>
            </w:tcBorders>
            <w:shd w:val="clear" w:color="auto" w:fill="D3DFEE"/>
          </w:tcPr>
          <w:p w14:paraId="06145DC4" w14:textId="77777777" w:rsidR="00121274" w:rsidRDefault="00000000" w:rsidP="00EF78CD">
            <w:pPr>
              <w:spacing w:after="0" w:line="240" w:lineRule="auto"/>
              <w:ind w:left="0" w:right="0" w:firstLine="0"/>
              <w:jc w:val="left"/>
            </w:pPr>
            <w:r>
              <w:rPr>
                <w:sz w:val="22"/>
              </w:rPr>
              <w:t>0</w:t>
            </w:r>
            <w:r>
              <w:t xml:space="preserve"> </w:t>
            </w:r>
          </w:p>
        </w:tc>
        <w:tc>
          <w:tcPr>
            <w:tcW w:w="2054" w:type="dxa"/>
            <w:tcBorders>
              <w:top w:val="single" w:sz="8" w:space="0" w:color="4F81BD"/>
              <w:left w:val="single" w:sz="8" w:space="0" w:color="4F81BD"/>
              <w:bottom w:val="single" w:sz="8" w:space="0" w:color="4F81BD"/>
              <w:right w:val="single" w:sz="8" w:space="0" w:color="4F81BD"/>
            </w:tcBorders>
            <w:shd w:val="clear" w:color="auto" w:fill="D3DFEE"/>
          </w:tcPr>
          <w:p w14:paraId="565DDBD4" w14:textId="77777777" w:rsidR="00121274" w:rsidRDefault="00000000" w:rsidP="00EF78CD">
            <w:pPr>
              <w:spacing w:after="0" w:line="240" w:lineRule="auto"/>
              <w:ind w:left="4" w:right="0" w:firstLine="0"/>
            </w:pPr>
            <w:r>
              <w:rPr>
                <w:sz w:val="22"/>
              </w:rPr>
              <w:t xml:space="preserve">ENSG00000163359, </w:t>
            </w:r>
          </w:p>
          <w:p w14:paraId="69C7339F" w14:textId="77777777" w:rsidR="00121274" w:rsidRDefault="00000000" w:rsidP="00EF78CD">
            <w:pPr>
              <w:spacing w:after="0" w:line="240" w:lineRule="auto"/>
              <w:ind w:left="4" w:right="0" w:firstLine="0"/>
              <w:jc w:val="left"/>
            </w:pPr>
            <w:r>
              <w:rPr>
                <w:sz w:val="22"/>
              </w:rPr>
              <w:t>ENSG00000104490, ENSG00000156103</w:t>
            </w:r>
            <w:r>
              <w:t xml:space="preserve"> </w:t>
            </w:r>
          </w:p>
        </w:tc>
      </w:tr>
    </w:tbl>
    <w:p w14:paraId="18A51668" w14:textId="77777777" w:rsidR="00121274" w:rsidRDefault="00000000" w:rsidP="00EF78CD">
      <w:pPr>
        <w:spacing w:after="0" w:line="240" w:lineRule="auto"/>
        <w:ind w:right="45"/>
        <w:jc w:val="center"/>
      </w:pPr>
      <w:r>
        <w:rPr>
          <w:i/>
          <w:sz w:val="20"/>
        </w:rPr>
        <w:t>Tableau 3. Résumé des résultats d'expression différentielle (analyse pseudobulk) par type cellulaire et contraste.</w:t>
      </w:r>
      <w:r>
        <w:t xml:space="preserve"> </w:t>
      </w:r>
    </w:p>
    <w:p w14:paraId="1059587E" w14:textId="40EC9ACC" w:rsidR="00121274" w:rsidRDefault="00000000" w:rsidP="00EF78CD">
      <w:pPr>
        <w:tabs>
          <w:tab w:val="center" w:pos="2589"/>
          <w:tab w:val="center" w:pos="4263"/>
          <w:tab w:val="center" w:pos="5556"/>
          <w:tab w:val="center" w:pos="6723"/>
          <w:tab w:val="center" w:pos="8143"/>
          <w:tab w:val="right" w:pos="9447"/>
        </w:tabs>
        <w:spacing w:after="0" w:line="240" w:lineRule="auto"/>
        <w:ind w:left="-15" w:right="0" w:firstLine="0"/>
        <w:jc w:val="left"/>
      </w:pPr>
      <w:r>
        <w:t xml:space="preserve">Observations principales (basées sur cette analyse) : </w:t>
      </w:r>
    </w:p>
    <w:p w14:paraId="4EA4A2E7" w14:textId="4FFB60DF" w:rsidR="00121274" w:rsidRDefault="00000000" w:rsidP="00EF78CD">
      <w:pPr>
        <w:numPr>
          <w:ilvl w:val="0"/>
          <w:numId w:val="11"/>
        </w:numPr>
        <w:spacing w:after="0" w:line="240" w:lineRule="auto"/>
        <w:ind w:right="35"/>
      </w:pPr>
      <w:r>
        <w:t>Le cluster Support/</w:t>
      </w:r>
      <w:proofErr w:type="spellStart"/>
      <w:r>
        <w:t>Vascular</w:t>
      </w:r>
      <w:proofErr w:type="spellEnd"/>
      <w:r>
        <w:t xml:space="preserve">/Immune présente le signal le plus robuste, avec au moins un gène significatif (FDR&lt;0,05) et plusieurs gènes en forte tendance (P&lt;0,01), suggérant une perturbation de la barrière hémato-encéphalique et de l'environnement vasculaire dans l'AD. • La microglie montre un ensemble de gènes en tendance mais aucun gène ne franchit le seuil de FDR&lt;0,05 dans cette cohorte réduite, illustrant la forte hétérogénéité inter-individuelle des réponses inflammatoires. </w:t>
      </w:r>
    </w:p>
    <w:p w14:paraId="1D0A5C8D" w14:textId="77777777" w:rsidR="00121274" w:rsidRDefault="00000000" w:rsidP="00EF78CD">
      <w:pPr>
        <w:numPr>
          <w:ilvl w:val="0"/>
          <w:numId w:val="11"/>
        </w:numPr>
        <w:spacing w:after="0" w:line="240" w:lineRule="auto"/>
        <w:ind w:right="35"/>
      </w:pPr>
      <w:r>
        <w:t xml:space="preserve">Dans la maladie de Parkinson, aucun gène n'est significatif après correction, mais plusieurs types cellulaires (notamment les astrocytes) présentent des gènes en tendance (P&lt;0,01), compatibles avec une activation gliale plus modeste. </w:t>
      </w:r>
    </w:p>
    <w:p w14:paraId="318D3E87" w14:textId="77777777" w:rsidR="00121274" w:rsidRDefault="00000000" w:rsidP="00EF78CD">
      <w:pPr>
        <w:spacing w:after="0" w:line="240" w:lineRule="auto"/>
        <w:ind w:left="0" w:right="720" w:firstLine="0"/>
        <w:jc w:val="right"/>
      </w:pPr>
      <w:r>
        <w:rPr>
          <w:noProof/>
        </w:rPr>
        <w:drawing>
          <wp:inline distT="0" distB="0" distL="0" distR="0" wp14:anchorId="22E3707D" wp14:editId="0A5F1E4A">
            <wp:extent cx="5028692" cy="4191000"/>
            <wp:effectExtent l="0" t="0" r="0" b="0"/>
            <wp:docPr id="2140" name="Picture 2140"/>
            <wp:cNvGraphicFramePr/>
            <a:graphic xmlns:a="http://schemas.openxmlformats.org/drawingml/2006/main">
              <a:graphicData uri="http://schemas.openxmlformats.org/drawingml/2006/picture">
                <pic:pic xmlns:pic="http://schemas.openxmlformats.org/drawingml/2006/picture">
                  <pic:nvPicPr>
                    <pic:cNvPr id="2140" name="Picture 2140"/>
                    <pic:cNvPicPr/>
                  </pic:nvPicPr>
                  <pic:blipFill>
                    <a:blip r:embed="rId30"/>
                    <a:stretch>
                      <a:fillRect/>
                    </a:stretch>
                  </pic:blipFill>
                  <pic:spPr>
                    <a:xfrm>
                      <a:off x="0" y="0"/>
                      <a:ext cx="5028692" cy="4191000"/>
                    </a:xfrm>
                    <a:prstGeom prst="rect">
                      <a:avLst/>
                    </a:prstGeom>
                  </pic:spPr>
                </pic:pic>
              </a:graphicData>
            </a:graphic>
          </wp:inline>
        </w:drawing>
      </w:r>
      <w:r>
        <w:t xml:space="preserve"> </w:t>
      </w:r>
    </w:p>
    <w:p w14:paraId="12A48874" w14:textId="77777777" w:rsidR="00121274" w:rsidRDefault="00000000" w:rsidP="00EF78CD">
      <w:pPr>
        <w:spacing w:after="0" w:line="240" w:lineRule="auto"/>
        <w:ind w:right="0"/>
        <w:jc w:val="center"/>
      </w:pPr>
      <w:r>
        <w:rPr>
          <w:i/>
          <w:sz w:val="20"/>
        </w:rPr>
        <w:t xml:space="preserve">Figure 12. </w:t>
      </w:r>
      <w:proofErr w:type="spellStart"/>
      <w:r>
        <w:rPr>
          <w:i/>
          <w:sz w:val="20"/>
        </w:rPr>
        <w:t>Volcano</w:t>
      </w:r>
      <w:proofErr w:type="spellEnd"/>
      <w:r>
        <w:rPr>
          <w:i/>
          <w:sz w:val="20"/>
        </w:rPr>
        <w:t xml:space="preserve"> plot du cluster Support/</w:t>
      </w:r>
      <w:proofErr w:type="spellStart"/>
      <w:r>
        <w:rPr>
          <w:i/>
          <w:sz w:val="20"/>
        </w:rPr>
        <w:t>Vascular</w:t>
      </w:r>
      <w:proofErr w:type="spellEnd"/>
      <w:r>
        <w:rPr>
          <w:i/>
          <w:sz w:val="20"/>
        </w:rPr>
        <w:t xml:space="preserve">/Immune (AD vs CTRL). Le point rouge identifie le </w:t>
      </w:r>
      <w:proofErr w:type="spellStart"/>
      <w:r>
        <w:rPr>
          <w:i/>
          <w:sz w:val="20"/>
        </w:rPr>
        <w:t>lncRNA</w:t>
      </w:r>
      <w:proofErr w:type="spellEnd"/>
      <w:r>
        <w:rPr>
          <w:i/>
          <w:sz w:val="20"/>
        </w:rPr>
        <w:t xml:space="preserve"> MEG3 significativement sous-exprimé (FDR &lt; 0,05), tandis que les points oranges (P &lt; 0,01) correspondent à des gènes montrant une forte tendance biologique.</w:t>
      </w:r>
      <w:r>
        <w:t xml:space="preserve"> </w:t>
      </w:r>
    </w:p>
    <w:p w14:paraId="4D138196" w14:textId="77777777" w:rsidR="00121274" w:rsidRDefault="00000000" w:rsidP="00EF78CD">
      <w:pPr>
        <w:spacing w:after="0" w:line="240" w:lineRule="auto"/>
        <w:ind w:left="0" w:right="360" w:firstLine="0"/>
        <w:jc w:val="right"/>
      </w:pPr>
      <w:r>
        <w:rPr>
          <w:noProof/>
        </w:rPr>
        <w:lastRenderedPageBreak/>
        <w:drawing>
          <wp:inline distT="0" distB="0" distL="0" distR="0" wp14:anchorId="7E19BD2B" wp14:editId="3C7B14FB">
            <wp:extent cx="5486273" cy="4097655"/>
            <wp:effectExtent l="0" t="0" r="0" b="0"/>
            <wp:docPr id="2175" name="Picture 2175"/>
            <wp:cNvGraphicFramePr/>
            <a:graphic xmlns:a="http://schemas.openxmlformats.org/drawingml/2006/main">
              <a:graphicData uri="http://schemas.openxmlformats.org/drawingml/2006/picture">
                <pic:pic xmlns:pic="http://schemas.openxmlformats.org/drawingml/2006/picture">
                  <pic:nvPicPr>
                    <pic:cNvPr id="2175" name="Picture 2175"/>
                    <pic:cNvPicPr/>
                  </pic:nvPicPr>
                  <pic:blipFill>
                    <a:blip r:embed="rId31"/>
                    <a:stretch>
                      <a:fillRect/>
                    </a:stretch>
                  </pic:blipFill>
                  <pic:spPr>
                    <a:xfrm>
                      <a:off x="0" y="0"/>
                      <a:ext cx="5486273" cy="4097655"/>
                    </a:xfrm>
                    <a:prstGeom prst="rect">
                      <a:avLst/>
                    </a:prstGeom>
                  </pic:spPr>
                </pic:pic>
              </a:graphicData>
            </a:graphic>
          </wp:inline>
        </w:drawing>
      </w:r>
      <w:r>
        <w:t xml:space="preserve"> </w:t>
      </w:r>
    </w:p>
    <w:p w14:paraId="005F4138" w14:textId="77777777" w:rsidR="00121274" w:rsidRDefault="00000000" w:rsidP="00EF78CD">
      <w:pPr>
        <w:spacing w:after="0" w:line="240" w:lineRule="auto"/>
        <w:ind w:right="0"/>
        <w:jc w:val="center"/>
      </w:pPr>
      <w:r>
        <w:rPr>
          <w:i/>
          <w:sz w:val="20"/>
        </w:rPr>
        <w:t>Figure 13. Top 15 des gènes les plus dérégulés (|log2FC|) dans le cluster Support/</w:t>
      </w:r>
      <w:proofErr w:type="spellStart"/>
      <w:r>
        <w:rPr>
          <w:i/>
          <w:sz w:val="20"/>
        </w:rPr>
        <w:t>Vascular</w:t>
      </w:r>
      <w:proofErr w:type="spellEnd"/>
      <w:r>
        <w:rPr>
          <w:i/>
          <w:sz w:val="20"/>
        </w:rPr>
        <w:t>/Immune (AD vs CTRL). Les barres rouges indiquent les gènes surexprimés, les barres bleues ceux sous-exprimés, avec MEG3 parmi les gènes les plus fortement diminués.</w:t>
      </w:r>
      <w:r>
        <w:t xml:space="preserve"> </w:t>
      </w:r>
    </w:p>
    <w:p w14:paraId="6155C022" w14:textId="77777777" w:rsidR="00121274" w:rsidRDefault="00000000" w:rsidP="00EF78CD">
      <w:pPr>
        <w:pStyle w:val="Titre3"/>
        <w:spacing w:after="0" w:line="240" w:lineRule="auto"/>
        <w:ind w:left="593" w:hanging="608"/>
      </w:pPr>
      <w:r>
        <w:t xml:space="preserve">Signatures microgliales </w:t>
      </w:r>
    </w:p>
    <w:p w14:paraId="31B8BA6F" w14:textId="77777777" w:rsidR="00121274" w:rsidRDefault="00000000" w:rsidP="00EF78CD">
      <w:pPr>
        <w:spacing w:after="0" w:line="240" w:lineRule="auto"/>
        <w:ind w:left="-5" w:right="35"/>
      </w:pPr>
      <w:r>
        <w:t xml:space="preserve">Dans la microglie, l'analyse stricte (FDR&lt;0,05) ne met en évidence aucun gène significatif dans cette cohorte. Cependant, l'analyse des tendances (P&lt;0,01) révèle un ensemble restreint de gènes candidats suggérant une réorganisation transcriptionnelle subtile compatible avec une activation immunitaire hétérogène. Parmi ces gènes, on note notamment le facteur de transcription POU3F2, ainsi que plusieurs gènes impliqués dans la signalisation et la régulation transcriptionnelle. </w:t>
      </w:r>
    </w:p>
    <w:p w14:paraId="16D513A3" w14:textId="77777777" w:rsidR="00121274" w:rsidRDefault="00000000" w:rsidP="00EF78CD">
      <w:pPr>
        <w:spacing w:after="0" w:line="240" w:lineRule="auto"/>
        <w:ind w:left="1436" w:right="0"/>
        <w:jc w:val="left"/>
      </w:pPr>
      <w:r>
        <w:rPr>
          <w:rFonts w:ascii="Segoe UI Emoji" w:eastAsia="Segoe UI Emoji" w:hAnsi="Segoe UI Emoji" w:cs="Segoe UI Emoji"/>
          <w:color w:val="1A5490"/>
          <w:sz w:val="18"/>
        </w:rPr>
        <w:t>📘</w:t>
      </w:r>
      <w:r>
        <w:rPr>
          <w:rFonts w:ascii="Century Gothic" w:eastAsia="Century Gothic" w:hAnsi="Century Gothic" w:cs="Century Gothic"/>
          <w:b/>
          <w:color w:val="1A5490"/>
          <w:sz w:val="18"/>
        </w:rPr>
        <w:t xml:space="preserve"> NOTE PÉDAGOGIQUE - Pourquoi visualiser les tendances (P&lt;0,01) ? </w:t>
      </w:r>
    </w:p>
    <w:p w14:paraId="075F097E" w14:textId="77777777" w:rsidR="00121274" w:rsidRDefault="00000000" w:rsidP="00EF78CD">
      <w:pPr>
        <w:spacing w:after="0" w:line="240" w:lineRule="auto"/>
        <w:ind w:left="1436" w:right="21"/>
        <w:jc w:val="left"/>
      </w:pPr>
      <w:r>
        <w:rPr>
          <w:rFonts w:ascii="Century Gothic" w:eastAsia="Century Gothic" w:hAnsi="Century Gothic" w:cs="Century Gothic"/>
          <w:color w:val="1A5490"/>
          <w:sz w:val="18"/>
        </w:rPr>
        <w:t>Avec une cohorte de taille limitée (en particulier pour PD), la correction pour tests multiples (FDR) est très sévère et peut conduire à un nombre nul de gènes significatifs, même en présence de signaux biologiques réels. La visualisation des gènes avec P&lt;0,01 (sans correction) permet d'identifier des 'tendances' cohérentes qui peuvent être discutées comme des pistes exploratoires, tout en restant transparent sur l'absence de significativité stricte.</w:t>
      </w:r>
      <w:r>
        <w:t xml:space="preserve"> </w:t>
      </w:r>
    </w:p>
    <w:p w14:paraId="63FBDFDE" w14:textId="77777777" w:rsidR="00121274" w:rsidRDefault="00000000" w:rsidP="00EF78CD">
      <w:pPr>
        <w:spacing w:after="0" w:line="240" w:lineRule="auto"/>
        <w:ind w:left="0" w:right="720" w:firstLine="0"/>
        <w:jc w:val="right"/>
      </w:pPr>
      <w:r>
        <w:rPr>
          <w:noProof/>
        </w:rPr>
        <w:lastRenderedPageBreak/>
        <w:drawing>
          <wp:inline distT="0" distB="0" distL="0" distR="0" wp14:anchorId="58E0AC7C" wp14:editId="3E45FFF1">
            <wp:extent cx="5028946" cy="4186555"/>
            <wp:effectExtent l="0" t="0" r="0" b="0"/>
            <wp:docPr id="2215" name="Picture 2215"/>
            <wp:cNvGraphicFramePr/>
            <a:graphic xmlns:a="http://schemas.openxmlformats.org/drawingml/2006/main">
              <a:graphicData uri="http://schemas.openxmlformats.org/drawingml/2006/picture">
                <pic:pic xmlns:pic="http://schemas.openxmlformats.org/drawingml/2006/picture">
                  <pic:nvPicPr>
                    <pic:cNvPr id="2215" name="Picture 2215"/>
                    <pic:cNvPicPr/>
                  </pic:nvPicPr>
                  <pic:blipFill>
                    <a:blip r:embed="rId32"/>
                    <a:stretch>
                      <a:fillRect/>
                    </a:stretch>
                  </pic:blipFill>
                  <pic:spPr>
                    <a:xfrm>
                      <a:off x="0" y="0"/>
                      <a:ext cx="5028946" cy="4186555"/>
                    </a:xfrm>
                    <a:prstGeom prst="rect">
                      <a:avLst/>
                    </a:prstGeom>
                  </pic:spPr>
                </pic:pic>
              </a:graphicData>
            </a:graphic>
          </wp:inline>
        </w:drawing>
      </w:r>
      <w:r>
        <w:t xml:space="preserve"> </w:t>
      </w:r>
    </w:p>
    <w:p w14:paraId="50C83139" w14:textId="77777777" w:rsidR="00121274" w:rsidRDefault="00000000" w:rsidP="00EF78CD">
      <w:pPr>
        <w:spacing w:after="0" w:line="240" w:lineRule="auto"/>
        <w:ind w:right="0"/>
        <w:jc w:val="center"/>
      </w:pPr>
      <w:r>
        <w:rPr>
          <w:i/>
          <w:sz w:val="20"/>
        </w:rPr>
        <w:t xml:space="preserve">Figure 14. </w:t>
      </w:r>
      <w:proofErr w:type="spellStart"/>
      <w:r>
        <w:rPr>
          <w:i/>
          <w:sz w:val="20"/>
        </w:rPr>
        <w:t>Volcano</w:t>
      </w:r>
      <w:proofErr w:type="spellEnd"/>
      <w:r>
        <w:rPr>
          <w:i/>
          <w:sz w:val="20"/>
        </w:rPr>
        <w:t xml:space="preserve"> plot de l'analyse différentielle Microglie (AD vs CTRL). L'absence de points rouges (FDR&lt;0,05) illustre la faible puissance statistique et l'hétérogénéité inter-individuelle, tandis que la zone orange (P&lt;0,01) met en évidence un ensemble de gènes candidats potentiellement impliqués dans la réponse microgliale.</w:t>
      </w:r>
      <w:r>
        <w:t xml:space="preserve"> </w:t>
      </w:r>
    </w:p>
    <w:p w14:paraId="2B152EED" w14:textId="77777777" w:rsidR="00121274" w:rsidRDefault="00000000" w:rsidP="00EF78CD">
      <w:pPr>
        <w:spacing w:after="0" w:line="240" w:lineRule="auto"/>
        <w:ind w:right="46"/>
        <w:jc w:val="center"/>
      </w:pPr>
      <w:r>
        <w:rPr>
          <w:b/>
          <w:i/>
          <w:color w:val="FF8C00"/>
          <w:sz w:val="22"/>
        </w:rPr>
        <w:t xml:space="preserve">[FIGURE 15 À INSÉRER : </w:t>
      </w:r>
      <w:proofErr w:type="spellStart"/>
      <w:r>
        <w:rPr>
          <w:b/>
          <w:i/>
          <w:color w:val="FF8C00"/>
          <w:sz w:val="22"/>
        </w:rPr>
        <w:t>Heatmap</w:t>
      </w:r>
      <w:proofErr w:type="spellEnd"/>
      <w:r>
        <w:rPr>
          <w:b/>
          <w:i/>
          <w:color w:val="FF8C00"/>
          <w:sz w:val="22"/>
        </w:rPr>
        <w:t xml:space="preserve"> Top DEGs neuronaux]</w:t>
      </w:r>
      <w:r>
        <w:t xml:space="preserve"> </w:t>
      </w:r>
    </w:p>
    <w:p w14:paraId="66B5FE0E" w14:textId="77777777" w:rsidR="00121274" w:rsidRDefault="00000000" w:rsidP="00EF78CD">
      <w:pPr>
        <w:pStyle w:val="Titre1"/>
        <w:spacing w:after="0" w:line="240" w:lineRule="auto"/>
        <w:ind w:left="305" w:hanging="320"/>
      </w:pPr>
      <w:r>
        <w:t xml:space="preserve">Discussion </w:t>
      </w:r>
    </w:p>
    <w:p w14:paraId="6EE0559F" w14:textId="77777777" w:rsidR="00121274" w:rsidRDefault="00000000" w:rsidP="00EF78CD">
      <w:pPr>
        <w:pStyle w:val="Titre2"/>
        <w:spacing w:after="0" w:line="240" w:lineRule="auto"/>
        <w:ind w:left="483" w:hanging="498"/>
      </w:pPr>
      <w:r>
        <w:t xml:space="preserve">Synthèse des résultats principaux et convergence mécanistique </w:t>
      </w:r>
    </w:p>
    <w:p w14:paraId="2F419C3D" w14:textId="77777777" w:rsidR="00121274" w:rsidRDefault="00000000" w:rsidP="00EF78CD">
      <w:pPr>
        <w:spacing w:after="0" w:line="240" w:lineRule="auto"/>
        <w:ind w:left="-5" w:right="35"/>
      </w:pPr>
      <w:r>
        <w:t xml:space="preserve">Cette étude transcriptomique à résolution unicellulaire du cortex préfrontal dorsolatéral (DLPFC) identifie deux axes mécanistiques convergents dans la maladie d'Alzheimer (AD), cohérents avec un corpus robuste de littérature snRNA-seq indépendante : </w:t>
      </w:r>
    </w:p>
    <w:p w14:paraId="0313A429" w14:textId="77777777" w:rsidR="00121274" w:rsidRDefault="00000000" w:rsidP="00EF78CD">
      <w:pPr>
        <w:spacing w:after="0" w:line="240" w:lineRule="auto"/>
        <w:ind w:left="0" w:right="0" w:firstLine="0"/>
        <w:jc w:val="left"/>
      </w:pPr>
      <w:r>
        <w:t xml:space="preserve"> </w:t>
      </w:r>
    </w:p>
    <w:p w14:paraId="238D5DC3" w14:textId="77777777" w:rsidR="00121274" w:rsidRDefault="00000000" w:rsidP="00EF78CD">
      <w:pPr>
        <w:numPr>
          <w:ilvl w:val="0"/>
          <w:numId w:val="12"/>
        </w:numPr>
        <w:spacing w:after="0" w:line="240" w:lineRule="auto"/>
        <w:ind w:right="35"/>
      </w:pPr>
      <w:r>
        <w:t xml:space="preserve">Neuroinflammation vasculaire et microgliale : La dérégulation du </w:t>
      </w:r>
      <w:proofErr w:type="spellStart"/>
      <w:r>
        <w:t>lncRNA</w:t>
      </w:r>
      <w:proofErr w:type="spellEnd"/>
      <w:r>
        <w:t xml:space="preserve"> MEG3 dans les cellules Support/</w:t>
      </w:r>
      <w:proofErr w:type="spellStart"/>
      <w:r>
        <w:t>Vascular</w:t>
      </w:r>
      <w:proofErr w:type="spellEnd"/>
      <w:r>
        <w:t xml:space="preserve">/Immune, associée à des gènes en tendance impliqués dans l'angiogenèse et l'activation endothéliale, suggère une altération de la barrière hématoencéphalique. En parallèle, la microglie montre un ensemble de gènes candidats compatibles avec une activation inflammatoire hétérogène, bien que la plupart ne franchissent pas le seuil de </w:t>
      </w:r>
    </w:p>
    <w:p w14:paraId="0152C369" w14:textId="1B652142" w:rsidR="00121274" w:rsidRDefault="00000000" w:rsidP="00EF78CD">
      <w:pPr>
        <w:tabs>
          <w:tab w:val="center" w:pos="3477"/>
          <w:tab w:val="center" w:pos="6165"/>
          <w:tab w:val="right" w:pos="9447"/>
        </w:tabs>
        <w:spacing w:after="0" w:line="240" w:lineRule="auto"/>
        <w:ind w:left="-15" w:right="0" w:firstLine="0"/>
        <w:jc w:val="left"/>
      </w:pPr>
      <w:r>
        <w:t xml:space="preserve">FDR&lt;0,05 dans cette cohorte. </w:t>
      </w:r>
    </w:p>
    <w:p w14:paraId="5F1F34C9" w14:textId="77777777" w:rsidR="00121274" w:rsidRDefault="00000000" w:rsidP="00EF78CD">
      <w:pPr>
        <w:spacing w:after="0" w:line="240" w:lineRule="auto"/>
        <w:ind w:left="0" w:right="0" w:firstLine="0"/>
        <w:jc w:val="left"/>
      </w:pPr>
      <w:r>
        <w:t xml:space="preserve"> </w:t>
      </w:r>
    </w:p>
    <w:p w14:paraId="4B38F237" w14:textId="77777777" w:rsidR="00121274" w:rsidRDefault="00000000" w:rsidP="00EF78CD">
      <w:pPr>
        <w:numPr>
          <w:ilvl w:val="0"/>
          <w:numId w:val="12"/>
        </w:numPr>
        <w:spacing w:after="0" w:line="240" w:lineRule="auto"/>
        <w:ind w:right="35"/>
      </w:pPr>
      <w:r>
        <w:t xml:space="preserve">Dysfonction synaptique et métabolique neuronale : La sous-expression systématique de gènes impliqués dans la transmission glutamatergique, la fonction mitochondriale et la plasticité neuronale dans les neurones excitateurs est cohérente avec l'atrophie synaptique et la perte de fonction cognitive décrites dans l'AD. </w:t>
      </w:r>
    </w:p>
    <w:p w14:paraId="62B0FC33" w14:textId="77777777" w:rsidR="00121274" w:rsidRDefault="00000000" w:rsidP="00EF78CD">
      <w:pPr>
        <w:spacing w:after="0" w:line="240" w:lineRule="auto"/>
        <w:ind w:left="0" w:right="0" w:firstLine="0"/>
        <w:jc w:val="left"/>
      </w:pPr>
      <w:r>
        <w:t xml:space="preserve"> </w:t>
      </w:r>
    </w:p>
    <w:p w14:paraId="3AC810A9" w14:textId="77777777" w:rsidR="00121274" w:rsidRDefault="00000000" w:rsidP="00EF78CD">
      <w:pPr>
        <w:spacing w:after="0" w:line="240" w:lineRule="auto"/>
        <w:ind w:left="-5" w:right="35"/>
      </w:pPr>
      <w:r>
        <w:t xml:space="preserve">Les résultats pour la maladie de Parkinson (PD) sont plus modestes en amplitude et nécessitent une interprétation prudente en raison de la très faible taille d'échantillon (n=3 donneurs). Les signatures </w:t>
      </w:r>
      <w:r>
        <w:lastRenderedPageBreak/>
        <w:t xml:space="preserve">gliales observées en tendance (notamment dans les astrocytes) suggèrent une neuroinflammation partagée mais d'intensité plus faible. </w:t>
      </w:r>
    </w:p>
    <w:p w14:paraId="2833FEF5" w14:textId="77777777" w:rsidR="00121274" w:rsidRDefault="00000000" w:rsidP="00EF78CD">
      <w:pPr>
        <w:pStyle w:val="Titre2"/>
        <w:spacing w:after="0" w:line="240" w:lineRule="auto"/>
        <w:ind w:left="483" w:hanging="498"/>
      </w:pPr>
      <w:r>
        <w:t xml:space="preserve">Limitations critiques et biais méthodologiques </w:t>
      </w:r>
    </w:p>
    <w:p w14:paraId="6DC8D57E" w14:textId="77777777" w:rsidR="00121274" w:rsidRDefault="00000000" w:rsidP="00EF78CD">
      <w:pPr>
        <w:spacing w:after="0" w:line="240" w:lineRule="auto"/>
        <w:ind w:left="-5" w:right="35"/>
      </w:pPr>
      <w:r>
        <w:t xml:space="preserve">Cette étude présente plusieurs limitations majeures qui restreignent la portée et la généralisabilité des conclusions : </w:t>
      </w:r>
    </w:p>
    <w:p w14:paraId="4CB33078" w14:textId="77777777" w:rsidR="00121274" w:rsidRDefault="00000000" w:rsidP="00EF78CD">
      <w:pPr>
        <w:spacing w:after="0" w:line="240" w:lineRule="auto"/>
        <w:ind w:left="-5" w:right="35"/>
      </w:pPr>
      <w:r>
        <w:t xml:space="preserve">1. Biais démographique critique (exclusion de 58% du dataset initial, ascendance africaine) : L'exclusion de la majorité des données d'ascendance africaine pour des raisons de contraintes matérielles (RAM) constitue un biais de sélection éthiquement et scientifiquement problématique. </w:t>
      </w:r>
    </w:p>
    <w:p w14:paraId="11574270" w14:textId="17CE9453" w:rsidR="00121274" w:rsidRDefault="00000000" w:rsidP="00EF78CD">
      <w:pPr>
        <w:tabs>
          <w:tab w:val="center" w:pos="5356"/>
          <w:tab w:val="right" w:pos="9447"/>
        </w:tabs>
        <w:spacing w:after="0" w:line="240" w:lineRule="auto"/>
        <w:ind w:left="-15" w:right="0" w:firstLine="0"/>
        <w:jc w:val="left"/>
      </w:pPr>
      <w:r>
        <w:t xml:space="preserve">Conséquences multiples : </w:t>
      </w:r>
    </w:p>
    <w:p w14:paraId="5B9C8A2B" w14:textId="77777777" w:rsidR="00121274" w:rsidRDefault="00000000" w:rsidP="00EF78CD">
      <w:pPr>
        <w:numPr>
          <w:ilvl w:val="0"/>
          <w:numId w:val="13"/>
        </w:numPr>
        <w:spacing w:after="0" w:line="240" w:lineRule="auto"/>
        <w:ind w:right="35"/>
      </w:pPr>
      <w:r>
        <w:t xml:space="preserve">Validité externe limitée : Les conclusions ne sont généralisables qu'aux populations d'ascendance européenne et asiatique (~22% de la population mondiale). </w:t>
      </w:r>
    </w:p>
    <w:p w14:paraId="1F6D7867" w14:textId="77777777" w:rsidR="00121274" w:rsidRDefault="00000000" w:rsidP="00EF78CD">
      <w:pPr>
        <w:numPr>
          <w:ilvl w:val="0"/>
          <w:numId w:val="13"/>
        </w:numPr>
        <w:spacing w:after="0" w:line="240" w:lineRule="auto"/>
        <w:ind w:right="35"/>
      </w:pPr>
      <w:r>
        <w:t xml:space="preserve">Perpétuation des inégalités en recherche biomédicale : Les populations africaines sont déjà sous-représentées dans la recherche génomique et transcriptomique (&lt; 3% des études GWAS). </w:t>
      </w:r>
    </w:p>
    <w:p w14:paraId="45B0C6A8" w14:textId="0CD382BE" w:rsidR="00121274" w:rsidRDefault="00000000" w:rsidP="00EF78CD">
      <w:pPr>
        <w:tabs>
          <w:tab w:val="center" w:pos="2411"/>
          <w:tab w:val="center" w:pos="4691"/>
          <w:tab w:val="center" w:pos="6621"/>
          <w:tab w:val="right" w:pos="9447"/>
        </w:tabs>
        <w:spacing w:after="0" w:line="240" w:lineRule="auto"/>
        <w:ind w:left="-15" w:right="0" w:firstLine="0"/>
        <w:jc w:val="left"/>
      </w:pPr>
      <w:r>
        <w:t xml:space="preserve">Cette exclusion aggrave ce déséquilibre. </w:t>
      </w:r>
    </w:p>
    <w:p w14:paraId="29C20090" w14:textId="77777777" w:rsidR="00121274" w:rsidRDefault="00000000" w:rsidP="00EF78CD">
      <w:pPr>
        <w:numPr>
          <w:ilvl w:val="0"/>
          <w:numId w:val="13"/>
        </w:numPr>
        <w:spacing w:after="0" w:line="240" w:lineRule="auto"/>
        <w:ind w:right="35"/>
      </w:pPr>
      <w:r>
        <w:t>Risque de biais moléculaire : Les variants génétiques influençant l'expression génique (</w:t>
      </w:r>
      <w:proofErr w:type="spellStart"/>
      <w:r>
        <w:t>eQTLs</w:t>
      </w:r>
      <w:proofErr w:type="spellEnd"/>
      <w:r>
        <w:t xml:space="preserve">) diffèrent entre populations. Les polymorphismes de APOE (notamment la fréquence réduite de l'allèle APOE4 en Afrique subsaharienne) pourraient moduler différemment les signatures inflammatoires et vasculaires. </w:t>
      </w:r>
    </w:p>
    <w:p w14:paraId="129C4C83" w14:textId="77777777" w:rsidR="00121274" w:rsidRDefault="00000000" w:rsidP="00EF78CD">
      <w:pPr>
        <w:spacing w:after="0" w:line="240" w:lineRule="auto"/>
        <w:ind w:left="0" w:right="0" w:firstLine="0"/>
        <w:jc w:val="left"/>
      </w:pPr>
      <w:r>
        <w:t xml:space="preserve"> </w:t>
      </w:r>
    </w:p>
    <w:p w14:paraId="112FF9E9" w14:textId="77777777" w:rsidR="00121274" w:rsidRDefault="00000000" w:rsidP="00EF78CD">
      <w:pPr>
        <w:numPr>
          <w:ilvl w:val="0"/>
          <w:numId w:val="14"/>
        </w:numPr>
        <w:spacing w:after="0" w:line="240" w:lineRule="auto"/>
        <w:ind w:right="35" w:hanging="796"/>
      </w:pPr>
      <w:r>
        <w:t xml:space="preserve">Puissance statistique insuffisante pour PD (n=3 donneurs vs n=8 AD, n=6 CTRL) : Avec seulement 3 </w:t>
      </w:r>
      <w:proofErr w:type="spellStart"/>
      <w:r>
        <w:t>réplicats</w:t>
      </w:r>
      <w:proofErr w:type="spellEnd"/>
      <w:r>
        <w:t xml:space="preserve"> biologiques, le risque de faux négatifs (Type II </w:t>
      </w:r>
      <w:proofErr w:type="spellStart"/>
      <w:r>
        <w:t>error</w:t>
      </w:r>
      <w:proofErr w:type="spellEnd"/>
      <w:r>
        <w:t xml:space="preserve">) est élevé. Les effets biologiques de magnitude modérée ne peuvent être détectés de manière fiable. L'absence de DEGs significatifs dans certains types cellulaires pour PD vs CTRL ne peut donc pas être interprétée comme 'absence d'effet', mais comme 'manque de puissance'. </w:t>
      </w:r>
    </w:p>
    <w:p w14:paraId="78931B96" w14:textId="77777777" w:rsidR="00121274" w:rsidRDefault="00000000" w:rsidP="00EF78CD">
      <w:pPr>
        <w:spacing w:after="0" w:line="240" w:lineRule="auto"/>
        <w:ind w:left="0" w:right="0" w:firstLine="0"/>
        <w:jc w:val="left"/>
      </w:pPr>
      <w:r>
        <w:t xml:space="preserve"> </w:t>
      </w:r>
    </w:p>
    <w:p w14:paraId="3E962F52" w14:textId="77777777" w:rsidR="00121274" w:rsidRDefault="00000000" w:rsidP="00EF78CD">
      <w:pPr>
        <w:numPr>
          <w:ilvl w:val="0"/>
          <w:numId w:val="14"/>
        </w:numPr>
        <w:spacing w:after="0" w:line="240" w:lineRule="auto"/>
        <w:ind w:right="35" w:hanging="796"/>
      </w:pPr>
      <w:r>
        <w:t xml:space="preserve">Métadonnées cliniques manquantes (âge, PMI, stade pathologique, génotype APOE) : L'absence de ces </w:t>
      </w:r>
      <w:proofErr w:type="spellStart"/>
      <w:r>
        <w:t>covariables</w:t>
      </w:r>
      <w:proofErr w:type="spellEnd"/>
      <w:r>
        <w:t xml:space="preserve"> empêche de distinguer l'effet de la pathologie de celui du vieillissement ou d'autres facteurs confondants majeurs. </w:t>
      </w:r>
    </w:p>
    <w:p w14:paraId="22A230F0" w14:textId="77777777" w:rsidR="00121274" w:rsidRDefault="00000000" w:rsidP="00EF78CD">
      <w:pPr>
        <w:spacing w:after="0" w:line="240" w:lineRule="auto"/>
        <w:ind w:left="0" w:right="0" w:firstLine="0"/>
        <w:jc w:val="left"/>
      </w:pPr>
      <w:r>
        <w:t xml:space="preserve"> </w:t>
      </w:r>
    </w:p>
    <w:p w14:paraId="433C19FD" w14:textId="77777777" w:rsidR="00121274" w:rsidRDefault="00000000" w:rsidP="00EF78CD">
      <w:pPr>
        <w:numPr>
          <w:ilvl w:val="0"/>
          <w:numId w:val="14"/>
        </w:numPr>
        <w:spacing w:after="0" w:line="240" w:lineRule="auto"/>
        <w:ind w:right="35" w:hanging="796"/>
      </w:pPr>
      <w:r>
        <w:t xml:space="preserve">Perte de résolution biologique (fusion de sous-types, agrégation de macro-types) : La fusion de sous-populations microgliales et l'agrégation de sous-types neuronaux excitateurs réduisent la capacité à identifier des vulnérabilités très spécifiques à certains sous-types. </w:t>
      </w:r>
    </w:p>
    <w:p w14:paraId="73BDDE97" w14:textId="77777777" w:rsidR="00121274" w:rsidRDefault="00000000" w:rsidP="00EF78CD">
      <w:pPr>
        <w:spacing w:after="0" w:line="240" w:lineRule="auto"/>
        <w:ind w:left="0" w:right="0" w:firstLine="0"/>
        <w:jc w:val="left"/>
      </w:pPr>
      <w:r>
        <w:t xml:space="preserve"> </w:t>
      </w:r>
    </w:p>
    <w:p w14:paraId="56114555" w14:textId="780A6DBB" w:rsidR="00121274" w:rsidRDefault="00000000" w:rsidP="00EF78CD">
      <w:pPr>
        <w:numPr>
          <w:ilvl w:val="0"/>
          <w:numId w:val="14"/>
        </w:numPr>
        <w:spacing w:after="0" w:line="240" w:lineRule="auto"/>
        <w:ind w:right="35" w:hanging="796"/>
      </w:pPr>
      <w:r>
        <w:t xml:space="preserve">Limitation temporelle (données post-mortem transversales) : </w:t>
      </w:r>
    </w:p>
    <w:p w14:paraId="6F9DBF18" w14:textId="77777777" w:rsidR="00121274" w:rsidRDefault="00000000" w:rsidP="00EF78CD">
      <w:pPr>
        <w:spacing w:after="0" w:line="240" w:lineRule="auto"/>
        <w:ind w:left="-5" w:right="35"/>
      </w:pPr>
      <w:r>
        <w:t xml:space="preserve">Les données représentent un instantané terminal de la pathologie et ne permettent pas de reconstruire directement la dynamique temporelle des événements moléculaires. </w:t>
      </w:r>
    </w:p>
    <w:p w14:paraId="11B8E72B" w14:textId="77777777" w:rsidR="00121274" w:rsidRDefault="00000000" w:rsidP="00EF78CD">
      <w:pPr>
        <w:pStyle w:val="Titre3"/>
        <w:numPr>
          <w:ilvl w:val="0"/>
          <w:numId w:val="0"/>
        </w:numPr>
        <w:spacing w:after="0" w:line="240" w:lineRule="auto"/>
        <w:ind w:right="96"/>
        <w:jc w:val="right"/>
      </w:pPr>
      <w:r>
        <w:rPr>
          <w:rFonts w:ascii="Segoe UI Emoji" w:eastAsia="Segoe UI Emoji" w:hAnsi="Segoe UI Emoji" w:cs="Segoe UI Emoji"/>
          <w:b w:val="0"/>
          <w:color w:val="666666"/>
          <w:sz w:val="18"/>
        </w:rPr>
        <w:t>⚙️</w:t>
      </w:r>
      <w:r>
        <w:rPr>
          <w:rFonts w:ascii="Century Gothic" w:eastAsia="Century Gothic" w:hAnsi="Century Gothic" w:cs="Century Gothic"/>
          <w:color w:val="666666"/>
          <w:sz w:val="18"/>
        </w:rPr>
        <w:t xml:space="preserve"> NOTE TECHNIQUE - LIMITATION CRITIQUE — Absence de l'âge dans le modèle statistique </w:t>
      </w:r>
    </w:p>
    <w:p w14:paraId="7D892260" w14:textId="77777777" w:rsidR="00121274" w:rsidRDefault="00000000" w:rsidP="00EF78CD">
      <w:pPr>
        <w:spacing w:after="0" w:line="240" w:lineRule="auto"/>
        <w:ind w:left="1436" w:right="0"/>
        <w:jc w:val="left"/>
      </w:pPr>
      <w:r>
        <w:rPr>
          <w:rFonts w:ascii="Century Gothic" w:eastAsia="Century Gothic" w:hAnsi="Century Gothic" w:cs="Century Gothic"/>
          <w:color w:val="666666"/>
          <w:sz w:val="18"/>
        </w:rPr>
        <w:t>L'âge est LE facteur de risque majeur pour AD et PD. En l'absence de la variable '</w:t>
      </w:r>
      <w:proofErr w:type="spellStart"/>
      <w:r>
        <w:rPr>
          <w:rFonts w:ascii="Century Gothic" w:eastAsia="Century Gothic" w:hAnsi="Century Gothic" w:cs="Century Gothic"/>
          <w:color w:val="666666"/>
          <w:sz w:val="18"/>
        </w:rPr>
        <w:t>age_at_death</w:t>
      </w:r>
      <w:proofErr w:type="spellEnd"/>
      <w:r>
        <w:rPr>
          <w:rFonts w:ascii="Century Gothic" w:eastAsia="Century Gothic" w:hAnsi="Century Gothic" w:cs="Century Gothic"/>
          <w:color w:val="666666"/>
          <w:sz w:val="18"/>
        </w:rPr>
        <w:t>' dans les métadonnées, il est impossible d'ajuster explicitement pour ce facteur dans le modèle DESeq2. Par conséquent, les signatures identifiées doivent être interprétées comme des associations plutôt que comme des preuves causales strictes. Une validation sur des cohortes disposant d'informations cliniques complètes (ROSMAP, ADNI) sera nécessaire pour raffiner ces conclusions.</w:t>
      </w:r>
      <w:r>
        <w:t xml:space="preserve"> </w:t>
      </w:r>
    </w:p>
    <w:p w14:paraId="10F8C134" w14:textId="0A2BC6DD" w:rsidR="00121274" w:rsidRDefault="00000000" w:rsidP="00EF78CD">
      <w:pPr>
        <w:pStyle w:val="Titre2"/>
        <w:spacing w:after="0" w:line="240" w:lineRule="auto"/>
        <w:ind w:left="483" w:hanging="498"/>
      </w:pPr>
      <w:r>
        <w:t xml:space="preserve">Perspectives et analyses futures </w:t>
      </w:r>
    </w:p>
    <w:p w14:paraId="321892FA" w14:textId="4320A49B" w:rsidR="00121274" w:rsidRDefault="00000000" w:rsidP="00EF78CD">
      <w:pPr>
        <w:spacing w:after="0" w:line="240" w:lineRule="auto"/>
        <w:ind w:left="-5" w:right="35"/>
      </w:pPr>
      <w:r>
        <w:t xml:space="preserve">Plusieurs axes d'amélioration méthodologique et d'approfondissement biologique sont envisageables : </w:t>
      </w:r>
    </w:p>
    <w:p w14:paraId="73CB454D" w14:textId="77777777" w:rsidR="00121274" w:rsidRDefault="00000000" w:rsidP="00EF78CD">
      <w:pPr>
        <w:spacing w:after="0" w:line="240" w:lineRule="auto"/>
        <w:ind w:left="0" w:right="0" w:firstLine="0"/>
        <w:jc w:val="left"/>
      </w:pPr>
      <w:r>
        <w:t xml:space="preserve"> </w:t>
      </w:r>
    </w:p>
    <w:p w14:paraId="582E9BEC" w14:textId="77777777" w:rsidR="00121274" w:rsidRDefault="00000000" w:rsidP="00EF78CD">
      <w:pPr>
        <w:numPr>
          <w:ilvl w:val="0"/>
          <w:numId w:val="15"/>
        </w:numPr>
        <w:spacing w:after="0" w:line="240" w:lineRule="auto"/>
        <w:ind w:right="35"/>
      </w:pPr>
      <w:r>
        <w:lastRenderedPageBreak/>
        <w:t>Analyse de sous-types cellulaires fins (high-</w:t>
      </w:r>
      <w:proofErr w:type="spellStart"/>
      <w:r>
        <w:t>resolution</w:t>
      </w:r>
      <w:proofErr w:type="spellEnd"/>
      <w:r>
        <w:t xml:space="preserve"> clustering), notamment pour les neurones excitateurs et la microglie, afin d'identifier les populations les plus vulnérables. </w:t>
      </w:r>
    </w:p>
    <w:p w14:paraId="0F209DCE" w14:textId="77777777" w:rsidR="00121274" w:rsidRDefault="00000000" w:rsidP="00EF78CD">
      <w:pPr>
        <w:spacing w:after="0" w:line="240" w:lineRule="auto"/>
        <w:ind w:left="0" w:right="0" w:firstLine="0"/>
        <w:jc w:val="left"/>
      </w:pPr>
      <w:r>
        <w:t xml:space="preserve"> </w:t>
      </w:r>
    </w:p>
    <w:p w14:paraId="71529EFB" w14:textId="77777777" w:rsidR="00121274" w:rsidRDefault="00000000" w:rsidP="00EF78CD">
      <w:pPr>
        <w:numPr>
          <w:ilvl w:val="0"/>
          <w:numId w:val="15"/>
        </w:numPr>
        <w:spacing w:after="0" w:line="240" w:lineRule="auto"/>
        <w:ind w:right="35"/>
      </w:pPr>
      <w:r>
        <w:t>Analyse de trajectoires temporelles (</w:t>
      </w:r>
      <w:proofErr w:type="spellStart"/>
      <w:r>
        <w:t>pseudotime</w:t>
      </w:r>
      <w:proofErr w:type="spellEnd"/>
      <w:r>
        <w:t xml:space="preserve">, RNA </w:t>
      </w:r>
      <w:proofErr w:type="spellStart"/>
      <w:r>
        <w:t>velocity</w:t>
      </w:r>
      <w:proofErr w:type="spellEnd"/>
      <w:r>
        <w:t xml:space="preserve">) pour reconstruire les trajectoires d'activation microgliale et la transition d'états neuronaux. </w:t>
      </w:r>
    </w:p>
    <w:p w14:paraId="09A9F767" w14:textId="77777777" w:rsidR="00121274" w:rsidRDefault="00000000" w:rsidP="00EF78CD">
      <w:pPr>
        <w:spacing w:after="0" w:line="240" w:lineRule="auto"/>
        <w:ind w:left="0" w:right="0" w:firstLine="0"/>
        <w:jc w:val="left"/>
      </w:pPr>
      <w:r>
        <w:t xml:space="preserve"> </w:t>
      </w:r>
    </w:p>
    <w:p w14:paraId="5884D367" w14:textId="77777777" w:rsidR="00121274" w:rsidRDefault="00000000" w:rsidP="00EF78CD">
      <w:pPr>
        <w:numPr>
          <w:ilvl w:val="0"/>
          <w:numId w:val="15"/>
        </w:numPr>
        <w:spacing w:after="0" w:line="240" w:lineRule="auto"/>
        <w:ind w:right="35"/>
      </w:pPr>
      <w:r>
        <w:t xml:space="preserve">Intégration multi-omique (protéomique, </w:t>
      </w:r>
      <w:proofErr w:type="spellStart"/>
      <w:r>
        <w:t>épigénomique</w:t>
      </w:r>
      <w:proofErr w:type="spellEnd"/>
      <w:r>
        <w:t xml:space="preserve">, spatial </w:t>
      </w:r>
      <w:proofErr w:type="spellStart"/>
      <w:r>
        <w:t>transcriptomics</w:t>
      </w:r>
      <w:proofErr w:type="spellEnd"/>
      <w:r>
        <w:t xml:space="preserve">) pour valider et contextualiser les signatures observées. </w:t>
      </w:r>
    </w:p>
    <w:p w14:paraId="7AAEFDF7" w14:textId="77777777" w:rsidR="00121274" w:rsidRDefault="00000000" w:rsidP="00EF78CD">
      <w:pPr>
        <w:spacing w:after="0" w:line="240" w:lineRule="auto"/>
        <w:ind w:left="0" w:right="0" w:firstLine="0"/>
        <w:jc w:val="left"/>
      </w:pPr>
      <w:r>
        <w:t xml:space="preserve"> </w:t>
      </w:r>
    </w:p>
    <w:p w14:paraId="2651EDFC" w14:textId="77777777" w:rsidR="00121274" w:rsidRDefault="00000000" w:rsidP="00EF78CD">
      <w:pPr>
        <w:numPr>
          <w:ilvl w:val="0"/>
          <w:numId w:val="15"/>
        </w:numPr>
        <w:spacing w:after="0" w:line="240" w:lineRule="auto"/>
        <w:ind w:right="35"/>
      </w:pPr>
      <w:r>
        <w:t xml:space="preserve">Analyse de réseaux de </w:t>
      </w:r>
      <w:proofErr w:type="spellStart"/>
      <w:r>
        <w:t>co</w:t>
      </w:r>
      <w:proofErr w:type="spellEnd"/>
      <w:r>
        <w:t xml:space="preserve">-expression génique (WGCNA, </w:t>
      </w:r>
      <w:proofErr w:type="spellStart"/>
      <w:r>
        <w:t>hdWGCNA</w:t>
      </w:r>
      <w:proofErr w:type="spellEnd"/>
      <w:r>
        <w:t xml:space="preserve">) pour identifier des modules de gènes et des hub </w:t>
      </w:r>
      <w:proofErr w:type="spellStart"/>
      <w:r>
        <w:t>genes</w:t>
      </w:r>
      <w:proofErr w:type="spellEnd"/>
      <w:r>
        <w:t xml:space="preserve"> susceptibles de constituer des cibles thérapeutiques privilégiées. </w:t>
      </w:r>
    </w:p>
    <w:p w14:paraId="30239CC3" w14:textId="77777777" w:rsidR="00121274" w:rsidRDefault="00000000" w:rsidP="00EF78CD">
      <w:pPr>
        <w:spacing w:after="0" w:line="240" w:lineRule="auto"/>
        <w:ind w:left="0" w:right="0" w:firstLine="0"/>
        <w:jc w:val="left"/>
      </w:pPr>
      <w:r>
        <w:t xml:space="preserve"> </w:t>
      </w:r>
    </w:p>
    <w:p w14:paraId="6141B1DD" w14:textId="77777777" w:rsidR="00121274" w:rsidRDefault="00000000" w:rsidP="00EF78CD">
      <w:pPr>
        <w:numPr>
          <w:ilvl w:val="0"/>
          <w:numId w:val="15"/>
        </w:numPr>
        <w:spacing w:after="0" w:line="240" w:lineRule="auto"/>
        <w:ind w:right="35"/>
      </w:pPr>
      <w:r>
        <w:t xml:space="preserve">Extension à des cohortes plus larges et plus diversifiées, incluant explicitement des populations d'ascendance africaine, afin d'améliorer la généralisabilité et l'équité des découvertes. </w:t>
      </w:r>
    </w:p>
    <w:p w14:paraId="30516100" w14:textId="77777777" w:rsidR="00121274" w:rsidRDefault="00000000" w:rsidP="00EF78CD">
      <w:pPr>
        <w:spacing w:after="0" w:line="240" w:lineRule="auto"/>
        <w:ind w:left="0" w:right="0" w:firstLine="0"/>
        <w:jc w:val="left"/>
      </w:pPr>
      <w:r>
        <w:t xml:space="preserve"> </w:t>
      </w:r>
    </w:p>
    <w:p w14:paraId="3D02FE30" w14:textId="77777777" w:rsidR="00121274" w:rsidRDefault="00000000" w:rsidP="00EF78CD">
      <w:pPr>
        <w:numPr>
          <w:ilvl w:val="0"/>
          <w:numId w:val="15"/>
        </w:numPr>
        <w:spacing w:after="0" w:line="240" w:lineRule="auto"/>
        <w:ind w:right="35"/>
      </w:pPr>
      <w:r>
        <w:t xml:space="preserve">Accès élargi aux ressources de calcul haute performance (HPC, cloud) dans les projets pédagogiques pour éviter les compromis méthodologiques dictés par les contraintes matérielles. </w:t>
      </w:r>
    </w:p>
    <w:p w14:paraId="3F02A425" w14:textId="163C0774" w:rsidR="002434EB" w:rsidRDefault="002434EB" w:rsidP="00EF78CD">
      <w:pPr>
        <w:pStyle w:val="Titre2"/>
        <w:spacing w:after="0" w:line="240" w:lineRule="auto"/>
      </w:pPr>
      <w:r>
        <w:t>Perspectives et analyses futures</w:t>
      </w:r>
    </w:p>
    <w:p w14:paraId="63600724" w14:textId="77777777" w:rsidR="002434EB" w:rsidRDefault="002434EB" w:rsidP="00EF78CD">
      <w:pPr>
        <w:spacing w:after="0" w:line="240" w:lineRule="auto"/>
      </w:pPr>
      <w:r>
        <w:t>Plusieurs axes d'amélioration biologique et analytique sont envisageables pour approfondir ces résultats :</w:t>
      </w:r>
      <w:r>
        <w:br/>
      </w:r>
      <w:r>
        <w:br/>
        <w:t>1. Analyse de sous-types cellulaires fins (high-</w:t>
      </w:r>
      <w:proofErr w:type="spellStart"/>
      <w:r>
        <w:t>resolution</w:t>
      </w:r>
      <w:proofErr w:type="spellEnd"/>
      <w:r>
        <w:t xml:space="preserve"> clustering), notamment pour identifier les sous-populations de microglies (ex: états prolifératifs vs inflammatoires) invisibles au niveau macro-type.</w:t>
      </w:r>
      <w:r>
        <w:br/>
      </w:r>
      <w:r>
        <w:br/>
        <w:t>2. Analyse de trajectoires temporelles (</w:t>
      </w:r>
      <w:proofErr w:type="spellStart"/>
      <w:r>
        <w:t>Pseudotime</w:t>
      </w:r>
      <w:proofErr w:type="spellEnd"/>
      <w:r>
        <w:t xml:space="preserve"> / RNA Velocity) pour reconstruire la dynamique d'activation microgliale et la transition progressive des états neuronaux.</w:t>
      </w:r>
      <w:r>
        <w:br/>
      </w:r>
      <w:r>
        <w:br/>
        <w:t>3. Intégration multi-omique : Croisement avec des données d'</w:t>
      </w:r>
      <w:proofErr w:type="spellStart"/>
      <w:r>
        <w:t>épigénomique</w:t>
      </w:r>
      <w:proofErr w:type="spellEnd"/>
      <w:r>
        <w:t xml:space="preserve"> (ATAC-seq) pour valider les facteurs de transcription candidats (ex: POU3F2) identifiés dans nos tendances.</w:t>
      </w:r>
      <w:r>
        <w:br/>
      </w:r>
      <w:r>
        <w:br/>
        <w:t xml:space="preserve">4. Analyse de réseaux de </w:t>
      </w:r>
      <w:proofErr w:type="spellStart"/>
      <w:r>
        <w:t>co</w:t>
      </w:r>
      <w:proofErr w:type="spellEnd"/>
      <w:r>
        <w:t xml:space="preserve">-expression (WGCNA) pour identifier des modules de gènes </w:t>
      </w:r>
      <w:proofErr w:type="spellStart"/>
      <w:r>
        <w:t>co-régulés</w:t>
      </w:r>
      <w:proofErr w:type="spellEnd"/>
      <w:r>
        <w:t xml:space="preserve"> et des 'hub </w:t>
      </w:r>
      <w:proofErr w:type="spellStart"/>
      <w:r>
        <w:t>genes</w:t>
      </w:r>
      <w:proofErr w:type="spellEnd"/>
      <w:r>
        <w:t>' potentiels cibles thérapeutiques.</w:t>
      </w:r>
    </w:p>
    <w:p w14:paraId="6FD22D26" w14:textId="77777777" w:rsidR="002434EB" w:rsidRDefault="002434EB" w:rsidP="00EF78CD">
      <w:pPr>
        <w:spacing w:after="0" w:line="240" w:lineRule="auto"/>
      </w:pPr>
    </w:p>
    <w:p w14:paraId="75FED8E6" w14:textId="77777777" w:rsidR="002434EB" w:rsidRDefault="002434EB" w:rsidP="00EF78CD">
      <w:pPr>
        <w:spacing w:after="0" w:line="240" w:lineRule="auto"/>
        <w:ind w:left="1440"/>
        <w:jc w:val="left"/>
        <w:rPr>
          <w:rFonts w:ascii="Century Gothic" w:hAnsi="Century Gothic"/>
          <w:color w:val="7030A0"/>
          <w:sz w:val="18"/>
        </w:rPr>
      </w:pPr>
      <w:r>
        <w:rPr>
          <w:rFonts w:ascii="Century Gothic" w:hAnsi="Century Gothic"/>
          <w:b/>
          <w:color w:val="7030A0"/>
          <w:sz w:val="18"/>
        </w:rPr>
        <w:t>📝 NOTE MÉTHODOLOGIQUE - Optimisation Stratégique : Le Paradoxe Donneur/Cellule</w:t>
      </w:r>
      <w:r>
        <w:rPr>
          <w:rFonts w:ascii="Century Gothic" w:hAnsi="Century Gothic"/>
          <w:b/>
          <w:color w:val="7030A0"/>
          <w:sz w:val="18"/>
        </w:rPr>
        <w:br/>
      </w:r>
      <w:r>
        <w:rPr>
          <w:rFonts w:ascii="Century Gothic" w:hAnsi="Century Gothic"/>
          <w:color w:val="7030A0"/>
          <w:sz w:val="18"/>
        </w:rPr>
        <w:t>Une critique majeure de notre approche actuelle est le filtrage drastique des donneurs (N=17) pour satisfaire la contrainte de RAM, tout en gardant une très haute résolution cellulaire (&gt;4000 cellules/donneur). Or, la puissance statistique des tests Pseudobulk dépend du nombre de donneurs (N), pas des cellules.</w:t>
      </w:r>
      <w:r>
        <w:rPr>
          <w:rFonts w:ascii="Century Gothic" w:hAnsi="Century Gothic"/>
          <w:color w:val="7030A0"/>
          <w:sz w:val="18"/>
        </w:rPr>
        <w:br/>
      </w:r>
      <w:r>
        <w:rPr>
          <w:rFonts w:ascii="Century Gothic" w:hAnsi="Century Gothic"/>
          <w:color w:val="7030A0"/>
          <w:sz w:val="18"/>
        </w:rPr>
        <w:br/>
        <w:t>Perspective prioritaire : Une stratégie de '</w:t>
      </w:r>
      <w:proofErr w:type="spellStart"/>
      <w:r>
        <w:rPr>
          <w:rFonts w:ascii="Century Gothic" w:hAnsi="Century Gothic"/>
          <w:color w:val="7030A0"/>
          <w:sz w:val="18"/>
        </w:rPr>
        <w:t>Balanced</w:t>
      </w:r>
      <w:proofErr w:type="spellEnd"/>
      <w:r>
        <w:rPr>
          <w:rFonts w:ascii="Century Gothic" w:hAnsi="Century Gothic"/>
          <w:color w:val="7030A0"/>
          <w:sz w:val="18"/>
        </w:rPr>
        <w:t xml:space="preserve"> </w:t>
      </w:r>
      <w:proofErr w:type="spellStart"/>
      <w:r>
        <w:rPr>
          <w:rFonts w:ascii="Century Gothic" w:hAnsi="Century Gothic"/>
          <w:color w:val="7030A0"/>
          <w:sz w:val="18"/>
        </w:rPr>
        <w:t>Subsampling</w:t>
      </w:r>
      <w:proofErr w:type="spellEnd"/>
      <w:r>
        <w:rPr>
          <w:rFonts w:ascii="Century Gothic" w:hAnsi="Century Gothic"/>
          <w:color w:val="7030A0"/>
          <w:sz w:val="18"/>
        </w:rPr>
        <w:t>' (ex: 500 cellules/donneur) aurait permis d'inclure plus de 100 donneurs (y compris la cohorte africaine et les cas mixtes) dans la même mémoire RAM. Cette approche sacrifierait la résolution des sous-types rares pour gagner massivement en puissance statistique.</w:t>
      </w:r>
    </w:p>
    <w:p w14:paraId="462D83AA" w14:textId="77777777" w:rsidR="00B74173" w:rsidRDefault="00B74173" w:rsidP="00EF78CD">
      <w:pPr>
        <w:spacing w:after="0" w:line="240" w:lineRule="auto"/>
        <w:ind w:left="1440"/>
        <w:jc w:val="left"/>
        <w:rPr>
          <w:rFonts w:ascii="Century Gothic" w:hAnsi="Century Gothic"/>
          <w:color w:val="7030A0"/>
          <w:sz w:val="18"/>
        </w:rPr>
      </w:pPr>
    </w:p>
    <w:p w14:paraId="1A758E81" w14:textId="77777777" w:rsidR="00B74173" w:rsidRDefault="00B74173" w:rsidP="00EF78CD">
      <w:pPr>
        <w:spacing w:after="0" w:line="240" w:lineRule="auto"/>
        <w:ind w:left="1440"/>
        <w:jc w:val="left"/>
        <w:rPr>
          <w:rFonts w:ascii="Century Gothic" w:hAnsi="Century Gothic"/>
          <w:color w:val="7030A0"/>
          <w:sz w:val="18"/>
        </w:rPr>
      </w:pPr>
    </w:p>
    <w:p w14:paraId="43CB6133" w14:textId="77777777" w:rsidR="00B74173" w:rsidRPr="00B74173" w:rsidRDefault="00B74173" w:rsidP="00B74173">
      <w:pPr>
        <w:spacing w:after="0" w:line="240" w:lineRule="auto"/>
        <w:ind w:left="1440"/>
        <w:jc w:val="left"/>
        <w:rPr>
          <w:rFonts w:ascii="Century Gothic" w:hAnsi="Century Gothic"/>
          <w:color w:val="7030A0"/>
          <w:sz w:val="18"/>
        </w:rPr>
      </w:pPr>
      <w:r w:rsidRPr="00B74173">
        <w:rPr>
          <w:rFonts w:ascii="Segoe UI Emoji" w:hAnsi="Segoe UI Emoji" w:cs="Segoe UI Emoji"/>
          <w:color w:val="7030A0"/>
          <w:sz w:val="18"/>
        </w:rPr>
        <w:t>⚖️</w:t>
      </w:r>
      <w:r w:rsidRPr="00B74173">
        <w:rPr>
          <w:rFonts w:ascii="Century Gothic" w:hAnsi="Century Gothic"/>
          <w:color w:val="7030A0"/>
          <w:sz w:val="18"/>
        </w:rPr>
        <w:t xml:space="preserve"> EXPLORATION CRITIQUE - Simulations de Strat</w:t>
      </w:r>
      <w:r w:rsidRPr="00B74173">
        <w:rPr>
          <w:rFonts w:ascii="Century Gothic" w:hAnsi="Century Gothic" w:cs="Century Gothic"/>
          <w:color w:val="7030A0"/>
          <w:sz w:val="18"/>
        </w:rPr>
        <w:t>é</w:t>
      </w:r>
      <w:r w:rsidRPr="00B74173">
        <w:rPr>
          <w:rFonts w:ascii="Century Gothic" w:hAnsi="Century Gothic"/>
          <w:color w:val="7030A0"/>
          <w:sz w:val="18"/>
        </w:rPr>
        <w:t>gies Alternatives</w:t>
      </w:r>
    </w:p>
    <w:p w14:paraId="3D02B185" w14:textId="77777777" w:rsidR="00B74173" w:rsidRPr="00B74173" w:rsidRDefault="00B74173" w:rsidP="00B74173">
      <w:pPr>
        <w:spacing w:after="0" w:line="240" w:lineRule="auto"/>
        <w:ind w:left="1440"/>
        <w:jc w:val="left"/>
        <w:rPr>
          <w:rFonts w:ascii="Century Gothic" w:hAnsi="Century Gothic"/>
          <w:color w:val="7030A0"/>
          <w:sz w:val="18"/>
        </w:rPr>
      </w:pPr>
      <w:r w:rsidRPr="00B74173">
        <w:rPr>
          <w:rFonts w:ascii="Century Gothic" w:hAnsi="Century Gothic"/>
          <w:color w:val="7030A0"/>
          <w:sz w:val="18"/>
        </w:rPr>
        <w:t>Deux stratégies alternatives ont été simulées pour évaluer leur impact sur la puissance statistique et la généralisabilité des résultats :</w:t>
      </w:r>
    </w:p>
    <w:p w14:paraId="2B610546" w14:textId="77777777" w:rsidR="00B74173" w:rsidRPr="00B74173" w:rsidRDefault="00B74173" w:rsidP="00B74173">
      <w:pPr>
        <w:spacing w:after="0" w:line="240" w:lineRule="auto"/>
        <w:ind w:left="1440"/>
        <w:jc w:val="left"/>
        <w:rPr>
          <w:rFonts w:ascii="Century Gothic" w:hAnsi="Century Gothic"/>
          <w:color w:val="7030A0"/>
          <w:sz w:val="18"/>
        </w:rPr>
      </w:pPr>
    </w:p>
    <w:p w14:paraId="44140C9F" w14:textId="77777777" w:rsidR="00B74173" w:rsidRPr="00B74173" w:rsidRDefault="00B74173" w:rsidP="00B74173">
      <w:pPr>
        <w:spacing w:after="0" w:line="240" w:lineRule="auto"/>
        <w:ind w:left="1440"/>
        <w:jc w:val="left"/>
        <w:rPr>
          <w:rFonts w:ascii="Century Gothic" w:hAnsi="Century Gothic"/>
          <w:color w:val="7030A0"/>
          <w:sz w:val="18"/>
        </w:rPr>
      </w:pPr>
      <w:r w:rsidRPr="00B74173">
        <w:rPr>
          <w:rFonts w:ascii="Century Gothic" w:hAnsi="Century Gothic"/>
          <w:color w:val="7030A0"/>
          <w:sz w:val="18"/>
        </w:rPr>
        <w:t xml:space="preserve">**Stratégie A : </w:t>
      </w:r>
      <w:proofErr w:type="spellStart"/>
      <w:r w:rsidRPr="00B74173">
        <w:rPr>
          <w:rFonts w:ascii="Century Gothic" w:hAnsi="Century Gothic"/>
          <w:color w:val="7030A0"/>
          <w:sz w:val="18"/>
        </w:rPr>
        <w:t>Balanced</w:t>
      </w:r>
      <w:proofErr w:type="spellEnd"/>
      <w:r w:rsidRPr="00B74173">
        <w:rPr>
          <w:rFonts w:ascii="Century Gothic" w:hAnsi="Century Gothic"/>
          <w:color w:val="7030A0"/>
          <w:sz w:val="18"/>
        </w:rPr>
        <w:t xml:space="preserve"> </w:t>
      </w:r>
      <w:proofErr w:type="spellStart"/>
      <w:r w:rsidRPr="00B74173">
        <w:rPr>
          <w:rFonts w:ascii="Century Gothic" w:hAnsi="Century Gothic"/>
          <w:color w:val="7030A0"/>
          <w:sz w:val="18"/>
        </w:rPr>
        <w:t>Subsampling</w:t>
      </w:r>
      <w:proofErr w:type="spellEnd"/>
      <w:r w:rsidRPr="00B74173">
        <w:rPr>
          <w:rFonts w:ascii="Century Gothic" w:hAnsi="Century Gothic"/>
          <w:color w:val="7030A0"/>
          <w:sz w:val="18"/>
        </w:rPr>
        <w:t xml:space="preserve"> (500 cellules/donneur)**</w:t>
      </w:r>
    </w:p>
    <w:p w14:paraId="50350075" w14:textId="77777777" w:rsidR="00B74173" w:rsidRPr="00B74173" w:rsidRDefault="00B74173" w:rsidP="00B74173">
      <w:pPr>
        <w:spacing w:after="0" w:line="240" w:lineRule="auto"/>
        <w:ind w:left="1440"/>
        <w:jc w:val="left"/>
        <w:rPr>
          <w:rFonts w:ascii="Century Gothic" w:hAnsi="Century Gothic"/>
          <w:color w:val="7030A0"/>
          <w:sz w:val="18"/>
        </w:rPr>
      </w:pPr>
      <w:r w:rsidRPr="00B74173">
        <w:rPr>
          <w:rFonts w:ascii="Century Gothic" w:hAnsi="Century Gothic"/>
          <w:color w:val="7030A0"/>
          <w:sz w:val="18"/>
        </w:rPr>
        <w:t>- Projection théorique : ~100 donneurs (AD=41, PD=3, CTRL=26 + cas mixtes)</w:t>
      </w:r>
    </w:p>
    <w:p w14:paraId="1C5F7A66" w14:textId="77777777" w:rsidR="00B74173" w:rsidRPr="00B74173" w:rsidRDefault="00B74173" w:rsidP="00B74173">
      <w:pPr>
        <w:spacing w:after="0" w:line="240" w:lineRule="auto"/>
        <w:ind w:left="1440"/>
        <w:jc w:val="left"/>
        <w:rPr>
          <w:rFonts w:ascii="Century Gothic" w:hAnsi="Century Gothic"/>
          <w:color w:val="7030A0"/>
          <w:sz w:val="18"/>
        </w:rPr>
      </w:pPr>
      <w:r w:rsidRPr="00B74173">
        <w:rPr>
          <w:rFonts w:ascii="Century Gothic" w:hAnsi="Century Gothic"/>
          <w:color w:val="7030A0"/>
          <w:sz w:val="18"/>
        </w:rPr>
        <w:lastRenderedPageBreak/>
        <w:t>- Gain attendu : Puissance statistique élevée (N=100 vs N=17 actuellement)</w:t>
      </w:r>
    </w:p>
    <w:p w14:paraId="15E75221" w14:textId="77777777" w:rsidR="00B74173" w:rsidRPr="00B74173" w:rsidRDefault="00B74173" w:rsidP="00B74173">
      <w:pPr>
        <w:spacing w:after="0" w:line="240" w:lineRule="auto"/>
        <w:ind w:left="1440"/>
        <w:jc w:val="left"/>
        <w:rPr>
          <w:rFonts w:ascii="Century Gothic" w:hAnsi="Century Gothic"/>
          <w:color w:val="7030A0"/>
          <w:sz w:val="18"/>
        </w:rPr>
      </w:pPr>
      <w:r w:rsidRPr="00B74173">
        <w:rPr>
          <w:rFonts w:ascii="Century Gothic" w:hAnsi="Century Gothic"/>
          <w:color w:val="7030A0"/>
          <w:sz w:val="18"/>
        </w:rPr>
        <w:t>- Limitations identifiées :</w:t>
      </w:r>
    </w:p>
    <w:p w14:paraId="664682DE" w14:textId="77777777" w:rsidR="00B74173" w:rsidRPr="00B74173" w:rsidRDefault="00B74173" w:rsidP="00B74173">
      <w:pPr>
        <w:spacing w:after="0" w:line="240" w:lineRule="auto"/>
        <w:ind w:left="1440"/>
        <w:jc w:val="left"/>
        <w:rPr>
          <w:rFonts w:ascii="Century Gothic" w:hAnsi="Century Gothic"/>
          <w:color w:val="7030A0"/>
          <w:sz w:val="18"/>
        </w:rPr>
      </w:pPr>
      <w:r w:rsidRPr="00B74173">
        <w:rPr>
          <w:rFonts w:ascii="Century Gothic" w:hAnsi="Century Gothic"/>
          <w:color w:val="7030A0"/>
          <w:sz w:val="18"/>
        </w:rPr>
        <w:t xml:space="preserve">  - Perte des types cellulaires rares (Astrocytes </w:t>
      </w:r>
      <w:proofErr w:type="spellStart"/>
      <w:r w:rsidRPr="00B74173">
        <w:rPr>
          <w:rFonts w:ascii="Century Gothic" w:hAnsi="Century Gothic"/>
          <w:color w:val="7030A0"/>
          <w:sz w:val="18"/>
        </w:rPr>
        <w:t>Reactive</w:t>
      </w:r>
      <w:proofErr w:type="spellEnd"/>
      <w:r w:rsidRPr="00B74173">
        <w:rPr>
          <w:rFonts w:ascii="Century Gothic" w:hAnsi="Century Gothic"/>
          <w:color w:val="7030A0"/>
          <w:sz w:val="18"/>
        </w:rPr>
        <w:t>, OPC) par sous-échantillonnage</w:t>
      </w:r>
    </w:p>
    <w:p w14:paraId="3A177868" w14:textId="77777777" w:rsidR="00B74173" w:rsidRPr="00B74173" w:rsidRDefault="00B74173" w:rsidP="00B74173">
      <w:pPr>
        <w:spacing w:after="0" w:line="240" w:lineRule="auto"/>
        <w:ind w:left="1440"/>
        <w:jc w:val="left"/>
        <w:rPr>
          <w:rFonts w:ascii="Century Gothic" w:hAnsi="Century Gothic"/>
          <w:color w:val="7030A0"/>
          <w:sz w:val="18"/>
        </w:rPr>
      </w:pPr>
      <w:r w:rsidRPr="00B74173">
        <w:rPr>
          <w:rFonts w:ascii="Century Gothic" w:hAnsi="Century Gothic"/>
          <w:color w:val="7030A0"/>
          <w:sz w:val="18"/>
        </w:rPr>
        <w:t xml:space="preserve">  - Violation du seuil MIN_CELLS_PER_SAMPLE ≥ 20 pour la majorité des types cellulaires</w:t>
      </w:r>
    </w:p>
    <w:p w14:paraId="31730DFE" w14:textId="77777777" w:rsidR="00B74173" w:rsidRPr="00B74173" w:rsidRDefault="00B74173" w:rsidP="00B74173">
      <w:pPr>
        <w:spacing w:after="0" w:line="240" w:lineRule="auto"/>
        <w:ind w:left="1440"/>
        <w:jc w:val="left"/>
        <w:rPr>
          <w:rFonts w:ascii="Century Gothic" w:hAnsi="Century Gothic"/>
          <w:color w:val="7030A0"/>
          <w:sz w:val="18"/>
        </w:rPr>
      </w:pPr>
      <w:r w:rsidRPr="00B74173">
        <w:rPr>
          <w:rFonts w:ascii="Century Gothic" w:hAnsi="Century Gothic"/>
          <w:color w:val="7030A0"/>
          <w:sz w:val="18"/>
        </w:rPr>
        <w:t xml:space="preserve">  - Inclusion obligatoire de cas mixtes (</w:t>
      </w:r>
      <w:proofErr w:type="spellStart"/>
      <w:r w:rsidRPr="00B74173">
        <w:rPr>
          <w:rFonts w:ascii="Century Gothic" w:hAnsi="Century Gothic"/>
          <w:color w:val="7030A0"/>
          <w:sz w:val="18"/>
        </w:rPr>
        <w:t>AD+diabète</w:t>
      </w:r>
      <w:proofErr w:type="spellEnd"/>
      <w:r w:rsidRPr="00B74173">
        <w:rPr>
          <w:rFonts w:ascii="Century Gothic" w:hAnsi="Century Gothic"/>
          <w:color w:val="7030A0"/>
          <w:sz w:val="18"/>
        </w:rPr>
        <w:t>, AD+PD) compromettant l'interprétation biologique</w:t>
      </w:r>
    </w:p>
    <w:p w14:paraId="25EC8571" w14:textId="77777777" w:rsidR="00B74173" w:rsidRPr="00B74173" w:rsidRDefault="00B74173" w:rsidP="00B74173">
      <w:pPr>
        <w:spacing w:after="0" w:line="240" w:lineRule="auto"/>
        <w:ind w:left="1440"/>
        <w:jc w:val="left"/>
        <w:rPr>
          <w:rFonts w:ascii="Century Gothic" w:hAnsi="Century Gothic"/>
          <w:color w:val="7030A0"/>
          <w:sz w:val="18"/>
        </w:rPr>
      </w:pPr>
      <w:r w:rsidRPr="00B74173">
        <w:rPr>
          <w:rFonts w:ascii="Century Gothic" w:hAnsi="Century Gothic"/>
          <w:color w:val="7030A0"/>
          <w:sz w:val="18"/>
        </w:rPr>
        <w:t xml:space="preserve">  - **Problème structurel non résolu** : Le groupe PD reste limité à N=3 donneurs dans le dataset d'origine</w:t>
      </w:r>
    </w:p>
    <w:p w14:paraId="7DC8146B" w14:textId="77777777" w:rsidR="00B74173" w:rsidRPr="00B74173" w:rsidRDefault="00B74173" w:rsidP="00B74173">
      <w:pPr>
        <w:spacing w:after="0" w:line="240" w:lineRule="auto"/>
        <w:ind w:left="1440"/>
        <w:jc w:val="left"/>
        <w:rPr>
          <w:rFonts w:ascii="Century Gothic" w:hAnsi="Century Gothic"/>
          <w:color w:val="7030A0"/>
          <w:sz w:val="18"/>
        </w:rPr>
      </w:pPr>
    </w:p>
    <w:p w14:paraId="7FC43AF0" w14:textId="77777777" w:rsidR="00B74173" w:rsidRPr="00B74173" w:rsidRDefault="00B74173" w:rsidP="00B74173">
      <w:pPr>
        <w:spacing w:after="0" w:line="240" w:lineRule="auto"/>
        <w:ind w:left="1440"/>
        <w:jc w:val="left"/>
        <w:rPr>
          <w:rFonts w:ascii="Century Gothic" w:hAnsi="Century Gothic"/>
          <w:color w:val="7030A0"/>
          <w:sz w:val="18"/>
        </w:rPr>
      </w:pPr>
      <w:r w:rsidRPr="00B74173">
        <w:rPr>
          <w:rFonts w:ascii="Century Gothic" w:hAnsi="Century Gothic"/>
          <w:color w:val="7030A0"/>
          <w:sz w:val="18"/>
        </w:rPr>
        <w:t>**Stratégie B : Inclusion partielle de la cohorte africaine (20% aléatoire)**</w:t>
      </w:r>
    </w:p>
    <w:p w14:paraId="261602F3" w14:textId="77777777" w:rsidR="00B74173" w:rsidRPr="00B74173" w:rsidRDefault="00B74173" w:rsidP="00B74173">
      <w:pPr>
        <w:spacing w:after="0" w:line="240" w:lineRule="auto"/>
        <w:ind w:left="1440"/>
        <w:jc w:val="left"/>
        <w:rPr>
          <w:rFonts w:ascii="Century Gothic" w:hAnsi="Century Gothic"/>
          <w:color w:val="7030A0"/>
          <w:sz w:val="18"/>
        </w:rPr>
      </w:pPr>
      <w:r w:rsidRPr="00B74173">
        <w:rPr>
          <w:rFonts w:ascii="Century Gothic" w:hAnsi="Century Gothic"/>
          <w:color w:val="7030A0"/>
          <w:sz w:val="18"/>
        </w:rPr>
        <w:t>- Projection simulée : 23 donneurs (+6 vs stratégie actuelle), 75 359 cellules (+20%)</w:t>
      </w:r>
    </w:p>
    <w:p w14:paraId="357BDE33" w14:textId="77777777" w:rsidR="00B74173" w:rsidRPr="00B74173" w:rsidRDefault="00B74173" w:rsidP="00B74173">
      <w:pPr>
        <w:spacing w:after="0" w:line="240" w:lineRule="auto"/>
        <w:ind w:left="1440"/>
        <w:jc w:val="left"/>
        <w:rPr>
          <w:rFonts w:ascii="Century Gothic" w:hAnsi="Century Gothic"/>
          <w:color w:val="7030A0"/>
          <w:sz w:val="18"/>
        </w:rPr>
      </w:pPr>
      <w:r w:rsidRPr="00B74173">
        <w:rPr>
          <w:rFonts w:ascii="Century Gothic" w:hAnsi="Century Gothic"/>
          <w:color w:val="7030A0"/>
          <w:sz w:val="18"/>
        </w:rPr>
        <w:t>- Distribution projetée : AD=12 (+4), PD=3 (+0), CTRL=8 (+2)</w:t>
      </w:r>
    </w:p>
    <w:p w14:paraId="6C080DA9" w14:textId="77777777" w:rsidR="00B74173" w:rsidRPr="00B74173" w:rsidRDefault="00B74173" w:rsidP="00B74173">
      <w:pPr>
        <w:spacing w:after="0" w:line="240" w:lineRule="auto"/>
        <w:ind w:left="1440"/>
        <w:jc w:val="left"/>
        <w:rPr>
          <w:rFonts w:ascii="Century Gothic" w:hAnsi="Century Gothic"/>
          <w:color w:val="7030A0"/>
          <w:sz w:val="18"/>
        </w:rPr>
      </w:pPr>
      <w:r w:rsidRPr="00B74173">
        <w:rPr>
          <w:rFonts w:ascii="Century Gothic" w:hAnsi="Century Gothic"/>
          <w:color w:val="7030A0"/>
          <w:sz w:val="18"/>
        </w:rPr>
        <w:t>- Gain attendu : Diversité ancestrale (4 groupes), amélioration modérée de la puissance pour AD/CTRL</w:t>
      </w:r>
    </w:p>
    <w:p w14:paraId="0C010302" w14:textId="77777777" w:rsidR="00B74173" w:rsidRPr="00B74173" w:rsidRDefault="00B74173" w:rsidP="00B74173">
      <w:pPr>
        <w:spacing w:after="0" w:line="240" w:lineRule="auto"/>
        <w:ind w:left="1440"/>
        <w:jc w:val="left"/>
        <w:rPr>
          <w:rFonts w:ascii="Century Gothic" w:hAnsi="Century Gothic"/>
          <w:color w:val="7030A0"/>
          <w:sz w:val="18"/>
        </w:rPr>
      </w:pPr>
      <w:r w:rsidRPr="00B74173">
        <w:rPr>
          <w:rFonts w:ascii="Century Gothic" w:hAnsi="Century Gothic"/>
          <w:color w:val="7030A0"/>
          <w:sz w:val="18"/>
        </w:rPr>
        <w:t>- Limitations identifiées :</w:t>
      </w:r>
    </w:p>
    <w:p w14:paraId="1DDD2BE3" w14:textId="77777777" w:rsidR="00B74173" w:rsidRPr="00B74173" w:rsidRDefault="00B74173" w:rsidP="00B74173">
      <w:pPr>
        <w:spacing w:after="0" w:line="240" w:lineRule="auto"/>
        <w:ind w:left="1440"/>
        <w:jc w:val="left"/>
        <w:rPr>
          <w:rFonts w:ascii="Century Gothic" w:hAnsi="Century Gothic"/>
          <w:color w:val="7030A0"/>
          <w:sz w:val="18"/>
        </w:rPr>
      </w:pPr>
      <w:r w:rsidRPr="00B74173">
        <w:rPr>
          <w:rFonts w:ascii="Century Gothic" w:hAnsi="Century Gothic"/>
          <w:color w:val="7030A0"/>
          <w:sz w:val="18"/>
        </w:rPr>
        <w:t xml:space="preserve">  - **Gain nul pour PD** (N=3→3) : le goulot d'étranglement critique n'est pas résolu</w:t>
      </w:r>
    </w:p>
    <w:p w14:paraId="48E953DE" w14:textId="77777777" w:rsidR="00B74173" w:rsidRPr="00B74173" w:rsidRDefault="00B74173" w:rsidP="00B74173">
      <w:pPr>
        <w:spacing w:after="0" w:line="240" w:lineRule="auto"/>
        <w:ind w:left="1440"/>
        <w:jc w:val="left"/>
        <w:rPr>
          <w:rFonts w:ascii="Century Gothic" w:hAnsi="Century Gothic"/>
          <w:color w:val="7030A0"/>
          <w:sz w:val="18"/>
        </w:rPr>
      </w:pPr>
      <w:r w:rsidRPr="00B74173">
        <w:rPr>
          <w:rFonts w:ascii="Century Gothic" w:hAnsi="Century Gothic"/>
          <w:color w:val="7030A0"/>
          <w:sz w:val="18"/>
        </w:rPr>
        <w:t xml:space="preserve">  - Surcoût RAM significatif (+500 MB, fichier .h5ad : 2.5→3.0 GB)</w:t>
      </w:r>
    </w:p>
    <w:p w14:paraId="3A435287" w14:textId="77777777" w:rsidR="00B74173" w:rsidRPr="00B74173" w:rsidRDefault="00B74173" w:rsidP="00B74173">
      <w:pPr>
        <w:spacing w:after="0" w:line="240" w:lineRule="auto"/>
        <w:ind w:left="1440"/>
        <w:jc w:val="left"/>
        <w:rPr>
          <w:rFonts w:ascii="Century Gothic" w:hAnsi="Century Gothic"/>
          <w:color w:val="7030A0"/>
          <w:sz w:val="18"/>
        </w:rPr>
      </w:pPr>
      <w:r w:rsidRPr="00B74173">
        <w:rPr>
          <w:rFonts w:ascii="Century Gothic" w:hAnsi="Century Gothic"/>
          <w:color w:val="7030A0"/>
          <w:sz w:val="18"/>
        </w:rPr>
        <w:t xml:space="preserve">  - Ajout d'une </w:t>
      </w:r>
      <w:proofErr w:type="spellStart"/>
      <w:r w:rsidRPr="00B74173">
        <w:rPr>
          <w:rFonts w:ascii="Century Gothic" w:hAnsi="Century Gothic"/>
          <w:color w:val="7030A0"/>
          <w:sz w:val="18"/>
        </w:rPr>
        <w:t>covariable</w:t>
      </w:r>
      <w:proofErr w:type="spellEnd"/>
      <w:r w:rsidRPr="00B74173">
        <w:rPr>
          <w:rFonts w:ascii="Century Gothic" w:hAnsi="Century Gothic"/>
          <w:color w:val="7030A0"/>
          <w:sz w:val="18"/>
        </w:rPr>
        <w:t xml:space="preserve"> confondante (</w:t>
      </w:r>
      <w:proofErr w:type="spellStart"/>
      <w:r w:rsidRPr="00B74173">
        <w:rPr>
          <w:rFonts w:ascii="Century Gothic" w:hAnsi="Century Gothic"/>
          <w:color w:val="7030A0"/>
          <w:sz w:val="18"/>
        </w:rPr>
        <w:t>ancestry</w:t>
      </w:r>
      <w:proofErr w:type="spellEnd"/>
      <w:r w:rsidRPr="00B74173">
        <w:rPr>
          <w:rFonts w:ascii="Century Gothic" w:hAnsi="Century Gothic"/>
          <w:color w:val="7030A0"/>
          <w:sz w:val="18"/>
        </w:rPr>
        <w:t>) complexifiant le modèle statistique</w:t>
      </w:r>
    </w:p>
    <w:p w14:paraId="43C1C794" w14:textId="77777777" w:rsidR="00B74173" w:rsidRPr="00B74173" w:rsidRDefault="00B74173" w:rsidP="00B74173">
      <w:pPr>
        <w:spacing w:after="0" w:line="240" w:lineRule="auto"/>
        <w:ind w:left="1440"/>
        <w:jc w:val="left"/>
        <w:rPr>
          <w:rFonts w:ascii="Century Gothic" w:hAnsi="Century Gothic"/>
          <w:color w:val="7030A0"/>
          <w:sz w:val="18"/>
        </w:rPr>
      </w:pPr>
      <w:r w:rsidRPr="00B74173">
        <w:rPr>
          <w:rFonts w:ascii="Century Gothic" w:hAnsi="Century Gothic"/>
          <w:color w:val="7030A0"/>
          <w:sz w:val="18"/>
        </w:rPr>
        <w:t xml:space="preserve">  - Bénéfice marginal (+4 donneurs AD, +2 CTRL) ne justifiant pas les coûts techniques</w:t>
      </w:r>
    </w:p>
    <w:p w14:paraId="7C125DFE" w14:textId="77777777" w:rsidR="00B74173" w:rsidRPr="00B74173" w:rsidRDefault="00B74173" w:rsidP="00B74173">
      <w:pPr>
        <w:spacing w:after="0" w:line="240" w:lineRule="auto"/>
        <w:ind w:left="1440"/>
        <w:jc w:val="left"/>
        <w:rPr>
          <w:rFonts w:ascii="Century Gothic" w:hAnsi="Century Gothic"/>
          <w:color w:val="7030A0"/>
          <w:sz w:val="18"/>
        </w:rPr>
      </w:pPr>
    </w:p>
    <w:p w14:paraId="67ACC252" w14:textId="77777777" w:rsidR="00B74173" w:rsidRPr="00B74173" w:rsidRDefault="00B74173" w:rsidP="00B74173">
      <w:pPr>
        <w:spacing w:after="0" w:line="240" w:lineRule="auto"/>
        <w:ind w:left="1440"/>
        <w:jc w:val="left"/>
        <w:rPr>
          <w:rFonts w:ascii="Century Gothic" w:hAnsi="Century Gothic"/>
          <w:color w:val="7030A0"/>
          <w:sz w:val="18"/>
        </w:rPr>
      </w:pPr>
      <w:r w:rsidRPr="00B74173">
        <w:rPr>
          <w:rFonts w:ascii="Century Gothic" w:hAnsi="Century Gothic"/>
          <w:color w:val="7030A0"/>
          <w:sz w:val="18"/>
        </w:rPr>
        <w:t>**Décision finale : Conservation de la stratégie initiale**</w:t>
      </w:r>
    </w:p>
    <w:p w14:paraId="69A7B71A" w14:textId="77777777" w:rsidR="00B74173" w:rsidRPr="00B74173" w:rsidRDefault="00B74173" w:rsidP="00B74173">
      <w:pPr>
        <w:spacing w:after="0" w:line="240" w:lineRule="auto"/>
        <w:ind w:left="1440"/>
        <w:jc w:val="left"/>
        <w:rPr>
          <w:rFonts w:ascii="Century Gothic" w:hAnsi="Century Gothic"/>
          <w:color w:val="7030A0"/>
          <w:sz w:val="18"/>
        </w:rPr>
      </w:pPr>
    </w:p>
    <w:p w14:paraId="62284F30" w14:textId="77777777" w:rsidR="00B74173" w:rsidRPr="00B74173" w:rsidRDefault="00B74173" w:rsidP="00B74173">
      <w:pPr>
        <w:spacing w:after="0" w:line="240" w:lineRule="auto"/>
        <w:ind w:left="1440"/>
        <w:jc w:val="left"/>
        <w:rPr>
          <w:rFonts w:ascii="Century Gothic" w:hAnsi="Century Gothic"/>
          <w:color w:val="7030A0"/>
          <w:sz w:val="18"/>
        </w:rPr>
      </w:pPr>
      <w:r w:rsidRPr="00B74173">
        <w:rPr>
          <w:rFonts w:ascii="Century Gothic" w:hAnsi="Century Gothic"/>
          <w:color w:val="7030A0"/>
          <w:sz w:val="18"/>
        </w:rPr>
        <w:t xml:space="preserve">Les deux alternatives présentaient des limitations rédhibitoires. La stratégie actuelle (17 donneurs, 62 800 cellules, 3 </w:t>
      </w:r>
      <w:proofErr w:type="spellStart"/>
      <w:r w:rsidRPr="00B74173">
        <w:rPr>
          <w:rFonts w:ascii="Century Gothic" w:hAnsi="Century Gothic"/>
          <w:color w:val="7030A0"/>
          <w:sz w:val="18"/>
        </w:rPr>
        <w:t>ancestries</w:t>
      </w:r>
      <w:proofErr w:type="spellEnd"/>
      <w:r w:rsidRPr="00B74173">
        <w:rPr>
          <w:rFonts w:ascii="Century Gothic" w:hAnsi="Century Gothic"/>
          <w:color w:val="7030A0"/>
          <w:sz w:val="18"/>
        </w:rPr>
        <w:t>) demeure optimale car elle préserve la résolution cellulaire nécessaire à l'identification des 7 types cellulaires validés, maintient la pureté diagnostique (AD/PD/CTRL sans comorbidités), et garantit la robustesse du pipeline pseudobulk (96 échantillons après filtres statistiques).</w:t>
      </w:r>
    </w:p>
    <w:p w14:paraId="3F72D01C" w14:textId="77777777" w:rsidR="00B74173" w:rsidRPr="00B74173" w:rsidRDefault="00B74173" w:rsidP="00B74173">
      <w:pPr>
        <w:spacing w:after="0" w:line="240" w:lineRule="auto"/>
        <w:ind w:left="1440"/>
        <w:jc w:val="left"/>
        <w:rPr>
          <w:rFonts w:ascii="Century Gothic" w:hAnsi="Century Gothic"/>
          <w:color w:val="7030A0"/>
          <w:sz w:val="18"/>
        </w:rPr>
      </w:pPr>
    </w:p>
    <w:p w14:paraId="3B6DC5FD" w14:textId="32A69CB0" w:rsidR="00B74173" w:rsidRDefault="00B74173" w:rsidP="00B74173">
      <w:pPr>
        <w:spacing w:after="0" w:line="240" w:lineRule="auto"/>
        <w:ind w:left="1440"/>
        <w:jc w:val="left"/>
        <w:rPr>
          <w:rFonts w:ascii="Century Gothic" w:hAnsi="Century Gothic"/>
          <w:color w:val="7030A0"/>
          <w:sz w:val="18"/>
        </w:rPr>
      </w:pPr>
      <w:r w:rsidRPr="00B74173">
        <w:rPr>
          <w:rFonts w:ascii="Century Gothic" w:hAnsi="Century Gothic"/>
          <w:color w:val="7030A0"/>
          <w:sz w:val="18"/>
        </w:rPr>
        <w:t xml:space="preserve">**Perspective prioritaire identifiée** : L'exploration des donneurs PD avec </w:t>
      </w:r>
      <w:proofErr w:type="spellStart"/>
      <w:r w:rsidRPr="00B74173">
        <w:rPr>
          <w:rFonts w:ascii="Century Gothic" w:hAnsi="Century Gothic"/>
          <w:color w:val="7030A0"/>
          <w:sz w:val="18"/>
        </w:rPr>
        <w:t>ancestry</w:t>
      </w:r>
      <w:proofErr w:type="spellEnd"/>
      <w:r w:rsidRPr="00B74173">
        <w:rPr>
          <w:rFonts w:ascii="Century Gothic" w:hAnsi="Century Gothic"/>
          <w:color w:val="7030A0"/>
          <w:sz w:val="18"/>
        </w:rPr>
        <w:t xml:space="preserve"> '</w:t>
      </w:r>
      <w:proofErr w:type="spellStart"/>
      <w:r w:rsidRPr="00B74173">
        <w:rPr>
          <w:rFonts w:ascii="Century Gothic" w:hAnsi="Century Gothic"/>
          <w:color w:val="7030A0"/>
          <w:sz w:val="18"/>
        </w:rPr>
        <w:t>unknown</w:t>
      </w:r>
      <w:proofErr w:type="spellEnd"/>
      <w:r w:rsidRPr="00B74173">
        <w:rPr>
          <w:rFonts w:ascii="Century Gothic" w:hAnsi="Century Gothic"/>
          <w:color w:val="7030A0"/>
          <w:sz w:val="18"/>
        </w:rPr>
        <w:t>' (18,8% du dataset) constitue la piste la plus prometteuse. Si 2-3 donneurs PD '</w:t>
      </w:r>
      <w:proofErr w:type="spellStart"/>
      <w:r w:rsidRPr="00B74173">
        <w:rPr>
          <w:rFonts w:ascii="Century Gothic" w:hAnsi="Century Gothic"/>
          <w:color w:val="7030A0"/>
          <w:sz w:val="18"/>
        </w:rPr>
        <w:t>unknown</w:t>
      </w:r>
      <w:proofErr w:type="spellEnd"/>
      <w:r w:rsidRPr="00B74173">
        <w:rPr>
          <w:rFonts w:ascii="Century Gothic" w:hAnsi="Century Gothic"/>
          <w:color w:val="7030A0"/>
          <w:sz w:val="18"/>
        </w:rPr>
        <w:t>' supplémentaires sont identifiables, la cohorte PD atteindrait N=5-6, franchissant le seuil MIN_DONORS_PER_CLUSTER ≥ 5 et validant pleinement l'analyse différentielle PD vs CTRL.</w:t>
      </w:r>
    </w:p>
    <w:p w14:paraId="36076616" w14:textId="77777777" w:rsidR="00B74173" w:rsidRDefault="00B74173" w:rsidP="00EF78CD">
      <w:pPr>
        <w:spacing w:after="0" w:line="240" w:lineRule="auto"/>
        <w:ind w:left="1440"/>
        <w:jc w:val="left"/>
        <w:rPr>
          <w:rFonts w:ascii="Century Gothic" w:hAnsi="Century Gothic"/>
          <w:color w:val="7030A0"/>
          <w:sz w:val="18"/>
        </w:rPr>
      </w:pPr>
    </w:p>
    <w:p w14:paraId="3852AC05" w14:textId="77777777" w:rsidR="00B74173" w:rsidRDefault="00B74173" w:rsidP="00EF78CD">
      <w:pPr>
        <w:spacing w:after="0" w:line="240" w:lineRule="auto"/>
        <w:ind w:left="1440"/>
        <w:jc w:val="left"/>
      </w:pPr>
    </w:p>
    <w:p w14:paraId="0786D8AB" w14:textId="77777777" w:rsidR="00B74173" w:rsidRDefault="00B74173" w:rsidP="00EF78CD">
      <w:pPr>
        <w:spacing w:after="0" w:line="240" w:lineRule="auto"/>
        <w:ind w:left="1440"/>
        <w:jc w:val="left"/>
      </w:pPr>
    </w:p>
    <w:p w14:paraId="4CD3F42D" w14:textId="6A06B8B7" w:rsidR="002434EB" w:rsidRDefault="002434EB" w:rsidP="00EF78CD">
      <w:pPr>
        <w:pStyle w:val="Titre2"/>
        <w:spacing w:after="0" w:line="240" w:lineRule="auto"/>
      </w:pPr>
      <w:r>
        <w:t>Conclusion générale</w:t>
      </w:r>
    </w:p>
    <w:p w14:paraId="7A4B4FAA" w14:textId="77777777" w:rsidR="002434EB" w:rsidRDefault="002434EB" w:rsidP="00EF78CD">
      <w:pPr>
        <w:spacing w:after="0" w:line="240" w:lineRule="auto"/>
      </w:pPr>
      <w:r>
        <w:t>Malgré des limitations méthodologiques liées aux ressources de calcul locales, cette analyse transcriptomique unicellulaire du DLPFC a permis de construire un pipeline robuste et reproductible, allant du traitement brut à l'interprétation biologique.</w:t>
      </w:r>
      <w:r>
        <w:br/>
      </w:r>
      <w:r>
        <w:br/>
        <w:t xml:space="preserve">Nos résultats mettent en évidence des signatures biologiquement cohérentes : une altération vasculaire majeure associée au </w:t>
      </w:r>
      <w:proofErr w:type="spellStart"/>
      <w:r>
        <w:t>lncRNA</w:t>
      </w:r>
      <w:proofErr w:type="spellEnd"/>
      <w:r>
        <w:t xml:space="preserve"> MEG3 (FDR &lt; 0.05) et des tendances inflammatoires microgliales prometteuses. Ces découvertes valident la pertinence de l'approche 'Pseudobulk' pour éviter les faux positifs inhérents au single-cell.</w:t>
      </w:r>
      <w:r>
        <w:br/>
      </w:r>
      <w:r>
        <w:br/>
        <w:t xml:space="preserve">Ce projet constitue donc une preuve de concept solide. L'optimisation de la stratégie d'échantillonnage (via </w:t>
      </w:r>
      <w:proofErr w:type="spellStart"/>
      <w:r>
        <w:t>subsampling</w:t>
      </w:r>
      <w:proofErr w:type="spellEnd"/>
      <w:r>
        <w:t>) est désormais la prochaine étape pour transformer ces tendances biologiques en certitudes statistiques généralisables.</w:t>
      </w:r>
    </w:p>
    <w:p w14:paraId="2FB401D4" w14:textId="70EB6EC4" w:rsidR="00121274" w:rsidRDefault="00000000" w:rsidP="00EF78CD">
      <w:pPr>
        <w:spacing w:after="0" w:line="240" w:lineRule="auto"/>
        <w:ind w:left="0" w:right="0" w:firstLine="0"/>
        <w:jc w:val="left"/>
      </w:pPr>
      <w:r>
        <w:br w:type="page"/>
      </w:r>
    </w:p>
    <w:p w14:paraId="27B7006D" w14:textId="77777777" w:rsidR="00121274" w:rsidRDefault="00000000" w:rsidP="00EF78CD">
      <w:pPr>
        <w:pStyle w:val="Titre1"/>
        <w:spacing w:after="0" w:line="240" w:lineRule="auto"/>
        <w:ind w:left="305" w:hanging="320"/>
      </w:pPr>
      <w:r>
        <w:lastRenderedPageBreak/>
        <w:t xml:space="preserve">Références </w:t>
      </w:r>
    </w:p>
    <w:p w14:paraId="32982A58" w14:textId="77777777" w:rsidR="00121274" w:rsidRPr="002434EB" w:rsidRDefault="00000000" w:rsidP="00EF78CD">
      <w:pPr>
        <w:numPr>
          <w:ilvl w:val="0"/>
          <w:numId w:val="16"/>
        </w:numPr>
        <w:spacing w:after="0" w:line="240" w:lineRule="auto"/>
        <w:ind w:right="35" w:hanging="304"/>
        <w:rPr>
          <w:lang w:val="en-US"/>
        </w:rPr>
      </w:pPr>
      <w:r w:rsidRPr="002434EB">
        <w:rPr>
          <w:lang w:val="en-US"/>
        </w:rPr>
        <w:t xml:space="preserve">Lee, D. et al. (2024). Population-scale cross-disorder atlas of the human prefrontal cortex. </w:t>
      </w:r>
      <w:proofErr w:type="spellStart"/>
      <w:r w:rsidRPr="002434EB">
        <w:rPr>
          <w:lang w:val="en-US"/>
        </w:rPr>
        <w:t>medRxiv</w:t>
      </w:r>
      <w:proofErr w:type="spellEnd"/>
      <w:r w:rsidRPr="002434EB">
        <w:rPr>
          <w:lang w:val="en-US"/>
        </w:rPr>
        <w:t xml:space="preserve">. </w:t>
      </w:r>
    </w:p>
    <w:p w14:paraId="129D3628" w14:textId="77777777" w:rsidR="00121274" w:rsidRPr="002434EB" w:rsidRDefault="00000000" w:rsidP="00EF78CD">
      <w:pPr>
        <w:numPr>
          <w:ilvl w:val="0"/>
          <w:numId w:val="16"/>
        </w:numPr>
        <w:spacing w:after="0" w:line="240" w:lineRule="auto"/>
        <w:ind w:right="35" w:hanging="304"/>
        <w:rPr>
          <w:lang w:val="en-US"/>
        </w:rPr>
      </w:pPr>
      <w:r w:rsidRPr="002434EB">
        <w:rPr>
          <w:lang w:val="en-US"/>
        </w:rPr>
        <w:t xml:space="preserve">Wolf, F. A., Angerer, P., &amp; Theis, F. J. (2018). SCANPY: large-scale single-cell gene expression data analysis. </w:t>
      </w:r>
    </w:p>
    <w:p w14:paraId="34335B3F" w14:textId="77777777" w:rsidR="00121274" w:rsidRPr="002434EB" w:rsidRDefault="00000000" w:rsidP="00EF78CD">
      <w:pPr>
        <w:numPr>
          <w:ilvl w:val="0"/>
          <w:numId w:val="16"/>
        </w:numPr>
        <w:spacing w:after="0" w:line="240" w:lineRule="auto"/>
        <w:ind w:right="35" w:hanging="304"/>
        <w:rPr>
          <w:lang w:val="en-US"/>
        </w:rPr>
      </w:pPr>
      <w:r w:rsidRPr="002434EB">
        <w:rPr>
          <w:lang w:val="en-US"/>
        </w:rPr>
        <w:t xml:space="preserve">Love, M. I., Huber, W., &amp; Anders, S. (2014). Moderated estimation of fold change and dispersion for RNA-seq data with DESeq2. </w:t>
      </w:r>
    </w:p>
    <w:p w14:paraId="31405B00" w14:textId="77777777" w:rsidR="00121274" w:rsidRDefault="00000000" w:rsidP="00EF78CD">
      <w:pPr>
        <w:numPr>
          <w:ilvl w:val="0"/>
          <w:numId w:val="16"/>
        </w:numPr>
        <w:spacing w:after="0" w:line="240" w:lineRule="auto"/>
        <w:ind w:right="35" w:hanging="304"/>
      </w:pPr>
      <w:r w:rsidRPr="002434EB">
        <w:rPr>
          <w:lang w:val="en-US"/>
        </w:rPr>
        <w:t xml:space="preserve">Mathys, H. et al. (2019). Single-cell transcriptomic analysis of Alzheimer's disease. </w:t>
      </w:r>
      <w:r>
        <w:t xml:space="preserve">Nature. </w:t>
      </w:r>
    </w:p>
    <w:sectPr w:rsidR="00121274">
      <w:pgSz w:w="12240" w:h="15840"/>
      <w:pgMar w:top="1134" w:right="1377" w:bottom="120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5583"/>
    <w:multiLevelType w:val="hybridMultilevel"/>
    <w:tmpl w:val="6DA0FAD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C01740"/>
    <w:multiLevelType w:val="hybridMultilevel"/>
    <w:tmpl w:val="3FF86548"/>
    <w:lvl w:ilvl="0" w:tplc="00B2E73C">
      <w:start w:val="1"/>
      <w:numFmt w:val="decimal"/>
      <w:lvlText w:val="%1."/>
      <w:lvlJc w:val="left"/>
      <w:pPr>
        <w:ind w:left="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1267C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8CCED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00D64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DC43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26822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8EFAD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94868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B69BB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F7608B"/>
    <w:multiLevelType w:val="multilevel"/>
    <w:tmpl w:val="FD704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54050"/>
    <w:multiLevelType w:val="hybridMultilevel"/>
    <w:tmpl w:val="D6D2E156"/>
    <w:lvl w:ilvl="0" w:tplc="31A62752">
      <w:start w:val="1"/>
      <w:numFmt w:val="decimal"/>
      <w:lvlText w:val="%1."/>
      <w:lvlJc w:val="left"/>
      <w:pPr>
        <w:ind w:left="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2D3D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E2881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48D7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D633A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965C0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5E6C3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E0DE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68A7C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B80991"/>
    <w:multiLevelType w:val="multilevel"/>
    <w:tmpl w:val="53EE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85389"/>
    <w:multiLevelType w:val="hybridMultilevel"/>
    <w:tmpl w:val="DD883186"/>
    <w:lvl w:ilvl="0" w:tplc="DC7E6B16">
      <w:start w:val="1"/>
      <w:numFmt w:val="bullet"/>
      <w:lvlText w:val="-"/>
      <w:lvlJc w:val="left"/>
      <w:pPr>
        <w:ind w:left="917" w:hanging="360"/>
      </w:pPr>
      <w:rPr>
        <w:rFonts w:ascii="Century Gothic" w:eastAsia="Century Gothic" w:hAnsi="Century Gothic" w:cs="Century Gothic" w:hint="default"/>
        <w:color w:val="666666"/>
        <w:sz w:val="18"/>
      </w:rPr>
    </w:lvl>
    <w:lvl w:ilvl="1" w:tplc="FFFFFFFF" w:tentative="1">
      <w:start w:val="1"/>
      <w:numFmt w:val="bullet"/>
      <w:lvlText w:val="o"/>
      <w:lvlJc w:val="left"/>
      <w:pPr>
        <w:ind w:left="1637" w:hanging="360"/>
      </w:pPr>
      <w:rPr>
        <w:rFonts w:ascii="Courier New" w:hAnsi="Courier New" w:cs="Courier New" w:hint="default"/>
      </w:rPr>
    </w:lvl>
    <w:lvl w:ilvl="2" w:tplc="FFFFFFFF" w:tentative="1">
      <w:start w:val="1"/>
      <w:numFmt w:val="bullet"/>
      <w:lvlText w:val=""/>
      <w:lvlJc w:val="left"/>
      <w:pPr>
        <w:ind w:left="2357" w:hanging="360"/>
      </w:pPr>
      <w:rPr>
        <w:rFonts w:ascii="Wingdings" w:hAnsi="Wingdings" w:hint="default"/>
      </w:rPr>
    </w:lvl>
    <w:lvl w:ilvl="3" w:tplc="FFFFFFFF" w:tentative="1">
      <w:start w:val="1"/>
      <w:numFmt w:val="bullet"/>
      <w:lvlText w:val=""/>
      <w:lvlJc w:val="left"/>
      <w:pPr>
        <w:ind w:left="3077" w:hanging="360"/>
      </w:pPr>
      <w:rPr>
        <w:rFonts w:ascii="Symbol" w:hAnsi="Symbol" w:hint="default"/>
      </w:rPr>
    </w:lvl>
    <w:lvl w:ilvl="4" w:tplc="FFFFFFFF" w:tentative="1">
      <w:start w:val="1"/>
      <w:numFmt w:val="bullet"/>
      <w:lvlText w:val="o"/>
      <w:lvlJc w:val="left"/>
      <w:pPr>
        <w:ind w:left="3797" w:hanging="360"/>
      </w:pPr>
      <w:rPr>
        <w:rFonts w:ascii="Courier New" w:hAnsi="Courier New" w:cs="Courier New" w:hint="default"/>
      </w:rPr>
    </w:lvl>
    <w:lvl w:ilvl="5" w:tplc="FFFFFFFF" w:tentative="1">
      <w:start w:val="1"/>
      <w:numFmt w:val="bullet"/>
      <w:lvlText w:val=""/>
      <w:lvlJc w:val="left"/>
      <w:pPr>
        <w:ind w:left="4517" w:hanging="360"/>
      </w:pPr>
      <w:rPr>
        <w:rFonts w:ascii="Wingdings" w:hAnsi="Wingdings" w:hint="default"/>
      </w:rPr>
    </w:lvl>
    <w:lvl w:ilvl="6" w:tplc="FFFFFFFF" w:tentative="1">
      <w:start w:val="1"/>
      <w:numFmt w:val="bullet"/>
      <w:lvlText w:val=""/>
      <w:lvlJc w:val="left"/>
      <w:pPr>
        <w:ind w:left="5237" w:hanging="360"/>
      </w:pPr>
      <w:rPr>
        <w:rFonts w:ascii="Symbol" w:hAnsi="Symbol" w:hint="default"/>
      </w:rPr>
    </w:lvl>
    <w:lvl w:ilvl="7" w:tplc="FFFFFFFF" w:tentative="1">
      <w:start w:val="1"/>
      <w:numFmt w:val="bullet"/>
      <w:lvlText w:val="o"/>
      <w:lvlJc w:val="left"/>
      <w:pPr>
        <w:ind w:left="5957" w:hanging="360"/>
      </w:pPr>
      <w:rPr>
        <w:rFonts w:ascii="Courier New" w:hAnsi="Courier New" w:cs="Courier New" w:hint="default"/>
      </w:rPr>
    </w:lvl>
    <w:lvl w:ilvl="8" w:tplc="FFFFFFFF" w:tentative="1">
      <w:start w:val="1"/>
      <w:numFmt w:val="bullet"/>
      <w:lvlText w:val=""/>
      <w:lvlJc w:val="left"/>
      <w:pPr>
        <w:ind w:left="6677" w:hanging="360"/>
      </w:pPr>
      <w:rPr>
        <w:rFonts w:ascii="Wingdings" w:hAnsi="Wingdings" w:hint="default"/>
      </w:rPr>
    </w:lvl>
  </w:abstractNum>
  <w:abstractNum w:abstractNumId="6" w15:restartNumberingAfterBreak="0">
    <w:nsid w:val="100A0064"/>
    <w:multiLevelType w:val="hybridMultilevel"/>
    <w:tmpl w:val="6F044408"/>
    <w:lvl w:ilvl="0" w:tplc="33E418FA">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964A0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A885C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9CFDC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A4ED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3895B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581F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2188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7C33D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0E679A4"/>
    <w:multiLevelType w:val="multilevel"/>
    <w:tmpl w:val="97F2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73913"/>
    <w:multiLevelType w:val="multilevel"/>
    <w:tmpl w:val="AC98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2387D"/>
    <w:multiLevelType w:val="hybridMultilevel"/>
    <w:tmpl w:val="C38C5B1E"/>
    <w:lvl w:ilvl="0" w:tplc="040C0001">
      <w:start w:val="1"/>
      <w:numFmt w:val="bullet"/>
      <w:lvlText w:val=""/>
      <w:lvlJc w:val="left"/>
      <w:pPr>
        <w:ind w:left="917" w:hanging="360"/>
      </w:pPr>
      <w:rPr>
        <w:rFonts w:ascii="Symbol" w:hAnsi="Symbol" w:hint="default"/>
        <w:color w:val="666666"/>
        <w:sz w:val="18"/>
      </w:rPr>
    </w:lvl>
    <w:lvl w:ilvl="1" w:tplc="FFFFFFFF" w:tentative="1">
      <w:start w:val="1"/>
      <w:numFmt w:val="bullet"/>
      <w:lvlText w:val="o"/>
      <w:lvlJc w:val="left"/>
      <w:pPr>
        <w:ind w:left="1637" w:hanging="360"/>
      </w:pPr>
      <w:rPr>
        <w:rFonts w:ascii="Courier New" w:hAnsi="Courier New" w:cs="Courier New" w:hint="default"/>
      </w:rPr>
    </w:lvl>
    <w:lvl w:ilvl="2" w:tplc="FFFFFFFF" w:tentative="1">
      <w:start w:val="1"/>
      <w:numFmt w:val="bullet"/>
      <w:lvlText w:val=""/>
      <w:lvlJc w:val="left"/>
      <w:pPr>
        <w:ind w:left="2357" w:hanging="360"/>
      </w:pPr>
      <w:rPr>
        <w:rFonts w:ascii="Wingdings" w:hAnsi="Wingdings" w:hint="default"/>
      </w:rPr>
    </w:lvl>
    <w:lvl w:ilvl="3" w:tplc="FFFFFFFF" w:tentative="1">
      <w:start w:val="1"/>
      <w:numFmt w:val="bullet"/>
      <w:lvlText w:val=""/>
      <w:lvlJc w:val="left"/>
      <w:pPr>
        <w:ind w:left="3077" w:hanging="360"/>
      </w:pPr>
      <w:rPr>
        <w:rFonts w:ascii="Symbol" w:hAnsi="Symbol" w:hint="default"/>
      </w:rPr>
    </w:lvl>
    <w:lvl w:ilvl="4" w:tplc="FFFFFFFF" w:tentative="1">
      <w:start w:val="1"/>
      <w:numFmt w:val="bullet"/>
      <w:lvlText w:val="o"/>
      <w:lvlJc w:val="left"/>
      <w:pPr>
        <w:ind w:left="3797" w:hanging="360"/>
      </w:pPr>
      <w:rPr>
        <w:rFonts w:ascii="Courier New" w:hAnsi="Courier New" w:cs="Courier New" w:hint="default"/>
      </w:rPr>
    </w:lvl>
    <w:lvl w:ilvl="5" w:tplc="FFFFFFFF" w:tentative="1">
      <w:start w:val="1"/>
      <w:numFmt w:val="bullet"/>
      <w:lvlText w:val=""/>
      <w:lvlJc w:val="left"/>
      <w:pPr>
        <w:ind w:left="4517" w:hanging="360"/>
      </w:pPr>
      <w:rPr>
        <w:rFonts w:ascii="Wingdings" w:hAnsi="Wingdings" w:hint="default"/>
      </w:rPr>
    </w:lvl>
    <w:lvl w:ilvl="6" w:tplc="FFFFFFFF" w:tentative="1">
      <w:start w:val="1"/>
      <w:numFmt w:val="bullet"/>
      <w:lvlText w:val=""/>
      <w:lvlJc w:val="left"/>
      <w:pPr>
        <w:ind w:left="5237" w:hanging="360"/>
      </w:pPr>
      <w:rPr>
        <w:rFonts w:ascii="Symbol" w:hAnsi="Symbol" w:hint="default"/>
      </w:rPr>
    </w:lvl>
    <w:lvl w:ilvl="7" w:tplc="FFFFFFFF" w:tentative="1">
      <w:start w:val="1"/>
      <w:numFmt w:val="bullet"/>
      <w:lvlText w:val="o"/>
      <w:lvlJc w:val="left"/>
      <w:pPr>
        <w:ind w:left="5957" w:hanging="360"/>
      </w:pPr>
      <w:rPr>
        <w:rFonts w:ascii="Courier New" w:hAnsi="Courier New" w:cs="Courier New" w:hint="default"/>
      </w:rPr>
    </w:lvl>
    <w:lvl w:ilvl="8" w:tplc="FFFFFFFF" w:tentative="1">
      <w:start w:val="1"/>
      <w:numFmt w:val="bullet"/>
      <w:lvlText w:val=""/>
      <w:lvlJc w:val="left"/>
      <w:pPr>
        <w:ind w:left="6677" w:hanging="360"/>
      </w:pPr>
      <w:rPr>
        <w:rFonts w:ascii="Wingdings" w:hAnsi="Wingdings" w:hint="default"/>
      </w:rPr>
    </w:lvl>
  </w:abstractNum>
  <w:abstractNum w:abstractNumId="10" w15:restartNumberingAfterBreak="0">
    <w:nsid w:val="151A47FF"/>
    <w:multiLevelType w:val="multilevel"/>
    <w:tmpl w:val="95686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F4496"/>
    <w:multiLevelType w:val="hybridMultilevel"/>
    <w:tmpl w:val="F4761B56"/>
    <w:lvl w:ilvl="0" w:tplc="040C0001">
      <w:start w:val="1"/>
      <w:numFmt w:val="bullet"/>
      <w:lvlText w:val=""/>
      <w:lvlJc w:val="left"/>
      <w:pPr>
        <w:ind w:left="1276" w:hanging="360"/>
      </w:pPr>
      <w:rPr>
        <w:rFonts w:ascii="Symbol" w:hAnsi="Symbol" w:hint="default"/>
      </w:rPr>
    </w:lvl>
    <w:lvl w:ilvl="1" w:tplc="040C0003">
      <w:start w:val="1"/>
      <w:numFmt w:val="bullet"/>
      <w:lvlText w:val="o"/>
      <w:lvlJc w:val="left"/>
      <w:pPr>
        <w:ind w:left="1996" w:hanging="360"/>
      </w:pPr>
      <w:rPr>
        <w:rFonts w:ascii="Courier New" w:hAnsi="Courier New" w:cs="Courier New" w:hint="default"/>
      </w:rPr>
    </w:lvl>
    <w:lvl w:ilvl="2" w:tplc="040C0005" w:tentative="1">
      <w:start w:val="1"/>
      <w:numFmt w:val="bullet"/>
      <w:lvlText w:val=""/>
      <w:lvlJc w:val="left"/>
      <w:pPr>
        <w:ind w:left="2716" w:hanging="360"/>
      </w:pPr>
      <w:rPr>
        <w:rFonts w:ascii="Wingdings" w:hAnsi="Wingdings" w:hint="default"/>
      </w:rPr>
    </w:lvl>
    <w:lvl w:ilvl="3" w:tplc="040C0001" w:tentative="1">
      <w:start w:val="1"/>
      <w:numFmt w:val="bullet"/>
      <w:lvlText w:val=""/>
      <w:lvlJc w:val="left"/>
      <w:pPr>
        <w:ind w:left="3436" w:hanging="360"/>
      </w:pPr>
      <w:rPr>
        <w:rFonts w:ascii="Symbol" w:hAnsi="Symbol" w:hint="default"/>
      </w:rPr>
    </w:lvl>
    <w:lvl w:ilvl="4" w:tplc="040C0003" w:tentative="1">
      <w:start w:val="1"/>
      <w:numFmt w:val="bullet"/>
      <w:lvlText w:val="o"/>
      <w:lvlJc w:val="left"/>
      <w:pPr>
        <w:ind w:left="4156" w:hanging="360"/>
      </w:pPr>
      <w:rPr>
        <w:rFonts w:ascii="Courier New" w:hAnsi="Courier New" w:cs="Courier New" w:hint="default"/>
      </w:rPr>
    </w:lvl>
    <w:lvl w:ilvl="5" w:tplc="040C0005" w:tentative="1">
      <w:start w:val="1"/>
      <w:numFmt w:val="bullet"/>
      <w:lvlText w:val=""/>
      <w:lvlJc w:val="left"/>
      <w:pPr>
        <w:ind w:left="4876" w:hanging="360"/>
      </w:pPr>
      <w:rPr>
        <w:rFonts w:ascii="Wingdings" w:hAnsi="Wingdings" w:hint="default"/>
      </w:rPr>
    </w:lvl>
    <w:lvl w:ilvl="6" w:tplc="040C0001" w:tentative="1">
      <w:start w:val="1"/>
      <w:numFmt w:val="bullet"/>
      <w:lvlText w:val=""/>
      <w:lvlJc w:val="left"/>
      <w:pPr>
        <w:ind w:left="5596" w:hanging="360"/>
      </w:pPr>
      <w:rPr>
        <w:rFonts w:ascii="Symbol" w:hAnsi="Symbol" w:hint="default"/>
      </w:rPr>
    </w:lvl>
    <w:lvl w:ilvl="7" w:tplc="040C0003" w:tentative="1">
      <w:start w:val="1"/>
      <w:numFmt w:val="bullet"/>
      <w:lvlText w:val="o"/>
      <w:lvlJc w:val="left"/>
      <w:pPr>
        <w:ind w:left="6316" w:hanging="360"/>
      </w:pPr>
      <w:rPr>
        <w:rFonts w:ascii="Courier New" w:hAnsi="Courier New" w:cs="Courier New" w:hint="default"/>
      </w:rPr>
    </w:lvl>
    <w:lvl w:ilvl="8" w:tplc="040C0005" w:tentative="1">
      <w:start w:val="1"/>
      <w:numFmt w:val="bullet"/>
      <w:lvlText w:val=""/>
      <w:lvlJc w:val="left"/>
      <w:pPr>
        <w:ind w:left="7036" w:hanging="360"/>
      </w:pPr>
      <w:rPr>
        <w:rFonts w:ascii="Wingdings" w:hAnsi="Wingdings" w:hint="default"/>
      </w:rPr>
    </w:lvl>
  </w:abstractNum>
  <w:abstractNum w:abstractNumId="12" w15:restartNumberingAfterBreak="0">
    <w:nsid w:val="1CDF5F3D"/>
    <w:multiLevelType w:val="multilevel"/>
    <w:tmpl w:val="BF3E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25EF7"/>
    <w:multiLevelType w:val="multilevel"/>
    <w:tmpl w:val="0C3C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9164B"/>
    <w:multiLevelType w:val="hybridMultilevel"/>
    <w:tmpl w:val="15026BF2"/>
    <w:lvl w:ilvl="0" w:tplc="EDA0D162">
      <w:start w:val="1"/>
      <w:numFmt w:val="decimal"/>
      <w:lvlText w:val="(%1)"/>
      <w:lvlJc w:val="left"/>
      <w:pPr>
        <w:ind w:left="916" w:hanging="360"/>
      </w:pPr>
      <w:rPr>
        <w:rFonts w:hint="default"/>
      </w:rPr>
    </w:lvl>
    <w:lvl w:ilvl="1" w:tplc="040C0019" w:tentative="1">
      <w:start w:val="1"/>
      <w:numFmt w:val="lowerLetter"/>
      <w:lvlText w:val="%2."/>
      <w:lvlJc w:val="left"/>
      <w:pPr>
        <w:ind w:left="1636" w:hanging="360"/>
      </w:pPr>
    </w:lvl>
    <w:lvl w:ilvl="2" w:tplc="040C001B" w:tentative="1">
      <w:start w:val="1"/>
      <w:numFmt w:val="lowerRoman"/>
      <w:lvlText w:val="%3."/>
      <w:lvlJc w:val="right"/>
      <w:pPr>
        <w:ind w:left="2356" w:hanging="180"/>
      </w:pPr>
    </w:lvl>
    <w:lvl w:ilvl="3" w:tplc="040C000F" w:tentative="1">
      <w:start w:val="1"/>
      <w:numFmt w:val="decimal"/>
      <w:lvlText w:val="%4."/>
      <w:lvlJc w:val="left"/>
      <w:pPr>
        <w:ind w:left="3076" w:hanging="360"/>
      </w:pPr>
    </w:lvl>
    <w:lvl w:ilvl="4" w:tplc="040C0019" w:tentative="1">
      <w:start w:val="1"/>
      <w:numFmt w:val="lowerLetter"/>
      <w:lvlText w:val="%5."/>
      <w:lvlJc w:val="left"/>
      <w:pPr>
        <w:ind w:left="3796" w:hanging="360"/>
      </w:pPr>
    </w:lvl>
    <w:lvl w:ilvl="5" w:tplc="040C001B" w:tentative="1">
      <w:start w:val="1"/>
      <w:numFmt w:val="lowerRoman"/>
      <w:lvlText w:val="%6."/>
      <w:lvlJc w:val="right"/>
      <w:pPr>
        <w:ind w:left="4516" w:hanging="180"/>
      </w:pPr>
    </w:lvl>
    <w:lvl w:ilvl="6" w:tplc="040C000F" w:tentative="1">
      <w:start w:val="1"/>
      <w:numFmt w:val="decimal"/>
      <w:lvlText w:val="%7."/>
      <w:lvlJc w:val="left"/>
      <w:pPr>
        <w:ind w:left="5236" w:hanging="360"/>
      </w:pPr>
    </w:lvl>
    <w:lvl w:ilvl="7" w:tplc="040C0019" w:tentative="1">
      <w:start w:val="1"/>
      <w:numFmt w:val="lowerLetter"/>
      <w:lvlText w:val="%8."/>
      <w:lvlJc w:val="left"/>
      <w:pPr>
        <w:ind w:left="5956" w:hanging="360"/>
      </w:pPr>
    </w:lvl>
    <w:lvl w:ilvl="8" w:tplc="040C001B" w:tentative="1">
      <w:start w:val="1"/>
      <w:numFmt w:val="lowerRoman"/>
      <w:lvlText w:val="%9."/>
      <w:lvlJc w:val="right"/>
      <w:pPr>
        <w:ind w:left="6676" w:hanging="180"/>
      </w:pPr>
    </w:lvl>
  </w:abstractNum>
  <w:abstractNum w:abstractNumId="15" w15:restartNumberingAfterBreak="0">
    <w:nsid w:val="21514821"/>
    <w:multiLevelType w:val="hybridMultilevel"/>
    <w:tmpl w:val="4E323E70"/>
    <w:lvl w:ilvl="0" w:tplc="CBCC0926">
      <w:start w:val="1"/>
      <w:numFmt w:val="bullet"/>
      <w:lvlText w:val="•"/>
      <w:lvlJc w:val="left"/>
      <w:pPr>
        <w:ind w:left="1436"/>
      </w:pPr>
      <w:rPr>
        <w:rFonts w:ascii="Century Gothic" w:eastAsia="Century Gothic" w:hAnsi="Century Gothic" w:cs="Century Gothic"/>
        <w:b w:val="0"/>
        <w:i w:val="0"/>
        <w:strike w:val="0"/>
        <w:dstrike w:val="0"/>
        <w:color w:val="1A5490"/>
        <w:sz w:val="18"/>
        <w:szCs w:val="18"/>
        <w:u w:val="none" w:color="000000"/>
        <w:bdr w:val="none" w:sz="0" w:space="0" w:color="auto"/>
        <w:shd w:val="clear" w:color="auto" w:fill="auto"/>
        <w:vertAlign w:val="baseline"/>
      </w:rPr>
    </w:lvl>
    <w:lvl w:ilvl="1" w:tplc="35FE9CCC">
      <w:start w:val="1"/>
      <w:numFmt w:val="bullet"/>
      <w:lvlText w:val="o"/>
      <w:lvlJc w:val="left"/>
      <w:pPr>
        <w:ind w:left="2521"/>
      </w:pPr>
      <w:rPr>
        <w:rFonts w:ascii="Century Gothic" w:eastAsia="Century Gothic" w:hAnsi="Century Gothic" w:cs="Century Gothic"/>
        <w:b w:val="0"/>
        <w:i w:val="0"/>
        <w:strike w:val="0"/>
        <w:dstrike w:val="0"/>
        <w:color w:val="1A5490"/>
        <w:sz w:val="18"/>
        <w:szCs w:val="18"/>
        <w:u w:val="none" w:color="000000"/>
        <w:bdr w:val="none" w:sz="0" w:space="0" w:color="auto"/>
        <w:shd w:val="clear" w:color="auto" w:fill="auto"/>
        <w:vertAlign w:val="baseline"/>
      </w:rPr>
    </w:lvl>
    <w:lvl w:ilvl="2" w:tplc="EAFC7936">
      <w:start w:val="1"/>
      <w:numFmt w:val="bullet"/>
      <w:lvlText w:val="▪"/>
      <w:lvlJc w:val="left"/>
      <w:pPr>
        <w:ind w:left="3241"/>
      </w:pPr>
      <w:rPr>
        <w:rFonts w:ascii="Century Gothic" w:eastAsia="Century Gothic" w:hAnsi="Century Gothic" w:cs="Century Gothic"/>
        <w:b w:val="0"/>
        <w:i w:val="0"/>
        <w:strike w:val="0"/>
        <w:dstrike w:val="0"/>
        <w:color w:val="1A5490"/>
        <w:sz w:val="18"/>
        <w:szCs w:val="18"/>
        <w:u w:val="none" w:color="000000"/>
        <w:bdr w:val="none" w:sz="0" w:space="0" w:color="auto"/>
        <w:shd w:val="clear" w:color="auto" w:fill="auto"/>
        <w:vertAlign w:val="baseline"/>
      </w:rPr>
    </w:lvl>
    <w:lvl w:ilvl="3" w:tplc="8E0259E2">
      <w:start w:val="1"/>
      <w:numFmt w:val="bullet"/>
      <w:lvlText w:val="•"/>
      <w:lvlJc w:val="left"/>
      <w:pPr>
        <w:ind w:left="3961"/>
      </w:pPr>
      <w:rPr>
        <w:rFonts w:ascii="Century Gothic" w:eastAsia="Century Gothic" w:hAnsi="Century Gothic" w:cs="Century Gothic"/>
        <w:b w:val="0"/>
        <w:i w:val="0"/>
        <w:strike w:val="0"/>
        <w:dstrike w:val="0"/>
        <w:color w:val="1A5490"/>
        <w:sz w:val="18"/>
        <w:szCs w:val="18"/>
        <w:u w:val="none" w:color="000000"/>
        <w:bdr w:val="none" w:sz="0" w:space="0" w:color="auto"/>
        <w:shd w:val="clear" w:color="auto" w:fill="auto"/>
        <w:vertAlign w:val="baseline"/>
      </w:rPr>
    </w:lvl>
    <w:lvl w:ilvl="4" w:tplc="A1642B02">
      <w:start w:val="1"/>
      <w:numFmt w:val="bullet"/>
      <w:lvlText w:val="o"/>
      <w:lvlJc w:val="left"/>
      <w:pPr>
        <w:ind w:left="4681"/>
      </w:pPr>
      <w:rPr>
        <w:rFonts w:ascii="Century Gothic" w:eastAsia="Century Gothic" w:hAnsi="Century Gothic" w:cs="Century Gothic"/>
        <w:b w:val="0"/>
        <w:i w:val="0"/>
        <w:strike w:val="0"/>
        <w:dstrike w:val="0"/>
        <w:color w:val="1A5490"/>
        <w:sz w:val="18"/>
        <w:szCs w:val="18"/>
        <w:u w:val="none" w:color="000000"/>
        <w:bdr w:val="none" w:sz="0" w:space="0" w:color="auto"/>
        <w:shd w:val="clear" w:color="auto" w:fill="auto"/>
        <w:vertAlign w:val="baseline"/>
      </w:rPr>
    </w:lvl>
    <w:lvl w:ilvl="5" w:tplc="330E140C">
      <w:start w:val="1"/>
      <w:numFmt w:val="bullet"/>
      <w:lvlText w:val="▪"/>
      <w:lvlJc w:val="left"/>
      <w:pPr>
        <w:ind w:left="5401"/>
      </w:pPr>
      <w:rPr>
        <w:rFonts w:ascii="Century Gothic" w:eastAsia="Century Gothic" w:hAnsi="Century Gothic" w:cs="Century Gothic"/>
        <w:b w:val="0"/>
        <w:i w:val="0"/>
        <w:strike w:val="0"/>
        <w:dstrike w:val="0"/>
        <w:color w:val="1A5490"/>
        <w:sz w:val="18"/>
        <w:szCs w:val="18"/>
        <w:u w:val="none" w:color="000000"/>
        <w:bdr w:val="none" w:sz="0" w:space="0" w:color="auto"/>
        <w:shd w:val="clear" w:color="auto" w:fill="auto"/>
        <w:vertAlign w:val="baseline"/>
      </w:rPr>
    </w:lvl>
    <w:lvl w:ilvl="6" w:tplc="8BA0E8D6">
      <w:start w:val="1"/>
      <w:numFmt w:val="bullet"/>
      <w:lvlText w:val="•"/>
      <w:lvlJc w:val="left"/>
      <w:pPr>
        <w:ind w:left="6121"/>
      </w:pPr>
      <w:rPr>
        <w:rFonts w:ascii="Century Gothic" w:eastAsia="Century Gothic" w:hAnsi="Century Gothic" w:cs="Century Gothic"/>
        <w:b w:val="0"/>
        <w:i w:val="0"/>
        <w:strike w:val="0"/>
        <w:dstrike w:val="0"/>
        <w:color w:val="1A5490"/>
        <w:sz w:val="18"/>
        <w:szCs w:val="18"/>
        <w:u w:val="none" w:color="000000"/>
        <w:bdr w:val="none" w:sz="0" w:space="0" w:color="auto"/>
        <w:shd w:val="clear" w:color="auto" w:fill="auto"/>
        <w:vertAlign w:val="baseline"/>
      </w:rPr>
    </w:lvl>
    <w:lvl w:ilvl="7" w:tplc="F5E4E48C">
      <w:start w:val="1"/>
      <w:numFmt w:val="bullet"/>
      <w:lvlText w:val="o"/>
      <w:lvlJc w:val="left"/>
      <w:pPr>
        <w:ind w:left="6841"/>
      </w:pPr>
      <w:rPr>
        <w:rFonts w:ascii="Century Gothic" w:eastAsia="Century Gothic" w:hAnsi="Century Gothic" w:cs="Century Gothic"/>
        <w:b w:val="0"/>
        <w:i w:val="0"/>
        <w:strike w:val="0"/>
        <w:dstrike w:val="0"/>
        <w:color w:val="1A5490"/>
        <w:sz w:val="18"/>
        <w:szCs w:val="18"/>
        <w:u w:val="none" w:color="000000"/>
        <w:bdr w:val="none" w:sz="0" w:space="0" w:color="auto"/>
        <w:shd w:val="clear" w:color="auto" w:fill="auto"/>
        <w:vertAlign w:val="baseline"/>
      </w:rPr>
    </w:lvl>
    <w:lvl w:ilvl="8" w:tplc="8936707E">
      <w:start w:val="1"/>
      <w:numFmt w:val="bullet"/>
      <w:lvlText w:val="▪"/>
      <w:lvlJc w:val="left"/>
      <w:pPr>
        <w:ind w:left="7561"/>
      </w:pPr>
      <w:rPr>
        <w:rFonts w:ascii="Century Gothic" w:eastAsia="Century Gothic" w:hAnsi="Century Gothic" w:cs="Century Gothic"/>
        <w:b w:val="0"/>
        <w:i w:val="0"/>
        <w:strike w:val="0"/>
        <w:dstrike w:val="0"/>
        <w:color w:val="1A5490"/>
        <w:sz w:val="18"/>
        <w:szCs w:val="18"/>
        <w:u w:val="none" w:color="000000"/>
        <w:bdr w:val="none" w:sz="0" w:space="0" w:color="auto"/>
        <w:shd w:val="clear" w:color="auto" w:fill="auto"/>
        <w:vertAlign w:val="baseline"/>
      </w:rPr>
    </w:lvl>
  </w:abstractNum>
  <w:abstractNum w:abstractNumId="16" w15:restartNumberingAfterBreak="0">
    <w:nsid w:val="21587342"/>
    <w:multiLevelType w:val="multilevel"/>
    <w:tmpl w:val="E62C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BC563C"/>
    <w:multiLevelType w:val="multilevel"/>
    <w:tmpl w:val="08D0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0B0FA2"/>
    <w:multiLevelType w:val="multilevel"/>
    <w:tmpl w:val="B6FE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24215A"/>
    <w:multiLevelType w:val="hybridMultilevel"/>
    <w:tmpl w:val="46F6B79C"/>
    <w:lvl w:ilvl="0" w:tplc="50567A80">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D2156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8AE3D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CADCB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491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B8F3B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4A254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2E18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5E61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50C6525"/>
    <w:multiLevelType w:val="hybridMultilevel"/>
    <w:tmpl w:val="1D023D28"/>
    <w:lvl w:ilvl="0" w:tplc="B89E38AC">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74BE1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06AE8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746D6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00BCD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5A7E1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74189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8E113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A268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62D4768"/>
    <w:multiLevelType w:val="hybridMultilevel"/>
    <w:tmpl w:val="6A4420BE"/>
    <w:lvl w:ilvl="0" w:tplc="90A6C73E">
      <w:start w:val="1"/>
      <w:numFmt w:val="bullet"/>
      <w:lvlText w:val="•"/>
      <w:lvlJc w:val="left"/>
      <w:pPr>
        <w:ind w:left="25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0247C8">
      <w:start w:val="1"/>
      <w:numFmt w:val="bullet"/>
      <w:lvlText w:val="o"/>
      <w:lvlJc w:val="left"/>
      <w:pPr>
        <w:ind w:left="1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D664C6">
      <w:start w:val="1"/>
      <w:numFmt w:val="bullet"/>
      <w:lvlText w:val="▪"/>
      <w:lvlJc w:val="left"/>
      <w:pPr>
        <w:ind w:left="2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6E3092">
      <w:start w:val="1"/>
      <w:numFmt w:val="bullet"/>
      <w:lvlText w:val="•"/>
      <w:lvlJc w:val="left"/>
      <w:pPr>
        <w:ind w:left="3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78E2EE">
      <w:start w:val="1"/>
      <w:numFmt w:val="bullet"/>
      <w:lvlText w:val="o"/>
      <w:lvlJc w:val="left"/>
      <w:pPr>
        <w:ind w:left="3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180FE4">
      <w:start w:val="1"/>
      <w:numFmt w:val="bullet"/>
      <w:lvlText w:val="▪"/>
      <w:lvlJc w:val="left"/>
      <w:pPr>
        <w:ind w:left="4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A606EC">
      <w:start w:val="1"/>
      <w:numFmt w:val="bullet"/>
      <w:lvlText w:val="•"/>
      <w:lvlJc w:val="left"/>
      <w:pPr>
        <w:ind w:left="5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2E7BC">
      <w:start w:val="1"/>
      <w:numFmt w:val="bullet"/>
      <w:lvlText w:val="o"/>
      <w:lvlJc w:val="left"/>
      <w:pPr>
        <w:ind w:left="60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72B2A8">
      <w:start w:val="1"/>
      <w:numFmt w:val="bullet"/>
      <w:lvlText w:val="▪"/>
      <w:lvlJc w:val="left"/>
      <w:pPr>
        <w:ind w:left="6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BA5072C"/>
    <w:multiLevelType w:val="multilevel"/>
    <w:tmpl w:val="B406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CD1306"/>
    <w:multiLevelType w:val="hybridMultilevel"/>
    <w:tmpl w:val="1736EB16"/>
    <w:lvl w:ilvl="0" w:tplc="67D26FD6">
      <w:start w:val="1"/>
      <w:numFmt w:val="bullet"/>
      <w:lvlText w:val="•"/>
      <w:lvlJc w:val="left"/>
      <w:pPr>
        <w:ind w:left="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4A62C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94EA0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988D9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F0533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62E71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9093A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44E59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1C756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E3010C2"/>
    <w:multiLevelType w:val="multilevel"/>
    <w:tmpl w:val="156E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9E4BBB"/>
    <w:multiLevelType w:val="multilevel"/>
    <w:tmpl w:val="120E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82514A"/>
    <w:multiLevelType w:val="multilevel"/>
    <w:tmpl w:val="B652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A85F4A"/>
    <w:multiLevelType w:val="multilevel"/>
    <w:tmpl w:val="BA68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3A3AA7"/>
    <w:multiLevelType w:val="multilevel"/>
    <w:tmpl w:val="A3E2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EF12B7"/>
    <w:multiLevelType w:val="hybridMultilevel"/>
    <w:tmpl w:val="4392C736"/>
    <w:lvl w:ilvl="0" w:tplc="E4DC849E">
      <w:start w:val="1"/>
      <w:numFmt w:val="bullet"/>
      <w:lvlText w:val="•"/>
      <w:lvlJc w:val="left"/>
      <w:pPr>
        <w:ind w:left="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C8B2B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020F1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1864D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A67A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E26D1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287B4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180F2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9A414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389917CF"/>
    <w:multiLevelType w:val="multilevel"/>
    <w:tmpl w:val="225A1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B77E95"/>
    <w:multiLevelType w:val="multilevel"/>
    <w:tmpl w:val="E562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4B58DB"/>
    <w:multiLevelType w:val="multilevel"/>
    <w:tmpl w:val="3BAC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EB4738"/>
    <w:multiLevelType w:val="multilevel"/>
    <w:tmpl w:val="F788A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312A9C"/>
    <w:multiLevelType w:val="hybridMultilevel"/>
    <w:tmpl w:val="D8805F22"/>
    <w:lvl w:ilvl="0" w:tplc="040C0003">
      <w:start w:val="1"/>
      <w:numFmt w:val="bullet"/>
      <w:lvlText w:val="o"/>
      <w:lvlJc w:val="left"/>
      <w:pPr>
        <w:ind w:left="1277" w:hanging="360"/>
      </w:pPr>
      <w:rPr>
        <w:rFonts w:ascii="Courier New" w:hAnsi="Courier New" w:cs="Courier New" w:hint="default"/>
      </w:rPr>
    </w:lvl>
    <w:lvl w:ilvl="1" w:tplc="040C0003" w:tentative="1">
      <w:start w:val="1"/>
      <w:numFmt w:val="bullet"/>
      <w:lvlText w:val="o"/>
      <w:lvlJc w:val="left"/>
      <w:pPr>
        <w:ind w:left="1997" w:hanging="360"/>
      </w:pPr>
      <w:rPr>
        <w:rFonts w:ascii="Courier New" w:hAnsi="Courier New" w:cs="Courier New" w:hint="default"/>
      </w:rPr>
    </w:lvl>
    <w:lvl w:ilvl="2" w:tplc="040C0005" w:tentative="1">
      <w:start w:val="1"/>
      <w:numFmt w:val="bullet"/>
      <w:lvlText w:val=""/>
      <w:lvlJc w:val="left"/>
      <w:pPr>
        <w:ind w:left="2717" w:hanging="360"/>
      </w:pPr>
      <w:rPr>
        <w:rFonts w:ascii="Wingdings" w:hAnsi="Wingdings" w:hint="default"/>
      </w:rPr>
    </w:lvl>
    <w:lvl w:ilvl="3" w:tplc="040C0001" w:tentative="1">
      <w:start w:val="1"/>
      <w:numFmt w:val="bullet"/>
      <w:lvlText w:val=""/>
      <w:lvlJc w:val="left"/>
      <w:pPr>
        <w:ind w:left="3437" w:hanging="360"/>
      </w:pPr>
      <w:rPr>
        <w:rFonts w:ascii="Symbol" w:hAnsi="Symbol" w:hint="default"/>
      </w:rPr>
    </w:lvl>
    <w:lvl w:ilvl="4" w:tplc="040C0003" w:tentative="1">
      <w:start w:val="1"/>
      <w:numFmt w:val="bullet"/>
      <w:lvlText w:val="o"/>
      <w:lvlJc w:val="left"/>
      <w:pPr>
        <w:ind w:left="4157" w:hanging="360"/>
      </w:pPr>
      <w:rPr>
        <w:rFonts w:ascii="Courier New" w:hAnsi="Courier New" w:cs="Courier New" w:hint="default"/>
      </w:rPr>
    </w:lvl>
    <w:lvl w:ilvl="5" w:tplc="040C0005" w:tentative="1">
      <w:start w:val="1"/>
      <w:numFmt w:val="bullet"/>
      <w:lvlText w:val=""/>
      <w:lvlJc w:val="left"/>
      <w:pPr>
        <w:ind w:left="4877" w:hanging="360"/>
      </w:pPr>
      <w:rPr>
        <w:rFonts w:ascii="Wingdings" w:hAnsi="Wingdings" w:hint="default"/>
      </w:rPr>
    </w:lvl>
    <w:lvl w:ilvl="6" w:tplc="040C0001" w:tentative="1">
      <w:start w:val="1"/>
      <w:numFmt w:val="bullet"/>
      <w:lvlText w:val=""/>
      <w:lvlJc w:val="left"/>
      <w:pPr>
        <w:ind w:left="5597" w:hanging="360"/>
      </w:pPr>
      <w:rPr>
        <w:rFonts w:ascii="Symbol" w:hAnsi="Symbol" w:hint="default"/>
      </w:rPr>
    </w:lvl>
    <w:lvl w:ilvl="7" w:tplc="040C0003" w:tentative="1">
      <w:start w:val="1"/>
      <w:numFmt w:val="bullet"/>
      <w:lvlText w:val="o"/>
      <w:lvlJc w:val="left"/>
      <w:pPr>
        <w:ind w:left="6317" w:hanging="360"/>
      </w:pPr>
      <w:rPr>
        <w:rFonts w:ascii="Courier New" w:hAnsi="Courier New" w:cs="Courier New" w:hint="default"/>
      </w:rPr>
    </w:lvl>
    <w:lvl w:ilvl="8" w:tplc="040C0005" w:tentative="1">
      <w:start w:val="1"/>
      <w:numFmt w:val="bullet"/>
      <w:lvlText w:val=""/>
      <w:lvlJc w:val="left"/>
      <w:pPr>
        <w:ind w:left="7037" w:hanging="360"/>
      </w:pPr>
      <w:rPr>
        <w:rFonts w:ascii="Wingdings" w:hAnsi="Wingdings" w:hint="default"/>
      </w:rPr>
    </w:lvl>
  </w:abstractNum>
  <w:abstractNum w:abstractNumId="35" w15:restartNumberingAfterBreak="0">
    <w:nsid w:val="41A64932"/>
    <w:multiLevelType w:val="hybridMultilevel"/>
    <w:tmpl w:val="D90A0B72"/>
    <w:lvl w:ilvl="0" w:tplc="040C000F">
      <w:start w:val="1"/>
      <w:numFmt w:val="decimal"/>
      <w:lvlText w:val="%1."/>
      <w:lvlJc w:val="left"/>
      <w:pPr>
        <w:ind w:left="917" w:hanging="360"/>
      </w:pPr>
      <w:rPr>
        <w:rFonts w:hint="default"/>
        <w:color w:val="666666"/>
        <w:sz w:val="18"/>
      </w:rPr>
    </w:lvl>
    <w:lvl w:ilvl="1" w:tplc="FFFFFFFF" w:tentative="1">
      <w:start w:val="1"/>
      <w:numFmt w:val="bullet"/>
      <w:lvlText w:val="o"/>
      <w:lvlJc w:val="left"/>
      <w:pPr>
        <w:ind w:left="1637" w:hanging="360"/>
      </w:pPr>
      <w:rPr>
        <w:rFonts w:ascii="Courier New" w:hAnsi="Courier New" w:cs="Courier New" w:hint="default"/>
      </w:rPr>
    </w:lvl>
    <w:lvl w:ilvl="2" w:tplc="FFFFFFFF" w:tentative="1">
      <w:start w:val="1"/>
      <w:numFmt w:val="bullet"/>
      <w:lvlText w:val=""/>
      <w:lvlJc w:val="left"/>
      <w:pPr>
        <w:ind w:left="2357" w:hanging="360"/>
      </w:pPr>
      <w:rPr>
        <w:rFonts w:ascii="Wingdings" w:hAnsi="Wingdings" w:hint="default"/>
      </w:rPr>
    </w:lvl>
    <w:lvl w:ilvl="3" w:tplc="FFFFFFFF" w:tentative="1">
      <w:start w:val="1"/>
      <w:numFmt w:val="bullet"/>
      <w:lvlText w:val=""/>
      <w:lvlJc w:val="left"/>
      <w:pPr>
        <w:ind w:left="3077" w:hanging="360"/>
      </w:pPr>
      <w:rPr>
        <w:rFonts w:ascii="Symbol" w:hAnsi="Symbol" w:hint="default"/>
      </w:rPr>
    </w:lvl>
    <w:lvl w:ilvl="4" w:tplc="FFFFFFFF" w:tentative="1">
      <w:start w:val="1"/>
      <w:numFmt w:val="bullet"/>
      <w:lvlText w:val="o"/>
      <w:lvlJc w:val="left"/>
      <w:pPr>
        <w:ind w:left="3797" w:hanging="360"/>
      </w:pPr>
      <w:rPr>
        <w:rFonts w:ascii="Courier New" w:hAnsi="Courier New" w:cs="Courier New" w:hint="default"/>
      </w:rPr>
    </w:lvl>
    <w:lvl w:ilvl="5" w:tplc="FFFFFFFF" w:tentative="1">
      <w:start w:val="1"/>
      <w:numFmt w:val="bullet"/>
      <w:lvlText w:val=""/>
      <w:lvlJc w:val="left"/>
      <w:pPr>
        <w:ind w:left="4517" w:hanging="360"/>
      </w:pPr>
      <w:rPr>
        <w:rFonts w:ascii="Wingdings" w:hAnsi="Wingdings" w:hint="default"/>
      </w:rPr>
    </w:lvl>
    <w:lvl w:ilvl="6" w:tplc="FFFFFFFF" w:tentative="1">
      <w:start w:val="1"/>
      <w:numFmt w:val="bullet"/>
      <w:lvlText w:val=""/>
      <w:lvlJc w:val="left"/>
      <w:pPr>
        <w:ind w:left="5237" w:hanging="360"/>
      </w:pPr>
      <w:rPr>
        <w:rFonts w:ascii="Symbol" w:hAnsi="Symbol" w:hint="default"/>
      </w:rPr>
    </w:lvl>
    <w:lvl w:ilvl="7" w:tplc="FFFFFFFF" w:tentative="1">
      <w:start w:val="1"/>
      <w:numFmt w:val="bullet"/>
      <w:lvlText w:val="o"/>
      <w:lvlJc w:val="left"/>
      <w:pPr>
        <w:ind w:left="5957" w:hanging="360"/>
      </w:pPr>
      <w:rPr>
        <w:rFonts w:ascii="Courier New" w:hAnsi="Courier New" w:cs="Courier New" w:hint="default"/>
      </w:rPr>
    </w:lvl>
    <w:lvl w:ilvl="8" w:tplc="FFFFFFFF" w:tentative="1">
      <w:start w:val="1"/>
      <w:numFmt w:val="bullet"/>
      <w:lvlText w:val=""/>
      <w:lvlJc w:val="left"/>
      <w:pPr>
        <w:ind w:left="6677" w:hanging="360"/>
      </w:pPr>
      <w:rPr>
        <w:rFonts w:ascii="Wingdings" w:hAnsi="Wingdings" w:hint="default"/>
      </w:rPr>
    </w:lvl>
  </w:abstractNum>
  <w:abstractNum w:abstractNumId="36" w15:restartNumberingAfterBreak="0">
    <w:nsid w:val="42230110"/>
    <w:multiLevelType w:val="multilevel"/>
    <w:tmpl w:val="0836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3727AC"/>
    <w:multiLevelType w:val="hybridMultilevel"/>
    <w:tmpl w:val="4CFE14C2"/>
    <w:lvl w:ilvl="0" w:tplc="BDA4B13A">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DC37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40FD2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0A700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26B4F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88DE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B0EDC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42455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80BDB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4B17290"/>
    <w:multiLevelType w:val="hybridMultilevel"/>
    <w:tmpl w:val="AEF2ED68"/>
    <w:lvl w:ilvl="0" w:tplc="DC7E6B16">
      <w:start w:val="1"/>
      <w:numFmt w:val="bullet"/>
      <w:lvlText w:val="-"/>
      <w:lvlJc w:val="left"/>
      <w:pPr>
        <w:ind w:left="917" w:hanging="360"/>
      </w:pPr>
      <w:rPr>
        <w:rFonts w:ascii="Century Gothic" w:eastAsia="Century Gothic" w:hAnsi="Century Gothic" w:cs="Century Gothic" w:hint="default"/>
        <w:color w:val="666666"/>
        <w:sz w:val="18"/>
      </w:rPr>
    </w:lvl>
    <w:lvl w:ilvl="1" w:tplc="040C0003" w:tentative="1">
      <w:start w:val="1"/>
      <w:numFmt w:val="bullet"/>
      <w:lvlText w:val="o"/>
      <w:lvlJc w:val="left"/>
      <w:pPr>
        <w:ind w:left="1637" w:hanging="360"/>
      </w:pPr>
      <w:rPr>
        <w:rFonts w:ascii="Courier New" w:hAnsi="Courier New" w:cs="Courier New" w:hint="default"/>
      </w:rPr>
    </w:lvl>
    <w:lvl w:ilvl="2" w:tplc="040C0005" w:tentative="1">
      <w:start w:val="1"/>
      <w:numFmt w:val="bullet"/>
      <w:lvlText w:val=""/>
      <w:lvlJc w:val="left"/>
      <w:pPr>
        <w:ind w:left="2357" w:hanging="360"/>
      </w:pPr>
      <w:rPr>
        <w:rFonts w:ascii="Wingdings" w:hAnsi="Wingdings" w:hint="default"/>
      </w:rPr>
    </w:lvl>
    <w:lvl w:ilvl="3" w:tplc="040C0001" w:tentative="1">
      <w:start w:val="1"/>
      <w:numFmt w:val="bullet"/>
      <w:lvlText w:val=""/>
      <w:lvlJc w:val="left"/>
      <w:pPr>
        <w:ind w:left="3077" w:hanging="360"/>
      </w:pPr>
      <w:rPr>
        <w:rFonts w:ascii="Symbol" w:hAnsi="Symbol" w:hint="default"/>
      </w:rPr>
    </w:lvl>
    <w:lvl w:ilvl="4" w:tplc="040C0003" w:tentative="1">
      <w:start w:val="1"/>
      <w:numFmt w:val="bullet"/>
      <w:lvlText w:val="o"/>
      <w:lvlJc w:val="left"/>
      <w:pPr>
        <w:ind w:left="3797" w:hanging="360"/>
      </w:pPr>
      <w:rPr>
        <w:rFonts w:ascii="Courier New" w:hAnsi="Courier New" w:cs="Courier New" w:hint="default"/>
      </w:rPr>
    </w:lvl>
    <w:lvl w:ilvl="5" w:tplc="040C0005" w:tentative="1">
      <w:start w:val="1"/>
      <w:numFmt w:val="bullet"/>
      <w:lvlText w:val=""/>
      <w:lvlJc w:val="left"/>
      <w:pPr>
        <w:ind w:left="4517" w:hanging="360"/>
      </w:pPr>
      <w:rPr>
        <w:rFonts w:ascii="Wingdings" w:hAnsi="Wingdings" w:hint="default"/>
      </w:rPr>
    </w:lvl>
    <w:lvl w:ilvl="6" w:tplc="040C0001" w:tentative="1">
      <w:start w:val="1"/>
      <w:numFmt w:val="bullet"/>
      <w:lvlText w:val=""/>
      <w:lvlJc w:val="left"/>
      <w:pPr>
        <w:ind w:left="5237" w:hanging="360"/>
      </w:pPr>
      <w:rPr>
        <w:rFonts w:ascii="Symbol" w:hAnsi="Symbol" w:hint="default"/>
      </w:rPr>
    </w:lvl>
    <w:lvl w:ilvl="7" w:tplc="040C0003" w:tentative="1">
      <w:start w:val="1"/>
      <w:numFmt w:val="bullet"/>
      <w:lvlText w:val="o"/>
      <w:lvlJc w:val="left"/>
      <w:pPr>
        <w:ind w:left="5957" w:hanging="360"/>
      </w:pPr>
      <w:rPr>
        <w:rFonts w:ascii="Courier New" w:hAnsi="Courier New" w:cs="Courier New" w:hint="default"/>
      </w:rPr>
    </w:lvl>
    <w:lvl w:ilvl="8" w:tplc="040C0005" w:tentative="1">
      <w:start w:val="1"/>
      <w:numFmt w:val="bullet"/>
      <w:lvlText w:val=""/>
      <w:lvlJc w:val="left"/>
      <w:pPr>
        <w:ind w:left="6677" w:hanging="360"/>
      </w:pPr>
      <w:rPr>
        <w:rFonts w:ascii="Wingdings" w:hAnsi="Wingdings" w:hint="default"/>
      </w:rPr>
    </w:lvl>
  </w:abstractNum>
  <w:abstractNum w:abstractNumId="39" w15:restartNumberingAfterBreak="0">
    <w:nsid w:val="45E80D6A"/>
    <w:multiLevelType w:val="multilevel"/>
    <w:tmpl w:val="C12A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224EBC"/>
    <w:multiLevelType w:val="multilevel"/>
    <w:tmpl w:val="72E2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4E3BEC"/>
    <w:multiLevelType w:val="multilevel"/>
    <w:tmpl w:val="0E64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711180"/>
    <w:multiLevelType w:val="multilevel"/>
    <w:tmpl w:val="FFD6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9E549A"/>
    <w:multiLevelType w:val="multilevel"/>
    <w:tmpl w:val="98F6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0E7F55"/>
    <w:multiLevelType w:val="hybridMultilevel"/>
    <w:tmpl w:val="6A800720"/>
    <w:lvl w:ilvl="0" w:tplc="BE4AAD74">
      <w:start w:val="1"/>
      <w:numFmt w:val="decimal"/>
      <w:lvlText w:val="%1."/>
      <w:lvlJc w:val="left"/>
      <w:pPr>
        <w:ind w:left="1436"/>
      </w:pPr>
      <w:rPr>
        <w:rFonts w:ascii="Century Gothic" w:eastAsia="Century Gothic" w:hAnsi="Century Gothic" w:cs="Century Gothic"/>
        <w:b w:val="0"/>
        <w:i w:val="0"/>
        <w:strike w:val="0"/>
        <w:dstrike w:val="0"/>
        <w:color w:val="1A5490"/>
        <w:sz w:val="18"/>
        <w:szCs w:val="18"/>
        <w:u w:val="none" w:color="000000"/>
        <w:bdr w:val="none" w:sz="0" w:space="0" w:color="auto"/>
        <w:shd w:val="clear" w:color="auto" w:fill="auto"/>
        <w:vertAlign w:val="baseline"/>
      </w:rPr>
    </w:lvl>
    <w:lvl w:ilvl="1" w:tplc="E36A174C">
      <w:start w:val="1"/>
      <w:numFmt w:val="lowerLetter"/>
      <w:lvlText w:val="%2"/>
      <w:lvlJc w:val="left"/>
      <w:pPr>
        <w:ind w:left="2521"/>
      </w:pPr>
      <w:rPr>
        <w:rFonts w:ascii="Century Gothic" w:eastAsia="Century Gothic" w:hAnsi="Century Gothic" w:cs="Century Gothic"/>
        <w:b w:val="0"/>
        <w:i w:val="0"/>
        <w:strike w:val="0"/>
        <w:dstrike w:val="0"/>
        <w:color w:val="1A5490"/>
        <w:sz w:val="18"/>
        <w:szCs w:val="18"/>
        <w:u w:val="none" w:color="000000"/>
        <w:bdr w:val="none" w:sz="0" w:space="0" w:color="auto"/>
        <w:shd w:val="clear" w:color="auto" w:fill="auto"/>
        <w:vertAlign w:val="baseline"/>
      </w:rPr>
    </w:lvl>
    <w:lvl w:ilvl="2" w:tplc="071E6EFA">
      <w:start w:val="1"/>
      <w:numFmt w:val="lowerRoman"/>
      <w:lvlText w:val="%3"/>
      <w:lvlJc w:val="left"/>
      <w:pPr>
        <w:ind w:left="3241"/>
      </w:pPr>
      <w:rPr>
        <w:rFonts w:ascii="Century Gothic" w:eastAsia="Century Gothic" w:hAnsi="Century Gothic" w:cs="Century Gothic"/>
        <w:b w:val="0"/>
        <w:i w:val="0"/>
        <w:strike w:val="0"/>
        <w:dstrike w:val="0"/>
        <w:color w:val="1A5490"/>
        <w:sz w:val="18"/>
        <w:szCs w:val="18"/>
        <w:u w:val="none" w:color="000000"/>
        <w:bdr w:val="none" w:sz="0" w:space="0" w:color="auto"/>
        <w:shd w:val="clear" w:color="auto" w:fill="auto"/>
        <w:vertAlign w:val="baseline"/>
      </w:rPr>
    </w:lvl>
    <w:lvl w:ilvl="3" w:tplc="F826927C">
      <w:start w:val="1"/>
      <w:numFmt w:val="decimal"/>
      <w:lvlText w:val="%4"/>
      <w:lvlJc w:val="left"/>
      <w:pPr>
        <w:ind w:left="3961"/>
      </w:pPr>
      <w:rPr>
        <w:rFonts w:ascii="Century Gothic" w:eastAsia="Century Gothic" w:hAnsi="Century Gothic" w:cs="Century Gothic"/>
        <w:b w:val="0"/>
        <w:i w:val="0"/>
        <w:strike w:val="0"/>
        <w:dstrike w:val="0"/>
        <w:color w:val="1A5490"/>
        <w:sz w:val="18"/>
        <w:szCs w:val="18"/>
        <w:u w:val="none" w:color="000000"/>
        <w:bdr w:val="none" w:sz="0" w:space="0" w:color="auto"/>
        <w:shd w:val="clear" w:color="auto" w:fill="auto"/>
        <w:vertAlign w:val="baseline"/>
      </w:rPr>
    </w:lvl>
    <w:lvl w:ilvl="4" w:tplc="2FDECCE0">
      <w:start w:val="1"/>
      <w:numFmt w:val="lowerLetter"/>
      <w:lvlText w:val="%5"/>
      <w:lvlJc w:val="left"/>
      <w:pPr>
        <w:ind w:left="4681"/>
      </w:pPr>
      <w:rPr>
        <w:rFonts w:ascii="Century Gothic" w:eastAsia="Century Gothic" w:hAnsi="Century Gothic" w:cs="Century Gothic"/>
        <w:b w:val="0"/>
        <w:i w:val="0"/>
        <w:strike w:val="0"/>
        <w:dstrike w:val="0"/>
        <w:color w:val="1A5490"/>
        <w:sz w:val="18"/>
        <w:szCs w:val="18"/>
        <w:u w:val="none" w:color="000000"/>
        <w:bdr w:val="none" w:sz="0" w:space="0" w:color="auto"/>
        <w:shd w:val="clear" w:color="auto" w:fill="auto"/>
        <w:vertAlign w:val="baseline"/>
      </w:rPr>
    </w:lvl>
    <w:lvl w:ilvl="5" w:tplc="5192E1A8">
      <w:start w:val="1"/>
      <w:numFmt w:val="lowerRoman"/>
      <w:lvlText w:val="%6"/>
      <w:lvlJc w:val="left"/>
      <w:pPr>
        <w:ind w:left="5401"/>
      </w:pPr>
      <w:rPr>
        <w:rFonts w:ascii="Century Gothic" w:eastAsia="Century Gothic" w:hAnsi="Century Gothic" w:cs="Century Gothic"/>
        <w:b w:val="0"/>
        <w:i w:val="0"/>
        <w:strike w:val="0"/>
        <w:dstrike w:val="0"/>
        <w:color w:val="1A5490"/>
        <w:sz w:val="18"/>
        <w:szCs w:val="18"/>
        <w:u w:val="none" w:color="000000"/>
        <w:bdr w:val="none" w:sz="0" w:space="0" w:color="auto"/>
        <w:shd w:val="clear" w:color="auto" w:fill="auto"/>
        <w:vertAlign w:val="baseline"/>
      </w:rPr>
    </w:lvl>
    <w:lvl w:ilvl="6" w:tplc="6F64AEEC">
      <w:start w:val="1"/>
      <w:numFmt w:val="decimal"/>
      <w:lvlText w:val="%7"/>
      <w:lvlJc w:val="left"/>
      <w:pPr>
        <w:ind w:left="6121"/>
      </w:pPr>
      <w:rPr>
        <w:rFonts w:ascii="Century Gothic" w:eastAsia="Century Gothic" w:hAnsi="Century Gothic" w:cs="Century Gothic"/>
        <w:b w:val="0"/>
        <w:i w:val="0"/>
        <w:strike w:val="0"/>
        <w:dstrike w:val="0"/>
        <w:color w:val="1A5490"/>
        <w:sz w:val="18"/>
        <w:szCs w:val="18"/>
        <w:u w:val="none" w:color="000000"/>
        <w:bdr w:val="none" w:sz="0" w:space="0" w:color="auto"/>
        <w:shd w:val="clear" w:color="auto" w:fill="auto"/>
        <w:vertAlign w:val="baseline"/>
      </w:rPr>
    </w:lvl>
    <w:lvl w:ilvl="7" w:tplc="39A0256E">
      <w:start w:val="1"/>
      <w:numFmt w:val="lowerLetter"/>
      <w:lvlText w:val="%8"/>
      <w:lvlJc w:val="left"/>
      <w:pPr>
        <w:ind w:left="6841"/>
      </w:pPr>
      <w:rPr>
        <w:rFonts w:ascii="Century Gothic" w:eastAsia="Century Gothic" w:hAnsi="Century Gothic" w:cs="Century Gothic"/>
        <w:b w:val="0"/>
        <w:i w:val="0"/>
        <w:strike w:val="0"/>
        <w:dstrike w:val="0"/>
        <w:color w:val="1A5490"/>
        <w:sz w:val="18"/>
        <w:szCs w:val="18"/>
        <w:u w:val="none" w:color="000000"/>
        <w:bdr w:val="none" w:sz="0" w:space="0" w:color="auto"/>
        <w:shd w:val="clear" w:color="auto" w:fill="auto"/>
        <w:vertAlign w:val="baseline"/>
      </w:rPr>
    </w:lvl>
    <w:lvl w:ilvl="8" w:tplc="71D0B0C6">
      <w:start w:val="1"/>
      <w:numFmt w:val="lowerRoman"/>
      <w:lvlText w:val="%9"/>
      <w:lvlJc w:val="left"/>
      <w:pPr>
        <w:ind w:left="7561"/>
      </w:pPr>
      <w:rPr>
        <w:rFonts w:ascii="Century Gothic" w:eastAsia="Century Gothic" w:hAnsi="Century Gothic" w:cs="Century Gothic"/>
        <w:b w:val="0"/>
        <w:i w:val="0"/>
        <w:strike w:val="0"/>
        <w:dstrike w:val="0"/>
        <w:color w:val="1A5490"/>
        <w:sz w:val="18"/>
        <w:szCs w:val="18"/>
        <w:u w:val="none" w:color="000000"/>
        <w:bdr w:val="none" w:sz="0" w:space="0" w:color="auto"/>
        <w:shd w:val="clear" w:color="auto" w:fill="auto"/>
        <w:vertAlign w:val="baseline"/>
      </w:rPr>
    </w:lvl>
  </w:abstractNum>
  <w:abstractNum w:abstractNumId="45" w15:restartNumberingAfterBreak="0">
    <w:nsid w:val="4FB107FC"/>
    <w:multiLevelType w:val="multilevel"/>
    <w:tmpl w:val="060A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F21258"/>
    <w:multiLevelType w:val="hybridMultilevel"/>
    <w:tmpl w:val="C7580688"/>
    <w:lvl w:ilvl="0" w:tplc="F4109858">
      <w:start w:val="1"/>
      <w:numFmt w:val="decimal"/>
      <w:lvlText w:val="%1."/>
      <w:lvlJc w:val="left"/>
      <w:pPr>
        <w:ind w:left="1436"/>
      </w:pPr>
      <w:rPr>
        <w:rFonts w:ascii="Century Gothic" w:eastAsia="Century Gothic" w:hAnsi="Century Gothic" w:cs="Century Gothic"/>
        <w:b w:val="0"/>
        <w:i w:val="0"/>
        <w:strike w:val="0"/>
        <w:dstrike w:val="0"/>
        <w:color w:val="7030A0"/>
        <w:sz w:val="18"/>
        <w:szCs w:val="18"/>
        <w:u w:val="none" w:color="000000"/>
        <w:bdr w:val="none" w:sz="0" w:space="0" w:color="auto"/>
        <w:shd w:val="clear" w:color="auto" w:fill="auto"/>
        <w:vertAlign w:val="baseline"/>
      </w:rPr>
    </w:lvl>
    <w:lvl w:ilvl="1" w:tplc="01383EE4">
      <w:start w:val="1"/>
      <w:numFmt w:val="lowerLetter"/>
      <w:lvlText w:val="%2"/>
      <w:lvlJc w:val="left"/>
      <w:pPr>
        <w:ind w:left="2521"/>
      </w:pPr>
      <w:rPr>
        <w:rFonts w:ascii="Century Gothic" w:eastAsia="Century Gothic" w:hAnsi="Century Gothic" w:cs="Century Gothic"/>
        <w:b w:val="0"/>
        <w:i w:val="0"/>
        <w:strike w:val="0"/>
        <w:dstrike w:val="0"/>
        <w:color w:val="7030A0"/>
        <w:sz w:val="18"/>
        <w:szCs w:val="18"/>
        <w:u w:val="none" w:color="000000"/>
        <w:bdr w:val="none" w:sz="0" w:space="0" w:color="auto"/>
        <w:shd w:val="clear" w:color="auto" w:fill="auto"/>
        <w:vertAlign w:val="baseline"/>
      </w:rPr>
    </w:lvl>
    <w:lvl w:ilvl="2" w:tplc="18BAD872">
      <w:start w:val="1"/>
      <w:numFmt w:val="lowerRoman"/>
      <w:lvlText w:val="%3"/>
      <w:lvlJc w:val="left"/>
      <w:pPr>
        <w:ind w:left="3241"/>
      </w:pPr>
      <w:rPr>
        <w:rFonts w:ascii="Century Gothic" w:eastAsia="Century Gothic" w:hAnsi="Century Gothic" w:cs="Century Gothic"/>
        <w:b w:val="0"/>
        <w:i w:val="0"/>
        <w:strike w:val="0"/>
        <w:dstrike w:val="0"/>
        <w:color w:val="7030A0"/>
        <w:sz w:val="18"/>
        <w:szCs w:val="18"/>
        <w:u w:val="none" w:color="000000"/>
        <w:bdr w:val="none" w:sz="0" w:space="0" w:color="auto"/>
        <w:shd w:val="clear" w:color="auto" w:fill="auto"/>
        <w:vertAlign w:val="baseline"/>
      </w:rPr>
    </w:lvl>
    <w:lvl w:ilvl="3" w:tplc="0A3047E8">
      <w:start w:val="1"/>
      <w:numFmt w:val="decimal"/>
      <w:lvlText w:val="%4"/>
      <w:lvlJc w:val="left"/>
      <w:pPr>
        <w:ind w:left="3961"/>
      </w:pPr>
      <w:rPr>
        <w:rFonts w:ascii="Century Gothic" w:eastAsia="Century Gothic" w:hAnsi="Century Gothic" w:cs="Century Gothic"/>
        <w:b w:val="0"/>
        <w:i w:val="0"/>
        <w:strike w:val="0"/>
        <w:dstrike w:val="0"/>
        <w:color w:val="7030A0"/>
        <w:sz w:val="18"/>
        <w:szCs w:val="18"/>
        <w:u w:val="none" w:color="000000"/>
        <w:bdr w:val="none" w:sz="0" w:space="0" w:color="auto"/>
        <w:shd w:val="clear" w:color="auto" w:fill="auto"/>
        <w:vertAlign w:val="baseline"/>
      </w:rPr>
    </w:lvl>
    <w:lvl w:ilvl="4" w:tplc="F8B6FAD2">
      <w:start w:val="1"/>
      <w:numFmt w:val="lowerLetter"/>
      <w:lvlText w:val="%5"/>
      <w:lvlJc w:val="left"/>
      <w:pPr>
        <w:ind w:left="4681"/>
      </w:pPr>
      <w:rPr>
        <w:rFonts w:ascii="Century Gothic" w:eastAsia="Century Gothic" w:hAnsi="Century Gothic" w:cs="Century Gothic"/>
        <w:b w:val="0"/>
        <w:i w:val="0"/>
        <w:strike w:val="0"/>
        <w:dstrike w:val="0"/>
        <w:color w:val="7030A0"/>
        <w:sz w:val="18"/>
        <w:szCs w:val="18"/>
        <w:u w:val="none" w:color="000000"/>
        <w:bdr w:val="none" w:sz="0" w:space="0" w:color="auto"/>
        <w:shd w:val="clear" w:color="auto" w:fill="auto"/>
        <w:vertAlign w:val="baseline"/>
      </w:rPr>
    </w:lvl>
    <w:lvl w:ilvl="5" w:tplc="FE3CEFB4">
      <w:start w:val="1"/>
      <w:numFmt w:val="lowerRoman"/>
      <w:lvlText w:val="%6"/>
      <w:lvlJc w:val="left"/>
      <w:pPr>
        <w:ind w:left="5401"/>
      </w:pPr>
      <w:rPr>
        <w:rFonts w:ascii="Century Gothic" w:eastAsia="Century Gothic" w:hAnsi="Century Gothic" w:cs="Century Gothic"/>
        <w:b w:val="0"/>
        <w:i w:val="0"/>
        <w:strike w:val="0"/>
        <w:dstrike w:val="0"/>
        <w:color w:val="7030A0"/>
        <w:sz w:val="18"/>
        <w:szCs w:val="18"/>
        <w:u w:val="none" w:color="000000"/>
        <w:bdr w:val="none" w:sz="0" w:space="0" w:color="auto"/>
        <w:shd w:val="clear" w:color="auto" w:fill="auto"/>
        <w:vertAlign w:val="baseline"/>
      </w:rPr>
    </w:lvl>
    <w:lvl w:ilvl="6" w:tplc="6C64CA4A">
      <w:start w:val="1"/>
      <w:numFmt w:val="decimal"/>
      <w:lvlText w:val="%7"/>
      <w:lvlJc w:val="left"/>
      <w:pPr>
        <w:ind w:left="6121"/>
      </w:pPr>
      <w:rPr>
        <w:rFonts w:ascii="Century Gothic" w:eastAsia="Century Gothic" w:hAnsi="Century Gothic" w:cs="Century Gothic"/>
        <w:b w:val="0"/>
        <w:i w:val="0"/>
        <w:strike w:val="0"/>
        <w:dstrike w:val="0"/>
        <w:color w:val="7030A0"/>
        <w:sz w:val="18"/>
        <w:szCs w:val="18"/>
        <w:u w:val="none" w:color="000000"/>
        <w:bdr w:val="none" w:sz="0" w:space="0" w:color="auto"/>
        <w:shd w:val="clear" w:color="auto" w:fill="auto"/>
        <w:vertAlign w:val="baseline"/>
      </w:rPr>
    </w:lvl>
    <w:lvl w:ilvl="7" w:tplc="1CB4665C">
      <w:start w:val="1"/>
      <w:numFmt w:val="lowerLetter"/>
      <w:lvlText w:val="%8"/>
      <w:lvlJc w:val="left"/>
      <w:pPr>
        <w:ind w:left="6841"/>
      </w:pPr>
      <w:rPr>
        <w:rFonts w:ascii="Century Gothic" w:eastAsia="Century Gothic" w:hAnsi="Century Gothic" w:cs="Century Gothic"/>
        <w:b w:val="0"/>
        <w:i w:val="0"/>
        <w:strike w:val="0"/>
        <w:dstrike w:val="0"/>
        <w:color w:val="7030A0"/>
        <w:sz w:val="18"/>
        <w:szCs w:val="18"/>
        <w:u w:val="none" w:color="000000"/>
        <w:bdr w:val="none" w:sz="0" w:space="0" w:color="auto"/>
        <w:shd w:val="clear" w:color="auto" w:fill="auto"/>
        <w:vertAlign w:val="baseline"/>
      </w:rPr>
    </w:lvl>
    <w:lvl w:ilvl="8" w:tplc="763EC9D6">
      <w:start w:val="1"/>
      <w:numFmt w:val="lowerRoman"/>
      <w:lvlText w:val="%9"/>
      <w:lvlJc w:val="left"/>
      <w:pPr>
        <w:ind w:left="7561"/>
      </w:pPr>
      <w:rPr>
        <w:rFonts w:ascii="Century Gothic" w:eastAsia="Century Gothic" w:hAnsi="Century Gothic" w:cs="Century Gothic"/>
        <w:b w:val="0"/>
        <w:i w:val="0"/>
        <w:strike w:val="0"/>
        <w:dstrike w:val="0"/>
        <w:color w:val="7030A0"/>
        <w:sz w:val="18"/>
        <w:szCs w:val="18"/>
        <w:u w:val="none" w:color="000000"/>
        <w:bdr w:val="none" w:sz="0" w:space="0" w:color="auto"/>
        <w:shd w:val="clear" w:color="auto" w:fill="auto"/>
        <w:vertAlign w:val="baseline"/>
      </w:rPr>
    </w:lvl>
  </w:abstractNum>
  <w:abstractNum w:abstractNumId="47" w15:restartNumberingAfterBreak="0">
    <w:nsid w:val="51EF1401"/>
    <w:multiLevelType w:val="hybridMultilevel"/>
    <w:tmpl w:val="221854CE"/>
    <w:lvl w:ilvl="0" w:tplc="C7AED430">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F4EA8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A6009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9484C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EAE24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BEA6C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50A6C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A4BFD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001AE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5475544E"/>
    <w:multiLevelType w:val="multilevel"/>
    <w:tmpl w:val="E87E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7238D0"/>
    <w:multiLevelType w:val="hybridMultilevel"/>
    <w:tmpl w:val="AB789832"/>
    <w:lvl w:ilvl="0" w:tplc="2E34CF90">
      <w:start w:val="1"/>
      <w:numFmt w:val="bullet"/>
      <w:lvlText w:val="•"/>
      <w:lvlJc w:val="left"/>
      <w:pPr>
        <w:ind w:left="1436"/>
      </w:pPr>
      <w:rPr>
        <w:rFonts w:ascii="Century Gothic" w:eastAsia="Century Gothic" w:hAnsi="Century Gothic" w:cs="Century Gothic"/>
        <w:b w:val="0"/>
        <w:i w:val="0"/>
        <w:strike w:val="0"/>
        <w:dstrike w:val="0"/>
        <w:color w:val="1A5490"/>
        <w:sz w:val="18"/>
        <w:szCs w:val="18"/>
        <w:u w:val="none" w:color="000000"/>
        <w:bdr w:val="none" w:sz="0" w:space="0" w:color="auto"/>
        <w:shd w:val="clear" w:color="auto" w:fill="auto"/>
        <w:vertAlign w:val="baseline"/>
      </w:rPr>
    </w:lvl>
    <w:lvl w:ilvl="1" w:tplc="86525660">
      <w:start w:val="1"/>
      <w:numFmt w:val="bullet"/>
      <w:lvlText w:val="o"/>
      <w:lvlJc w:val="left"/>
      <w:pPr>
        <w:ind w:left="2521"/>
      </w:pPr>
      <w:rPr>
        <w:rFonts w:ascii="Century Gothic" w:eastAsia="Century Gothic" w:hAnsi="Century Gothic" w:cs="Century Gothic"/>
        <w:b w:val="0"/>
        <w:i w:val="0"/>
        <w:strike w:val="0"/>
        <w:dstrike w:val="0"/>
        <w:color w:val="1A5490"/>
        <w:sz w:val="18"/>
        <w:szCs w:val="18"/>
        <w:u w:val="none" w:color="000000"/>
        <w:bdr w:val="none" w:sz="0" w:space="0" w:color="auto"/>
        <w:shd w:val="clear" w:color="auto" w:fill="auto"/>
        <w:vertAlign w:val="baseline"/>
      </w:rPr>
    </w:lvl>
    <w:lvl w:ilvl="2" w:tplc="35BCC00C">
      <w:start w:val="1"/>
      <w:numFmt w:val="bullet"/>
      <w:lvlText w:val="▪"/>
      <w:lvlJc w:val="left"/>
      <w:pPr>
        <w:ind w:left="3241"/>
      </w:pPr>
      <w:rPr>
        <w:rFonts w:ascii="Century Gothic" w:eastAsia="Century Gothic" w:hAnsi="Century Gothic" w:cs="Century Gothic"/>
        <w:b w:val="0"/>
        <w:i w:val="0"/>
        <w:strike w:val="0"/>
        <w:dstrike w:val="0"/>
        <w:color w:val="1A5490"/>
        <w:sz w:val="18"/>
        <w:szCs w:val="18"/>
        <w:u w:val="none" w:color="000000"/>
        <w:bdr w:val="none" w:sz="0" w:space="0" w:color="auto"/>
        <w:shd w:val="clear" w:color="auto" w:fill="auto"/>
        <w:vertAlign w:val="baseline"/>
      </w:rPr>
    </w:lvl>
    <w:lvl w:ilvl="3" w:tplc="0EE24A56">
      <w:start w:val="1"/>
      <w:numFmt w:val="bullet"/>
      <w:lvlText w:val="•"/>
      <w:lvlJc w:val="left"/>
      <w:pPr>
        <w:ind w:left="3961"/>
      </w:pPr>
      <w:rPr>
        <w:rFonts w:ascii="Century Gothic" w:eastAsia="Century Gothic" w:hAnsi="Century Gothic" w:cs="Century Gothic"/>
        <w:b w:val="0"/>
        <w:i w:val="0"/>
        <w:strike w:val="0"/>
        <w:dstrike w:val="0"/>
        <w:color w:val="1A5490"/>
        <w:sz w:val="18"/>
        <w:szCs w:val="18"/>
        <w:u w:val="none" w:color="000000"/>
        <w:bdr w:val="none" w:sz="0" w:space="0" w:color="auto"/>
        <w:shd w:val="clear" w:color="auto" w:fill="auto"/>
        <w:vertAlign w:val="baseline"/>
      </w:rPr>
    </w:lvl>
    <w:lvl w:ilvl="4" w:tplc="27BE2E26">
      <w:start w:val="1"/>
      <w:numFmt w:val="bullet"/>
      <w:lvlText w:val="o"/>
      <w:lvlJc w:val="left"/>
      <w:pPr>
        <w:ind w:left="4681"/>
      </w:pPr>
      <w:rPr>
        <w:rFonts w:ascii="Century Gothic" w:eastAsia="Century Gothic" w:hAnsi="Century Gothic" w:cs="Century Gothic"/>
        <w:b w:val="0"/>
        <w:i w:val="0"/>
        <w:strike w:val="0"/>
        <w:dstrike w:val="0"/>
        <w:color w:val="1A5490"/>
        <w:sz w:val="18"/>
        <w:szCs w:val="18"/>
        <w:u w:val="none" w:color="000000"/>
        <w:bdr w:val="none" w:sz="0" w:space="0" w:color="auto"/>
        <w:shd w:val="clear" w:color="auto" w:fill="auto"/>
        <w:vertAlign w:val="baseline"/>
      </w:rPr>
    </w:lvl>
    <w:lvl w:ilvl="5" w:tplc="EBDE28B8">
      <w:start w:val="1"/>
      <w:numFmt w:val="bullet"/>
      <w:lvlText w:val="▪"/>
      <w:lvlJc w:val="left"/>
      <w:pPr>
        <w:ind w:left="5401"/>
      </w:pPr>
      <w:rPr>
        <w:rFonts w:ascii="Century Gothic" w:eastAsia="Century Gothic" w:hAnsi="Century Gothic" w:cs="Century Gothic"/>
        <w:b w:val="0"/>
        <w:i w:val="0"/>
        <w:strike w:val="0"/>
        <w:dstrike w:val="0"/>
        <w:color w:val="1A5490"/>
        <w:sz w:val="18"/>
        <w:szCs w:val="18"/>
        <w:u w:val="none" w:color="000000"/>
        <w:bdr w:val="none" w:sz="0" w:space="0" w:color="auto"/>
        <w:shd w:val="clear" w:color="auto" w:fill="auto"/>
        <w:vertAlign w:val="baseline"/>
      </w:rPr>
    </w:lvl>
    <w:lvl w:ilvl="6" w:tplc="9DF8DDC8">
      <w:start w:val="1"/>
      <w:numFmt w:val="bullet"/>
      <w:lvlText w:val="•"/>
      <w:lvlJc w:val="left"/>
      <w:pPr>
        <w:ind w:left="6121"/>
      </w:pPr>
      <w:rPr>
        <w:rFonts w:ascii="Century Gothic" w:eastAsia="Century Gothic" w:hAnsi="Century Gothic" w:cs="Century Gothic"/>
        <w:b w:val="0"/>
        <w:i w:val="0"/>
        <w:strike w:val="0"/>
        <w:dstrike w:val="0"/>
        <w:color w:val="1A5490"/>
        <w:sz w:val="18"/>
        <w:szCs w:val="18"/>
        <w:u w:val="none" w:color="000000"/>
        <w:bdr w:val="none" w:sz="0" w:space="0" w:color="auto"/>
        <w:shd w:val="clear" w:color="auto" w:fill="auto"/>
        <w:vertAlign w:val="baseline"/>
      </w:rPr>
    </w:lvl>
    <w:lvl w:ilvl="7" w:tplc="BCFA5158">
      <w:start w:val="1"/>
      <w:numFmt w:val="bullet"/>
      <w:lvlText w:val="o"/>
      <w:lvlJc w:val="left"/>
      <w:pPr>
        <w:ind w:left="6841"/>
      </w:pPr>
      <w:rPr>
        <w:rFonts w:ascii="Century Gothic" w:eastAsia="Century Gothic" w:hAnsi="Century Gothic" w:cs="Century Gothic"/>
        <w:b w:val="0"/>
        <w:i w:val="0"/>
        <w:strike w:val="0"/>
        <w:dstrike w:val="0"/>
        <w:color w:val="1A5490"/>
        <w:sz w:val="18"/>
        <w:szCs w:val="18"/>
        <w:u w:val="none" w:color="000000"/>
        <w:bdr w:val="none" w:sz="0" w:space="0" w:color="auto"/>
        <w:shd w:val="clear" w:color="auto" w:fill="auto"/>
        <w:vertAlign w:val="baseline"/>
      </w:rPr>
    </w:lvl>
    <w:lvl w:ilvl="8" w:tplc="FDAEAC3A">
      <w:start w:val="1"/>
      <w:numFmt w:val="bullet"/>
      <w:lvlText w:val="▪"/>
      <w:lvlJc w:val="left"/>
      <w:pPr>
        <w:ind w:left="7561"/>
      </w:pPr>
      <w:rPr>
        <w:rFonts w:ascii="Century Gothic" w:eastAsia="Century Gothic" w:hAnsi="Century Gothic" w:cs="Century Gothic"/>
        <w:b w:val="0"/>
        <w:i w:val="0"/>
        <w:strike w:val="0"/>
        <w:dstrike w:val="0"/>
        <w:color w:val="1A5490"/>
        <w:sz w:val="18"/>
        <w:szCs w:val="18"/>
        <w:u w:val="none" w:color="000000"/>
        <w:bdr w:val="none" w:sz="0" w:space="0" w:color="auto"/>
        <w:shd w:val="clear" w:color="auto" w:fill="auto"/>
        <w:vertAlign w:val="baseline"/>
      </w:rPr>
    </w:lvl>
  </w:abstractNum>
  <w:abstractNum w:abstractNumId="50" w15:restartNumberingAfterBreak="0">
    <w:nsid w:val="57A75B4C"/>
    <w:multiLevelType w:val="multilevel"/>
    <w:tmpl w:val="89FC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B56E82"/>
    <w:multiLevelType w:val="multilevel"/>
    <w:tmpl w:val="7B66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B50D66"/>
    <w:multiLevelType w:val="multilevel"/>
    <w:tmpl w:val="8E9A4A42"/>
    <w:lvl w:ilvl="0">
      <w:start w:val="1"/>
      <w:numFmt w:val="decimal"/>
      <w:pStyle w:val="Titre1"/>
      <w:lvlText w:val="%1."/>
      <w:lvlJc w:val="left"/>
      <w:pPr>
        <w:ind w:left="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start w:val="1"/>
      <w:numFmt w:val="decimal"/>
      <w:pStyle w:val="Titre2"/>
      <w:lvlText w:val="%1.%2."/>
      <w:lvlJc w:val="left"/>
      <w:pPr>
        <w:ind w:left="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start w:val="1"/>
      <w:numFmt w:val="decimal"/>
      <w:pStyle w:val="Titre3"/>
      <w:lvlText w:val="%1.%2.%3."/>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5E1E7D21"/>
    <w:multiLevelType w:val="multilevel"/>
    <w:tmpl w:val="796A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5D049D"/>
    <w:multiLevelType w:val="hybridMultilevel"/>
    <w:tmpl w:val="47BE9F0E"/>
    <w:lvl w:ilvl="0" w:tplc="8E6E97B2">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1A7C9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B835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A0436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603C1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3AEFB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5AFBA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7A5BE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6CC5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63365202"/>
    <w:multiLevelType w:val="multilevel"/>
    <w:tmpl w:val="CBE6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F531FE"/>
    <w:multiLevelType w:val="multilevel"/>
    <w:tmpl w:val="4D54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D70CF9"/>
    <w:multiLevelType w:val="hybridMultilevel"/>
    <w:tmpl w:val="B7B2DFA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6F561361"/>
    <w:multiLevelType w:val="multilevel"/>
    <w:tmpl w:val="4A28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192E27"/>
    <w:multiLevelType w:val="hybridMultilevel"/>
    <w:tmpl w:val="74E0265C"/>
    <w:lvl w:ilvl="0" w:tplc="0ECC135C">
      <w:start w:val="2"/>
      <w:numFmt w:val="decimal"/>
      <w:lvlText w:val="%1."/>
      <w:lvlJc w:val="left"/>
      <w:pPr>
        <w:ind w:left="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E23A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7CBC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D26F6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E6725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BEC27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087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F6DD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CCFB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75C30B5A"/>
    <w:multiLevelType w:val="multilevel"/>
    <w:tmpl w:val="5ABA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AC41AA"/>
    <w:multiLevelType w:val="multilevel"/>
    <w:tmpl w:val="D390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DA2545"/>
    <w:multiLevelType w:val="multilevel"/>
    <w:tmpl w:val="1C94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321302"/>
    <w:multiLevelType w:val="multilevel"/>
    <w:tmpl w:val="D400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7002E7"/>
    <w:multiLevelType w:val="multilevel"/>
    <w:tmpl w:val="EE16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E33F79"/>
    <w:multiLevelType w:val="multilevel"/>
    <w:tmpl w:val="78B8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A71416"/>
    <w:multiLevelType w:val="multilevel"/>
    <w:tmpl w:val="81F0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804594">
    <w:abstractNumId w:val="15"/>
  </w:num>
  <w:num w:numId="2" w16cid:durableId="1449160980">
    <w:abstractNumId w:val="1"/>
  </w:num>
  <w:num w:numId="3" w16cid:durableId="1180125923">
    <w:abstractNumId w:val="49"/>
  </w:num>
  <w:num w:numId="4" w16cid:durableId="996618468">
    <w:abstractNumId w:val="23"/>
  </w:num>
  <w:num w:numId="5" w16cid:durableId="2019648758">
    <w:abstractNumId w:val="46"/>
  </w:num>
  <w:num w:numId="6" w16cid:durableId="1191264484">
    <w:abstractNumId w:val="44"/>
  </w:num>
  <w:num w:numId="7" w16cid:durableId="478964773">
    <w:abstractNumId w:val="21"/>
  </w:num>
  <w:num w:numId="8" w16cid:durableId="2067945041">
    <w:abstractNumId w:val="37"/>
  </w:num>
  <w:num w:numId="9" w16cid:durableId="314073903">
    <w:abstractNumId w:val="54"/>
  </w:num>
  <w:num w:numId="10" w16cid:durableId="896821143">
    <w:abstractNumId w:val="29"/>
  </w:num>
  <w:num w:numId="11" w16cid:durableId="303894966">
    <w:abstractNumId w:val="47"/>
  </w:num>
  <w:num w:numId="12" w16cid:durableId="467824431">
    <w:abstractNumId w:val="6"/>
  </w:num>
  <w:num w:numId="13" w16cid:durableId="1117216014">
    <w:abstractNumId w:val="20"/>
  </w:num>
  <w:num w:numId="14" w16cid:durableId="753629191">
    <w:abstractNumId w:val="59"/>
  </w:num>
  <w:num w:numId="15" w16cid:durableId="643316377">
    <w:abstractNumId w:val="19"/>
  </w:num>
  <w:num w:numId="16" w16cid:durableId="1709258125">
    <w:abstractNumId w:val="3"/>
  </w:num>
  <w:num w:numId="17" w16cid:durableId="672493196">
    <w:abstractNumId w:val="52"/>
  </w:num>
  <w:num w:numId="18" w16cid:durableId="590550340">
    <w:abstractNumId w:val="11"/>
  </w:num>
  <w:num w:numId="19" w16cid:durableId="682361358">
    <w:abstractNumId w:val="14"/>
  </w:num>
  <w:num w:numId="20" w16cid:durableId="873007058">
    <w:abstractNumId w:val="17"/>
  </w:num>
  <w:num w:numId="21" w16cid:durableId="13381730">
    <w:abstractNumId w:val="38"/>
  </w:num>
  <w:num w:numId="22" w16cid:durableId="1342465580">
    <w:abstractNumId w:val="35"/>
  </w:num>
  <w:num w:numId="23" w16cid:durableId="2111004781">
    <w:abstractNumId w:val="5"/>
  </w:num>
  <w:num w:numId="24" w16cid:durableId="1687748963">
    <w:abstractNumId w:val="9"/>
  </w:num>
  <w:num w:numId="25" w16cid:durableId="607468282">
    <w:abstractNumId w:val="34"/>
  </w:num>
  <w:num w:numId="26" w16cid:durableId="1557013669">
    <w:abstractNumId w:val="64"/>
  </w:num>
  <w:num w:numId="27" w16cid:durableId="1771512466">
    <w:abstractNumId w:val="57"/>
  </w:num>
  <w:num w:numId="28" w16cid:durableId="1450203630">
    <w:abstractNumId w:val="0"/>
  </w:num>
  <w:num w:numId="29" w16cid:durableId="1845703586">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24331315">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56536915">
    <w:abstractNumId w:val="66"/>
  </w:num>
  <w:num w:numId="32" w16cid:durableId="238830997">
    <w:abstractNumId w:val="33"/>
  </w:num>
  <w:num w:numId="33" w16cid:durableId="326370836">
    <w:abstractNumId w:val="10"/>
  </w:num>
  <w:num w:numId="34" w16cid:durableId="1092701511">
    <w:abstractNumId w:val="58"/>
  </w:num>
  <w:num w:numId="35" w16cid:durableId="2034379139">
    <w:abstractNumId w:val="56"/>
  </w:num>
  <w:num w:numId="36" w16cid:durableId="1934391161">
    <w:abstractNumId w:val="26"/>
  </w:num>
  <w:num w:numId="37" w16cid:durableId="740448216">
    <w:abstractNumId w:val="31"/>
  </w:num>
  <w:num w:numId="38" w16cid:durableId="1336149747">
    <w:abstractNumId w:val="45"/>
  </w:num>
  <w:num w:numId="39" w16cid:durableId="1553925977">
    <w:abstractNumId w:val="39"/>
  </w:num>
  <w:num w:numId="40" w16cid:durableId="961880587">
    <w:abstractNumId w:val="16"/>
  </w:num>
  <w:num w:numId="41" w16cid:durableId="1706100570">
    <w:abstractNumId w:val="24"/>
  </w:num>
  <w:num w:numId="42" w16cid:durableId="101265957">
    <w:abstractNumId w:val="27"/>
  </w:num>
  <w:num w:numId="43" w16cid:durableId="1458528940">
    <w:abstractNumId w:val="61"/>
  </w:num>
  <w:num w:numId="44" w16cid:durableId="328217490">
    <w:abstractNumId w:val="25"/>
  </w:num>
  <w:num w:numId="45" w16cid:durableId="2023047426">
    <w:abstractNumId w:val="30"/>
  </w:num>
  <w:num w:numId="46" w16cid:durableId="1745488636">
    <w:abstractNumId w:val="51"/>
  </w:num>
  <w:num w:numId="47" w16cid:durableId="1715538703">
    <w:abstractNumId w:val="8"/>
  </w:num>
  <w:num w:numId="48" w16cid:durableId="1202396814">
    <w:abstractNumId w:val="41"/>
  </w:num>
  <w:num w:numId="49" w16cid:durableId="2012174001">
    <w:abstractNumId w:val="60"/>
  </w:num>
  <w:num w:numId="50" w16cid:durableId="1886602537">
    <w:abstractNumId w:val="7"/>
  </w:num>
  <w:num w:numId="51" w16cid:durableId="1616789687">
    <w:abstractNumId w:val="50"/>
  </w:num>
  <w:num w:numId="52" w16cid:durableId="1316569645">
    <w:abstractNumId w:val="62"/>
  </w:num>
  <w:num w:numId="53" w16cid:durableId="1083258499">
    <w:abstractNumId w:val="65"/>
  </w:num>
  <w:num w:numId="54" w16cid:durableId="876352066">
    <w:abstractNumId w:val="4"/>
  </w:num>
  <w:num w:numId="55" w16cid:durableId="1759517806">
    <w:abstractNumId w:val="22"/>
  </w:num>
  <w:num w:numId="56" w16cid:durableId="810056063">
    <w:abstractNumId w:val="28"/>
  </w:num>
  <w:num w:numId="57" w16cid:durableId="1172717989">
    <w:abstractNumId w:val="53"/>
  </w:num>
  <w:num w:numId="58" w16cid:durableId="2040426317">
    <w:abstractNumId w:val="2"/>
  </w:num>
  <w:num w:numId="59" w16cid:durableId="1012151528">
    <w:abstractNumId w:val="12"/>
  </w:num>
  <w:num w:numId="60" w16cid:durableId="817966048">
    <w:abstractNumId w:val="48"/>
  </w:num>
  <w:num w:numId="61" w16cid:durableId="1250963980">
    <w:abstractNumId w:val="42"/>
  </w:num>
  <w:num w:numId="62" w16cid:durableId="1192918559">
    <w:abstractNumId w:val="32"/>
  </w:num>
  <w:num w:numId="63" w16cid:durableId="1812208245">
    <w:abstractNumId w:val="40"/>
  </w:num>
  <w:num w:numId="64" w16cid:durableId="867334537">
    <w:abstractNumId w:val="13"/>
  </w:num>
  <w:num w:numId="65" w16cid:durableId="693308667">
    <w:abstractNumId w:val="43"/>
  </w:num>
  <w:num w:numId="66" w16cid:durableId="250286721">
    <w:abstractNumId w:val="55"/>
  </w:num>
  <w:num w:numId="67" w16cid:durableId="1190795204">
    <w:abstractNumId w:val="18"/>
  </w:num>
  <w:num w:numId="68" w16cid:durableId="750665893">
    <w:abstractNumId w:val="63"/>
  </w:num>
  <w:num w:numId="69" w16cid:durableId="72622575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274"/>
    <w:rsid w:val="00014355"/>
    <w:rsid w:val="00035065"/>
    <w:rsid w:val="00047AE1"/>
    <w:rsid w:val="0006416F"/>
    <w:rsid w:val="00064DC4"/>
    <w:rsid w:val="000A075C"/>
    <w:rsid w:val="000F7E02"/>
    <w:rsid w:val="00105EEC"/>
    <w:rsid w:val="00112473"/>
    <w:rsid w:val="00121274"/>
    <w:rsid w:val="00121585"/>
    <w:rsid w:val="00145983"/>
    <w:rsid w:val="001A0B56"/>
    <w:rsid w:val="001C1ECB"/>
    <w:rsid w:val="001D624B"/>
    <w:rsid w:val="001E7656"/>
    <w:rsid w:val="0021431F"/>
    <w:rsid w:val="00236003"/>
    <w:rsid w:val="002434EB"/>
    <w:rsid w:val="00246775"/>
    <w:rsid w:val="00270522"/>
    <w:rsid w:val="002E4918"/>
    <w:rsid w:val="002E706D"/>
    <w:rsid w:val="0030262D"/>
    <w:rsid w:val="00311F50"/>
    <w:rsid w:val="0035745F"/>
    <w:rsid w:val="00376757"/>
    <w:rsid w:val="003957C3"/>
    <w:rsid w:val="003F5132"/>
    <w:rsid w:val="004137C7"/>
    <w:rsid w:val="0043730C"/>
    <w:rsid w:val="004B4909"/>
    <w:rsid w:val="004B5C14"/>
    <w:rsid w:val="004F72F0"/>
    <w:rsid w:val="00507032"/>
    <w:rsid w:val="00536E14"/>
    <w:rsid w:val="00555501"/>
    <w:rsid w:val="00567E79"/>
    <w:rsid w:val="00580DE8"/>
    <w:rsid w:val="00585717"/>
    <w:rsid w:val="005A5C5A"/>
    <w:rsid w:val="005B373C"/>
    <w:rsid w:val="005B7B07"/>
    <w:rsid w:val="0060104C"/>
    <w:rsid w:val="00647A77"/>
    <w:rsid w:val="006553B5"/>
    <w:rsid w:val="006576CC"/>
    <w:rsid w:val="006938A2"/>
    <w:rsid w:val="006F24DF"/>
    <w:rsid w:val="00731603"/>
    <w:rsid w:val="00771402"/>
    <w:rsid w:val="007908F6"/>
    <w:rsid w:val="0079318A"/>
    <w:rsid w:val="00823B4F"/>
    <w:rsid w:val="008A30FF"/>
    <w:rsid w:val="008D4C41"/>
    <w:rsid w:val="008E0510"/>
    <w:rsid w:val="00913ACD"/>
    <w:rsid w:val="00920739"/>
    <w:rsid w:val="00925035"/>
    <w:rsid w:val="00927021"/>
    <w:rsid w:val="00940EF8"/>
    <w:rsid w:val="00971218"/>
    <w:rsid w:val="00986193"/>
    <w:rsid w:val="00A112C6"/>
    <w:rsid w:val="00A37B03"/>
    <w:rsid w:val="00A642F2"/>
    <w:rsid w:val="00A71389"/>
    <w:rsid w:val="00AE0DFC"/>
    <w:rsid w:val="00AE1459"/>
    <w:rsid w:val="00B02C2F"/>
    <w:rsid w:val="00B205AB"/>
    <w:rsid w:val="00B2261A"/>
    <w:rsid w:val="00B605EF"/>
    <w:rsid w:val="00B724CB"/>
    <w:rsid w:val="00B74173"/>
    <w:rsid w:val="00B864F7"/>
    <w:rsid w:val="00BD2BDB"/>
    <w:rsid w:val="00BF1514"/>
    <w:rsid w:val="00C36F5C"/>
    <w:rsid w:val="00C434F8"/>
    <w:rsid w:val="00C72285"/>
    <w:rsid w:val="00CD1CA8"/>
    <w:rsid w:val="00CD3FE6"/>
    <w:rsid w:val="00CF00A2"/>
    <w:rsid w:val="00D3421E"/>
    <w:rsid w:val="00D377A1"/>
    <w:rsid w:val="00D83E4F"/>
    <w:rsid w:val="00D87044"/>
    <w:rsid w:val="00D92F25"/>
    <w:rsid w:val="00DA43E4"/>
    <w:rsid w:val="00DA7648"/>
    <w:rsid w:val="00DB64A2"/>
    <w:rsid w:val="00DE25CB"/>
    <w:rsid w:val="00DE27DC"/>
    <w:rsid w:val="00E1262C"/>
    <w:rsid w:val="00E45F7E"/>
    <w:rsid w:val="00E854FE"/>
    <w:rsid w:val="00E930B3"/>
    <w:rsid w:val="00EF592E"/>
    <w:rsid w:val="00EF78CD"/>
    <w:rsid w:val="00F056C6"/>
    <w:rsid w:val="00FA16F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6CDB5"/>
  <w15:docId w15:val="{E74EA805-26D1-42BF-8E5B-E90FFE673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69" w:lineRule="auto"/>
      <w:ind w:left="10" w:right="37" w:hanging="10"/>
      <w:jc w:val="both"/>
    </w:pPr>
    <w:rPr>
      <w:rFonts w:ascii="Times New Roman" w:eastAsia="Times New Roman" w:hAnsi="Times New Roman" w:cs="Times New Roman"/>
      <w:color w:val="000000"/>
    </w:rPr>
  </w:style>
  <w:style w:type="paragraph" w:styleId="Titre1">
    <w:name w:val="heading 1"/>
    <w:next w:val="Normal"/>
    <w:link w:val="Titre1Car"/>
    <w:uiPriority w:val="9"/>
    <w:qFormat/>
    <w:pPr>
      <w:keepNext/>
      <w:keepLines/>
      <w:numPr>
        <w:numId w:val="17"/>
      </w:numPr>
      <w:spacing w:after="192" w:line="259" w:lineRule="auto"/>
      <w:ind w:left="10" w:hanging="10"/>
      <w:outlineLvl w:val="0"/>
    </w:pPr>
    <w:rPr>
      <w:rFonts w:ascii="Calibri" w:eastAsia="Calibri" w:hAnsi="Calibri" w:cs="Calibri"/>
      <w:b/>
      <w:color w:val="000000"/>
      <w:sz w:val="32"/>
    </w:rPr>
  </w:style>
  <w:style w:type="paragraph" w:styleId="Titre2">
    <w:name w:val="heading 2"/>
    <w:next w:val="Normal"/>
    <w:link w:val="Titre2Car"/>
    <w:uiPriority w:val="9"/>
    <w:unhideWhenUsed/>
    <w:qFormat/>
    <w:pPr>
      <w:keepNext/>
      <w:keepLines/>
      <w:numPr>
        <w:ilvl w:val="1"/>
        <w:numId w:val="17"/>
      </w:numPr>
      <w:spacing w:after="4" w:line="259" w:lineRule="auto"/>
      <w:ind w:left="10" w:hanging="10"/>
      <w:outlineLvl w:val="1"/>
    </w:pPr>
    <w:rPr>
      <w:rFonts w:ascii="Calibri" w:eastAsia="Calibri" w:hAnsi="Calibri" w:cs="Calibri"/>
      <w:b/>
      <w:color w:val="000000"/>
      <w:sz w:val="28"/>
    </w:rPr>
  </w:style>
  <w:style w:type="paragraph" w:styleId="Titre3">
    <w:name w:val="heading 3"/>
    <w:next w:val="Normal"/>
    <w:link w:val="Titre3Car"/>
    <w:uiPriority w:val="9"/>
    <w:unhideWhenUsed/>
    <w:qFormat/>
    <w:pPr>
      <w:keepNext/>
      <w:keepLines/>
      <w:numPr>
        <w:ilvl w:val="2"/>
        <w:numId w:val="17"/>
      </w:numPr>
      <w:spacing w:after="18" w:line="259" w:lineRule="auto"/>
      <w:ind w:left="10" w:hanging="10"/>
      <w:outlineLvl w:val="2"/>
    </w:pPr>
    <w:rPr>
      <w:rFonts w:ascii="Calibri" w:eastAsia="Calibri" w:hAnsi="Calibri" w:cs="Calibri"/>
      <w:b/>
      <w:color w:val="000000"/>
    </w:rPr>
  </w:style>
  <w:style w:type="paragraph" w:styleId="Titre4">
    <w:name w:val="heading 4"/>
    <w:basedOn w:val="Normal"/>
    <w:next w:val="Normal"/>
    <w:link w:val="Titre4Car"/>
    <w:uiPriority w:val="9"/>
    <w:semiHidden/>
    <w:unhideWhenUsed/>
    <w:qFormat/>
    <w:rsid w:val="00047AE1"/>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rPr>
      <w:rFonts w:ascii="Calibri" w:eastAsia="Calibri" w:hAnsi="Calibri" w:cs="Calibri"/>
      <w:b/>
      <w:color w:val="000000"/>
      <w:sz w:val="24"/>
    </w:rPr>
  </w:style>
  <w:style w:type="character" w:customStyle="1" w:styleId="Titre2Car">
    <w:name w:val="Titre 2 Car"/>
    <w:link w:val="Titre2"/>
    <w:rPr>
      <w:rFonts w:ascii="Calibri" w:eastAsia="Calibri" w:hAnsi="Calibri" w:cs="Calibri"/>
      <w:b/>
      <w:color w:val="000000"/>
      <w:sz w:val="28"/>
    </w:rPr>
  </w:style>
  <w:style w:type="character" w:customStyle="1" w:styleId="Titre1Car">
    <w:name w:val="Titre 1 Car"/>
    <w:link w:val="Titre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2434EB"/>
    <w:pPr>
      <w:ind w:left="720"/>
      <w:contextualSpacing/>
    </w:pPr>
  </w:style>
  <w:style w:type="paragraph" w:styleId="NormalWeb">
    <w:name w:val="Normal (Web)"/>
    <w:basedOn w:val="Normal"/>
    <w:uiPriority w:val="99"/>
    <w:semiHidden/>
    <w:unhideWhenUsed/>
    <w:rsid w:val="001C1ECB"/>
    <w:pPr>
      <w:spacing w:before="100" w:beforeAutospacing="1" w:after="100" w:afterAutospacing="1" w:line="240" w:lineRule="auto"/>
      <w:ind w:left="0" w:right="0" w:firstLine="0"/>
      <w:jc w:val="left"/>
    </w:pPr>
    <w:rPr>
      <w:color w:val="auto"/>
      <w:kern w:val="0"/>
      <w14:ligatures w14:val="none"/>
    </w:rPr>
  </w:style>
  <w:style w:type="character" w:styleId="CodeHTML">
    <w:name w:val="HTML Code"/>
    <w:basedOn w:val="Policepardfaut"/>
    <w:uiPriority w:val="99"/>
    <w:semiHidden/>
    <w:unhideWhenUsed/>
    <w:rsid w:val="001C1ECB"/>
    <w:rPr>
      <w:rFonts w:ascii="Courier New" w:eastAsia="Times New Roman" w:hAnsi="Courier New" w:cs="Courier New"/>
      <w:sz w:val="20"/>
      <w:szCs w:val="20"/>
    </w:rPr>
  </w:style>
  <w:style w:type="character" w:customStyle="1" w:styleId="Titre4Car">
    <w:name w:val="Titre 4 Car"/>
    <w:basedOn w:val="Policepardfaut"/>
    <w:link w:val="Titre4"/>
    <w:uiPriority w:val="9"/>
    <w:semiHidden/>
    <w:rsid w:val="00047AE1"/>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20.jpg"/><Relationship Id="rId24" Type="http://schemas.openxmlformats.org/officeDocument/2006/relationships/image" Target="media/image16.png"/><Relationship Id="rId32" Type="http://schemas.openxmlformats.org/officeDocument/2006/relationships/image" Target="media/image25.jp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1.jpg"/><Relationship Id="rId10" Type="http://schemas.openxmlformats.org/officeDocument/2006/relationships/image" Target="media/image11.jpg"/><Relationship Id="rId19" Type="http://schemas.openxmlformats.org/officeDocument/2006/relationships/image" Target="media/image11.pn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0.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image" Target="media/image23.jpg"/><Relationship Id="rId8" Type="http://schemas.openxmlformats.org/officeDocument/2006/relationships/image" Target="media/image3.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5531C7-E333-42E4-9B67-0DE8BAB89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853</TotalTime>
  <Pages>33</Pages>
  <Words>10417</Words>
  <Characters>57295</Characters>
  <Application>Microsoft Office Word</Application>
  <DocSecurity>0</DocSecurity>
  <Lines>477</Lines>
  <Paragraphs>135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Brahim El Bouhali</cp:lastModifiedBy>
  <cp:revision>59</cp:revision>
  <cp:lastPrinted>2025-12-08T10:59:00Z</cp:lastPrinted>
  <dcterms:created xsi:type="dcterms:W3CDTF">2025-12-08T10:59:00Z</dcterms:created>
  <dcterms:modified xsi:type="dcterms:W3CDTF">2025-12-13T12:55:00Z</dcterms:modified>
</cp:coreProperties>
</file>