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Miscellaneous Administrative Policies</w:t>
      </w:r>
    </w:p>
    <w:p>
      <w:pPr>
        <w:pStyle w:val="Heading1"/>
      </w:pPr>
      <w:r>
        <w:t xml:space="preserve">Scheduling and Rescheduling Makeup Exams</w:t>
      </w:r>
    </w:p>
    <w:p>
      <w:r>
        <w:t xml:space="preserve">Makeup exams run in the tutorial block (Tuesday/Thursday, 3:15-4:15 PM) in Room 214.</w:t>
      </w:r>
    </w:p>
    <w:p>
      <w:r>
        <w:t xml:space="preserve">A booked makeup can be moved once, and only for a documented conflict with another scheduled school activity — a rescheduled lab, an athletics fixture, a counselling appointment.</w:t>
      </w:r>
    </w:p>
    <w:p>
      <w:r>
        <w:t xml:space="preserve">A student who misses a booked makeup without notice takes the alternate version, which is graded but capped at 90%.</w:t>
      </w:r>
    </w:p>
    <w:p>
      <w:r>
        <w:t xml:space="preserve">Always confirm a moved slot with the student in writing so there's a record of the new time.</w:t>
      </w:r>
    </w:p>
    <w:p>
      <w:pPr>
        <w:pStyle w:val="Heading1"/>
      </w:pPr>
      <w:r>
        <w:t xml:space="preserve">Parent-Teacher Conferences and Meeting Requests</w:t>
      </w:r>
    </w:p>
    <w:p>
      <w:r>
        <w:t xml:space="preserve">Parent-teacher conferences are booked through the school's online scheduler, in 15-minute slots.</w:t>
      </w:r>
    </w:p>
    <w:p>
      <w:r>
        <w:t xml:space="preserve">Outside the formal conference window a teacher may offer any free period or after-school slot directly.</w:t>
      </w:r>
    </w:p>
    <w:p>
      <w:r>
        <w:t xml:space="preserve">For meetings about a disputed grade, department policy is to bring the marked work and the rubric, and to invite the department head if the parent has already escalated once.</w:t>
      </w:r>
    </w:p>
    <w:p>
      <w:r>
        <w:t xml:space="preserve">Do not discuss another student's grade or performance in a conference, even comparatively.</w:t>
      </w:r>
    </w:p>
    <w:p>
      <w:pPr>
        <w:pStyle w:val="Heading1"/>
      </w:pPr>
      <w:r>
        <w:t xml:space="preserve">Permitted Calculators for Tests and Exams</w:t>
      </w:r>
    </w:p>
    <w:p>
      <w:r>
        <w:t xml:space="preserve">Grade 11 and 12 assessments permit any non-CAS graphing calculator — the TI-84 Plus family and the Casio fx-9750 series are the models the department supports and can lend.</w:t>
      </w:r>
    </w:p>
    <w:p>
      <w:r>
        <w:t xml:space="preserve">CAS-capable models (TI-Nspire CAS, TI-89, Casio ClassPad) are not permitted on any assessment, since they return symbolic derivatives and integrals directly.</w:t>
      </w:r>
    </w:p>
    <w:p>
      <w:r>
        <w:t xml:space="preserve">Phones are never permitted as calculators. The department has a small loaner set; families should not feel obliged to buy one.</w:t>
      </w:r>
    </w:p>
    <w:p>
      <w:pPr>
        <w:pStyle w:val="Heading1"/>
      </w:pPr>
      <w:r>
        <w:t xml:space="preserve">Substitute Coverage: Pacing Guides and Seating Charts</w:t>
      </w:r>
    </w:p>
    <w:p>
      <w:r>
        <w:t xml:space="preserve">Teachers leave the current pacing guide, the seating chart, and a self-contained lesson in the shared department drive under Coverage/&lt;course&gt;/&lt;term&gt;.</w:t>
      </w:r>
    </w:p>
    <w:p>
      <w:r>
        <w:t xml:space="preserve">Substitutes should not introduce new content in Grade 12 calculus; the standing instruction is to run the posted practice set and collect it.</w:t>
      </w:r>
    </w:p>
    <w:p>
      <w:r>
        <w:t xml:space="preserve">Flag any student who was pulled out or arrived late on the coverage note so attendance can be reconciled.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2026-08-17T03:47:09.749Z</dcterms:created>
  <dcterms:modified xsi:type="dcterms:W3CDTF">2026-08-17T03:47:09.749Z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