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民事起诉状</w:t>
      </w:r>
    </w:p>
    <w:p>
      <w:r>
        <w:t>原告：张三，男，1988年1月1日出生，汉族，住湖北省武汉市江岸区建设大道123号新世界大厦A座1801室，公民身份号码：420102198801011234，联系电话：13812345678，电子邮箱：zhangsan@example.com。</w:t>
      </w:r>
    </w:p>
    <w:p>
      <w:r>
        <w:t>委托诉讼代理人：王五，湖北观筑律师事务所律师。</w:t>
      </w:r>
    </w:p>
    <w:p>
      <w:r>
        <w:t>被告：李四，男，1985年5月20日出生，汉族，住湖北省武汉市武昌区中南路8号。</w:t>
      </w:r>
    </w:p>
    <w:p>
      <w:r>
        <w:t>案号：（2024）鄂0102民初1234号</w:t>
      </w:r>
    </w:p>
    <w:p>
      <w:r>
        <w:t>诉讼请求：</w:t>
      </w:r>
    </w:p>
    <w:p>
      <w:r>
        <w:t>一、判令被告立即向原告偿还借款本金人民币500,000元及利息；</w:t>
      </w:r>
    </w:p>
    <w:p>
      <w:r>
        <w:t>二、判令被告承担本案全部诉讼费用。</w:t>
      </w:r>
    </w:p>
    <w:p>
      <w:r>
        <w:t>事实与理由：</w:t>
      </w:r>
    </w:p>
    <w:p>
      <w:r>
        <w:t>原告与被告系朋友关系。2023年3月1日，被告以资金周转为由向原告借款，原告通过银行转账方式向被告账户（开户行：中国工商银行，卡号：6222021234567890123）转入人民币500,000元，双方约定借款期限为一年。借款到期后，原告多次催告，被告均以各种理由推脱。</w:t>
      </w:r>
    </w:p>
    <w:p>
      <w:r>
        <w:t>为维护原告合法权益，特向武汉市江岸区人民法院提起诉讼，望判如所请。</w:t>
      </w:r>
    </w:p>
    <w:p>
      <w:r>
        <w:t>此致</w:t>
      </w:r>
    </w:p>
    <w:p>
      <w:r>
        <w:t>武汉市江岸区人民法院</w:t>
      </w:r>
    </w:p>
    <w:p>
      <w:r>
        <w:t>具状人：张三</w:t>
      </w:r>
    </w:p>
    <w:p>
      <w:r>
        <w:t>2024年6月1日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