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FC1C5E" w14:textId="77777777" w:rsidR="002A66A6" w:rsidRDefault="002A66A6" w:rsidP="002A66A6">
      <w:pPr>
        <w:pStyle w:val="Header"/>
        <w:rPr>
          <w:rFonts w:ascii="Arial Black" w:hAnsi="Arial Black"/>
          <w:color w:val="000000" w:themeColor="text1"/>
          <w:spacing w:val="-54"/>
          <w:sz w:val="44"/>
        </w:rPr>
      </w:pPr>
    </w:p>
    <w:p w14:paraId="28FC1C5F" w14:textId="77777777" w:rsidR="002A66A6" w:rsidRDefault="002A66A6" w:rsidP="002A66A6">
      <w:pPr>
        <w:pStyle w:val="Header"/>
        <w:rPr>
          <w:rFonts w:ascii="Arial Black" w:hAnsi="Arial Black"/>
          <w:color w:val="000000" w:themeColor="text1"/>
          <w:spacing w:val="-54"/>
          <w:sz w:val="44"/>
        </w:rPr>
      </w:pPr>
    </w:p>
    <w:p w14:paraId="28FC1C61" w14:textId="3671F9DD" w:rsidR="002A66A6" w:rsidRDefault="00BE7EE5" w:rsidP="00AA435A">
      <w:pPr>
        <w:pStyle w:val="Header"/>
        <w:tabs>
          <w:tab w:val="clear" w:pos="4513"/>
          <w:tab w:val="clear" w:pos="9026"/>
          <w:tab w:val="left" w:pos="1851"/>
        </w:tabs>
        <w:rPr>
          <w:rFonts w:ascii="Arial Black" w:hAnsi="Arial Black"/>
          <w:color w:val="000000" w:themeColor="text1"/>
          <w:spacing w:val="-54"/>
          <w:sz w:val="44"/>
        </w:rPr>
      </w:pPr>
      <w:r>
        <w:rPr>
          <w:rFonts w:ascii="Arial Black" w:hAnsi="Arial Black"/>
          <w:color w:val="000000" w:themeColor="text1"/>
          <w:spacing w:val="-54"/>
          <w:sz w:val="44"/>
        </w:rPr>
        <w:tab/>
      </w:r>
    </w:p>
    <w:p w14:paraId="28FC1C62" w14:textId="77777777" w:rsidR="002A66A6" w:rsidRDefault="00E6293B" w:rsidP="00E6293B">
      <w:pPr>
        <w:pStyle w:val="Header"/>
        <w:tabs>
          <w:tab w:val="clear" w:pos="4513"/>
          <w:tab w:val="clear" w:pos="9026"/>
          <w:tab w:val="left" w:pos="5909"/>
        </w:tabs>
        <w:rPr>
          <w:rFonts w:ascii="Arial Black" w:hAnsi="Arial Black"/>
          <w:color w:val="000000" w:themeColor="text1"/>
          <w:spacing w:val="-54"/>
          <w:sz w:val="44"/>
        </w:rPr>
      </w:pPr>
      <w:r>
        <w:rPr>
          <w:rFonts w:ascii="Arial Black" w:hAnsi="Arial Black"/>
          <w:color w:val="000000" w:themeColor="text1"/>
          <w:spacing w:val="-54"/>
          <w:sz w:val="44"/>
        </w:rPr>
        <w:tab/>
      </w:r>
    </w:p>
    <w:p w14:paraId="28FC1C63" w14:textId="77777777" w:rsidR="002A66A6" w:rsidRDefault="00DE2008" w:rsidP="00DE2008">
      <w:pPr>
        <w:pStyle w:val="Header"/>
        <w:tabs>
          <w:tab w:val="clear" w:pos="4513"/>
          <w:tab w:val="clear" w:pos="9026"/>
          <w:tab w:val="left" w:pos="6629"/>
        </w:tabs>
        <w:rPr>
          <w:rFonts w:ascii="Arial Black" w:hAnsi="Arial Black"/>
          <w:color w:val="000000" w:themeColor="text1"/>
          <w:spacing w:val="-54"/>
          <w:sz w:val="44"/>
        </w:rPr>
      </w:pPr>
      <w:r>
        <w:rPr>
          <w:rFonts w:ascii="Arial Black" w:hAnsi="Arial Black"/>
          <w:color w:val="000000" w:themeColor="text1"/>
          <w:spacing w:val="-54"/>
          <w:sz w:val="44"/>
        </w:rPr>
        <w:tab/>
      </w:r>
    </w:p>
    <w:p w14:paraId="28FC1C64" w14:textId="77777777" w:rsidR="002A66A6" w:rsidRPr="000B77B9" w:rsidRDefault="000B77B9" w:rsidP="001E0080">
      <w:pPr>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F2F2F2" w:themeFill="background1" w:themeFillShade="F2"/>
        <w:ind w:left="480" w:right="506"/>
        <w:rPr>
          <w:b/>
          <w:sz w:val="32"/>
        </w:rPr>
      </w:pPr>
      <w:r>
        <w:rPr>
          <w:b/>
          <w:color w:val="0099CC"/>
          <w:sz w:val="32"/>
        </w:rPr>
        <w:br/>
      </w:r>
      <w:r>
        <w:rPr>
          <w:b/>
          <w:color w:val="0099CC"/>
          <w:sz w:val="32"/>
        </w:rPr>
        <w:br/>
        <w:t>Policy Documentation:</w:t>
      </w:r>
      <w:r>
        <w:rPr>
          <w:b/>
          <w:color w:val="0099CC"/>
          <w:sz w:val="32"/>
        </w:rPr>
        <w:br/>
      </w:r>
      <w:r w:rsidR="002A66A6" w:rsidRPr="000B77B9">
        <w:rPr>
          <w:b/>
          <w:sz w:val="32"/>
        </w:rPr>
        <w:t xml:space="preserve">Information </w:t>
      </w:r>
      <w:r w:rsidRPr="000B77B9">
        <w:rPr>
          <w:b/>
          <w:sz w:val="32"/>
        </w:rPr>
        <w:t>Risk Management Policy (IRMP)</w:t>
      </w:r>
    </w:p>
    <w:p w14:paraId="28FC1C65" w14:textId="77777777" w:rsidR="002A66A6" w:rsidRDefault="002A66A6" w:rsidP="001E0080">
      <w:pPr>
        <w:pStyle w:val="ListParagraph"/>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F2F2F2" w:themeFill="background1" w:themeFillShade="F2"/>
        <w:ind w:left="480" w:right="506"/>
        <w:rPr>
          <w:sz w:val="28"/>
        </w:rPr>
      </w:pPr>
    </w:p>
    <w:p w14:paraId="0F66F7AE" w14:textId="19F37373" w:rsidR="0096444B" w:rsidRPr="0096444B" w:rsidRDefault="00BE7EE5" w:rsidP="0096444B">
      <w:pPr>
        <w:pStyle w:val="ListParagraph"/>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F2F2F2" w:themeFill="background1" w:themeFillShade="F2"/>
        <w:ind w:left="480" w:right="506"/>
        <w:jc w:val="right"/>
        <w:rPr>
          <w:b/>
          <w:sz w:val="28"/>
        </w:rPr>
      </w:pPr>
      <w:r w:rsidRPr="002A66A6">
        <w:rPr>
          <w:b/>
          <w:sz w:val="28"/>
        </w:rPr>
        <w:t xml:space="preserve"> </w:t>
      </w:r>
      <w:r w:rsidR="002A66A6" w:rsidRPr="002A66A6">
        <w:rPr>
          <w:b/>
          <w:sz w:val="28"/>
        </w:rPr>
        <w:t>(v</w:t>
      </w:r>
      <w:r w:rsidR="00037E6F">
        <w:rPr>
          <w:b/>
          <w:sz w:val="28"/>
        </w:rPr>
        <w:t>3</w:t>
      </w:r>
      <w:r w:rsidR="002A66A6" w:rsidRPr="002A66A6">
        <w:rPr>
          <w:b/>
          <w:sz w:val="28"/>
        </w:rPr>
        <w:t>.</w:t>
      </w:r>
      <w:r w:rsidR="00843DD8">
        <w:rPr>
          <w:b/>
          <w:sz w:val="28"/>
        </w:rPr>
        <w:t>3</w:t>
      </w:r>
      <w:r w:rsidR="002A66A6" w:rsidRPr="002A66A6">
        <w:rPr>
          <w:b/>
          <w:sz w:val="28"/>
        </w:rPr>
        <w:t>)</w:t>
      </w:r>
    </w:p>
    <w:p w14:paraId="2AC10A40" w14:textId="77777777" w:rsidR="0096444B" w:rsidRDefault="00D23281" w:rsidP="000D2147">
      <w:pPr>
        <w:pStyle w:val="Heading1"/>
        <w:rPr>
          <w:rFonts w:eastAsiaTheme="minorHAnsi"/>
        </w:rPr>
      </w:pPr>
      <w:r>
        <w:rPr>
          <w:rFonts w:eastAsiaTheme="minorHAnsi"/>
        </w:rPr>
        <w:br/>
      </w:r>
      <w:bookmarkStart w:id="0" w:name="_Toc451522780"/>
    </w:p>
    <w:p w14:paraId="50132C01" w14:textId="77777777" w:rsidR="0096444B" w:rsidRDefault="0096444B" w:rsidP="000D2147">
      <w:pPr>
        <w:pStyle w:val="Heading1"/>
        <w:rPr>
          <w:rFonts w:eastAsiaTheme="minorHAnsi"/>
        </w:rPr>
      </w:pPr>
    </w:p>
    <w:p w14:paraId="28FC1CB7" w14:textId="4AB2FFFB" w:rsidR="001C55D5" w:rsidRDefault="009158E7" w:rsidP="000D2147">
      <w:pPr>
        <w:pStyle w:val="Heading1"/>
        <w:rPr>
          <w:rFonts w:eastAsiaTheme="minorHAnsi"/>
        </w:rPr>
      </w:pPr>
      <w:r>
        <w:rPr>
          <w:rFonts w:eastAsiaTheme="minorHAnsi"/>
        </w:rPr>
        <w:t>DOCUMENT PURPOSE</w:t>
      </w:r>
      <w:r w:rsidR="00076174">
        <w:rPr>
          <w:rFonts w:eastAsiaTheme="minorHAnsi"/>
        </w:rPr>
        <w:t>:</w:t>
      </w:r>
      <w:bookmarkEnd w:id="0"/>
    </w:p>
    <w:p w14:paraId="28FC1CB8" w14:textId="77777777" w:rsidR="00B3503D" w:rsidRDefault="008038E5" w:rsidP="00B3503D">
      <w:r>
        <w:t xml:space="preserve">This </w:t>
      </w:r>
      <w:r w:rsidR="000B77B9">
        <w:t>policy document prescribes the IRM processes that all Coal Authority staff</w:t>
      </w:r>
      <w:r w:rsidR="003840A7">
        <w:t xml:space="preserve"> (including any contractors, consultants or delivery partners working for the Authority)</w:t>
      </w:r>
      <w:r w:rsidR="000B77B9">
        <w:t xml:space="preserve"> are required to </w:t>
      </w:r>
      <w:r w:rsidR="003F2B25">
        <w:t>sign acceptance of and adhere to</w:t>
      </w:r>
      <w:r w:rsidR="000B77B9">
        <w:t>.</w:t>
      </w:r>
    </w:p>
    <w:p w14:paraId="28FC1CB9" w14:textId="77777777" w:rsidR="000B77B9" w:rsidRPr="000B77B9" w:rsidRDefault="00D23281" w:rsidP="000B77B9">
      <w:pPr>
        <w:pStyle w:val="ListParagraph"/>
        <w:numPr>
          <w:ilvl w:val="0"/>
          <w:numId w:val="4"/>
        </w:numPr>
      </w:pPr>
      <w:r>
        <w:t>You should also familiarise yourself with the s</w:t>
      </w:r>
      <w:r w:rsidR="000B77B9">
        <w:t xml:space="preserve">upporting documents found on the </w:t>
      </w:r>
      <w:hyperlink r:id="rId8" w:history="1">
        <w:r w:rsidR="000B77B9" w:rsidRPr="000B77B9">
          <w:rPr>
            <w:rStyle w:val="Hyperlink"/>
          </w:rPr>
          <w:t xml:space="preserve">Risk Management section of the </w:t>
        </w:r>
        <w:r w:rsidR="00785FB4">
          <w:rPr>
            <w:rStyle w:val="Hyperlink"/>
          </w:rPr>
          <w:t xml:space="preserve">CA </w:t>
        </w:r>
        <w:r w:rsidR="000B77B9" w:rsidRPr="000B77B9">
          <w:rPr>
            <w:rStyle w:val="Hyperlink"/>
          </w:rPr>
          <w:t>Int</w:t>
        </w:r>
        <w:r w:rsidR="00BD7AB0">
          <w:rPr>
            <w:rStyle w:val="Hyperlink"/>
          </w:rPr>
          <w:t>r</w:t>
        </w:r>
        <w:r w:rsidR="000B77B9" w:rsidRPr="000B77B9">
          <w:rPr>
            <w:rStyle w:val="Hyperlink"/>
          </w:rPr>
          <w:t>anet.</w:t>
        </w:r>
      </w:hyperlink>
    </w:p>
    <w:p w14:paraId="28FC1CBA" w14:textId="77777777" w:rsidR="00076174" w:rsidRDefault="00076174" w:rsidP="00076174"/>
    <w:p w14:paraId="28FC1CBB" w14:textId="77777777" w:rsidR="009A10E3" w:rsidRDefault="009A10E3">
      <w:r>
        <w:br w:type="page"/>
      </w:r>
    </w:p>
    <w:sdt>
      <w:sdtPr>
        <w:rPr>
          <w:rFonts w:eastAsiaTheme="minorHAnsi" w:cs="Arial"/>
          <w:b w:val="0"/>
          <w:bCs w:val="0"/>
          <w:color w:val="auto"/>
          <w:sz w:val="24"/>
          <w:szCs w:val="24"/>
          <w:lang w:val="en-GB" w:eastAsia="en-US"/>
        </w:rPr>
        <w:id w:val="322549203"/>
        <w:docPartObj>
          <w:docPartGallery w:val="Table of Contents"/>
          <w:docPartUnique/>
        </w:docPartObj>
      </w:sdtPr>
      <w:sdtEndPr/>
      <w:sdtContent>
        <w:p w14:paraId="28FC1CBC" w14:textId="77777777" w:rsidR="00B42805" w:rsidRDefault="00B42805" w:rsidP="000D2147">
          <w:pPr>
            <w:pStyle w:val="TOCHeading"/>
          </w:pPr>
          <w:r>
            <w:t>Contents:</w:t>
          </w:r>
        </w:p>
        <w:p w14:paraId="2F56BE27" w14:textId="50977247" w:rsidR="00A90DEC" w:rsidRDefault="007B289D" w:rsidP="00A90DEC">
          <w:pPr>
            <w:pStyle w:val="TOC1"/>
            <w:tabs>
              <w:tab w:val="right" w:leader="dot" w:pos="9628"/>
            </w:tabs>
            <w:rPr>
              <w:rFonts w:asciiTheme="minorHAnsi" w:hAnsiTheme="minorHAnsi"/>
              <w:noProof/>
              <w:sz w:val="22"/>
              <w:szCs w:val="22"/>
              <w:lang w:val="en-GB" w:eastAsia="en-GB"/>
            </w:rPr>
          </w:pPr>
          <w:r>
            <w:fldChar w:fldCharType="begin"/>
          </w:r>
          <w:r w:rsidR="00B42805">
            <w:instrText xml:space="preserve"> TOC \o "1-3" \h \z \u </w:instrText>
          </w:r>
          <w:r>
            <w:fldChar w:fldCharType="separate"/>
          </w:r>
          <w:hyperlink w:anchor="_Toc451522781" w:history="1">
            <w:r w:rsidR="00A90DEC" w:rsidRPr="00C50D41">
              <w:rPr>
                <w:rStyle w:val="Hyperlink"/>
                <w:noProof/>
              </w:rPr>
              <w:t>1.0</w:t>
            </w:r>
            <w:r w:rsidR="00A90DEC">
              <w:rPr>
                <w:rStyle w:val="Hyperlink"/>
                <w:noProof/>
              </w:rPr>
              <w:t xml:space="preserve">     </w:t>
            </w:r>
            <w:r w:rsidR="00A90DEC" w:rsidRPr="00C50D41">
              <w:rPr>
                <w:rStyle w:val="Hyperlink"/>
                <w:noProof/>
              </w:rPr>
              <w:t>What is Information Risk Management?</w:t>
            </w:r>
            <w:r w:rsidR="00A90DEC">
              <w:rPr>
                <w:noProof/>
                <w:webHidden/>
              </w:rPr>
              <w:tab/>
            </w:r>
            <w:r w:rsidR="00A90DEC">
              <w:rPr>
                <w:noProof/>
                <w:webHidden/>
              </w:rPr>
              <w:fldChar w:fldCharType="begin"/>
            </w:r>
            <w:r w:rsidR="00A90DEC">
              <w:rPr>
                <w:noProof/>
                <w:webHidden/>
              </w:rPr>
              <w:instrText xml:space="preserve"> PAGEREF _Toc451522781 \h </w:instrText>
            </w:r>
            <w:r w:rsidR="00A90DEC">
              <w:rPr>
                <w:noProof/>
                <w:webHidden/>
              </w:rPr>
            </w:r>
            <w:r w:rsidR="00A90DEC">
              <w:rPr>
                <w:noProof/>
                <w:webHidden/>
              </w:rPr>
              <w:fldChar w:fldCharType="separate"/>
            </w:r>
            <w:r w:rsidR="006D6671">
              <w:rPr>
                <w:noProof/>
                <w:webHidden/>
              </w:rPr>
              <w:t>3</w:t>
            </w:r>
            <w:r w:rsidR="00A90DEC">
              <w:rPr>
                <w:noProof/>
                <w:webHidden/>
              </w:rPr>
              <w:fldChar w:fldCharType="end"/>
            </w:r>
          </w:hyperlink>
        </w:p>
        <w:p w14:paraId="6CF1A134" w14:textId="1390208D" w:rsidR="00A90DEC" w:rsidRDefault="006D6671">
          <w:pPr>
            <w:pStyle w:val="TOC1"/>
            <w:tabs>
              <w:tab w:val="left" w:pos="660"/>
              <w:tab w:val="right" w:leader="dot" w:pos="9628"/>
            </w:tabs>
            <w:rPr>
              <w:rFonts w:asciiTheme="minorHAnsi" w:hAnsiTheme="minorHAnsi"/>
              <w:noProof/>
              <w:sz w:val="22"/>
              <w:szCs w:val="22"/>
              <w:lang w:val="en-GB" w:eastAsia="en-GB"/>
            </w:rPr>
          </w:pPr>
          <w:hyperlink w:anchor="_Toc451522785" w:history="1">
            <w:r w:rsidR="00A90DEC" w:rsidRPr="00C50D41">
              <w:rPr>
                <w:rStyle w:val="Hyperlink"/>
                <w:noProof/>
              </w:rPr>
              <w:t>2.0</w:t>
            </w:r>
            <w:r w:rsidR="00A90DEC">
              <w:rPr>
                <w:rFonts w:asciiTheme="minorHAnsi" w:hAnsiTheme="minorHAnsi"/>
                <w:noProof/>
                <w:sz w:val="22"/>
                <w:szCs w:val="22"/>
                <w:lang w:val="en-GB" w:eastAsia="en-GB"/>
              </w:rPr>
              <w:tab/>
            </w:r>
            <w:r w:rsidR="00A90DEC" w:rsidRPr="00C50D41">
              <w:rPr>
                <w:rStyle w:val="Hyperlink"/>
                <w:noProof/>
              </w:rPr>
              <w:t>Governance.</w:t>
            </w:r>
            <w:r w:rsidR="00A90DEC">
              <w:rPr>
                <w:noProof/>
                <w:webHidden/>
              </w:rPr>
              <w:tab/>
            </w:r>
            <w:r w:rsidR="00A90DEC">
              <w:rPr>
                <w:noProof/>
                <w:webHidden/>
              </w:rPr>
              <w:fldChar w:fldCharType="begin"/>
            </w:r>
            <w:r w:rsidR="00A90DEC">
              <w:rPr>
                <w:noProof/>
                <w:webHidden/>
              </w:rPr>
              <w:instrText xml:space="preserve"> PAGEREF _Toc451522785 \h </w:instrText>
            </w:r>
            <w:r w:rsidR="00A90DEC">
              <w:rPr>
                <w:noProof/>
                <w:webHidden/>
              </w:rPr>
            </w:r>
            <w:r w:rsidR="00A90DEC">
              <w:rPr>
                <w:noProof/>
                <w:webHidden/>
              </w:rPr>
              <w:fldChar w:fldCharType="separate"/>
            </w:r>
            <w:r>
              <w:rPr>
                <w:noProof/>
                <w:webHidden/>
              </w:rPr>
              <w:t>4</w:t>
            </w:r>
            <w:r w:rsidR="00A90DEC">
              <w:rPr>
                <w:noProof/>
                <w:webHidden/>
              </w:rPr>
              <w:fldChar w:fldCharType="end"/>
            </w:r>
          </w:hyperlink>
        </w:p>
        <w:p w14:paraId="0CC23DE8" w14:textId="22AC866E" w:rsidR="00A90DEC" w:rsidRDefault="006D6671">
          <w:pPr>
            <w:pStyle w:val="TOC1"/>
            <w:tabs>
              <w:tab w:val="left" w:pos="660"/>
              <w:tab w:val="right" w:leader="dot" w:pos="9628"/>
            </w:tabs>
            <w:rPr>
              <w:rFonts w:asciiTheme="minorHAnsi" w:hAnsiTheme="minorHAnsi"/>
              <w:noProof/>
              <w:sz w:val="22"/>
              <w:szCs w:val="22"/>
              <w:lang w:val="en-GB" w:eastAsia="en-GB"/>
            </w:rPr>
          </w:pPr>
          <w:hyperlink w:anchor="_Toc451522786" w:history="1">
            <w:r w:rsidR="00A90DEC" w:rsidRPr="00C50D41">
              <w:rPr>
                <w:rStyle w:val="Hyperlink"/>
                <w:noProof/>
              </w:rPr>
              <w:t>3.0</w:t>
            </w:r>
            <w:r w:rsidR="00A90DEC">
              <w:rPr>
                <w:rFonts w:asciiTheme="minorHAnsi" w:hAnsiTheme="minorHAnsi"/>
                <w:noProof/>
                <w:sz w:val="22"/>
                <w:szCs w:val="22"/>
                <w:lang w:val="en-GB" w:eastAsia="en-GB"/>
              </w:rPr>
              <w:tab/>
            </w:r>
            <w:r w:rsidR="00A90DEC" w:rsidRPr="00C50D41">
              <w:rPr>
                <w:rStyle w:val="Hyperlink"/>
                <w:noProof/>
              </w:rPr>
              <w:t>Training.</w:t>
            </w:r>
            <w:r w:rsidR="00A90DEC">
              <w:rPr>
                <w:noProof/>
                <w:webHidden/>
              </w:rPr>
              <w:tab/>
            </w:r>
            <w:r w:rsidR="00A90DEC">
              <w:rPr>
                <w:noProof/>
                <w:webHidden/>
              </w:rPr>
              <w:fldChar w:fldCharType="begin"/>
            </w:r>
            <w:r w:rsidR="00A90DEC">
              <w:rPr>
                <w:noProof/>
                <w:webHidden/>
              </w:rPr>
              <w:instrText xml:space="preserve"> PAGEREF _Toc451522786 \h </w:instrText>
            </w:r>
            <w:r w:rsidR="00A90DEC">
              <w:rPr>
                <w:noProof/>
                <w:webHidden/>
              </w:rPr>
            </w:r>
            <w:r w:rsidR="00A90DEC">
              <w:rPr>
                <w:noProof/>
                <w:webHidden/>
              </w:rPr>
              <w:fldChar w:fldCharType="separate"/>
            </w:r>
            <w:r>
              <w:rPr>
                <w:noProof/>
                <w:webHidden/>
              </w:rPr>
              <w:t>5</w:t>
            </w:r>
            <w:r w:rsidR="00A90DEC">
              <w:rPr>
                <w:noProof/>
                <w:webHidden/>
              </w:rPr>
              <w:fldChar w:fldCharType="end"/>
            </w:r>
          </w:hyperlink>
        </w:p>
        <w:p w14:paraId="12CDA40F" w14:textId="5F1460D4" w:rsidR="00A90DEC" w:rsidRDefault="006D6671">
          <w:pPr>
            <w:pStyle w:val="TOC1"/>
            <w:tabs>
              <w:tab w:val="left" w:pos="660"/>
              <w:tab w:val="right" w:leader="dot" w:pos="9628"/>
            </w:tabs>
            <w:rPr>
              <w:rFonts w:asciiTheme="minorHAnsi" w:hAnsiTheme="minorHAnsi"/>
              <w:noProof/>
              <w:sz w:val="22"/>
              <w:szCs w:val="22"/>
              <w:lang w:val="en-GB" w:eastAsia="en-GB"/>
            </w:rPr>
          </w:pPr>
          <w:hyperlink w:anchor="_Toc451522787" w:history="1">
            <w:r w:rsidR="00A90DEC" w:rsidRPr="00C50D41">
              <w:rPr>
                <w:rStyle w:val="Hyperlink"/>
                <w:noProof/>
              </w:rPr>
              <w:t>4.0</w:t>
            </w:r>
            <w:r w:rsidR="00A90DEC">
              <w:rPr>
                <w:rFonts w:asciiTheme="minorHAnsi" w:hAnsiTheme="minorHAnsi"/>
                <w:noProof/>
                <w:sz w:val="22"/>
                <w:szCs w:val="22"/>
                <w:lang w:val="en-GB" w:eastAsia="en-GB"/>
              </w:rPr>
              <w:tab/>
            </w:r>
            <w:r w:rsidR="00A90DEC" w:rsidRPr="00C50D41">
              <w:rPr>
                <w:rStyle w:val="Hyperlink"/>
                <w:noProof/>
              </w:rPr>
              <w:t>Responsibilities and Duties.</w:t>
            </w:r>
            <w:r w:rsidR="00A90DEC">
              <w:rPr>
                <w:noProof/>
                <w:webHidden/>
              </w:rPr>
              <w:tab/>
            </w:r>
            <w:r w:rsidR="00A90DEC">
              <w:rPr>
                <w:noProof/>
                <w:webHidden/>
              </w:rPr>
              <w:fldChar w:fldCharType="begin"/>
            </w:r>
            <w:r w:rsidR="00A90DEC">
              <w:rPr>
                <w:noProof/>
                <w:webHidden/>
              </w:rPr>
              <w:instrText xml:space="preserve"> PAGEREF _Toc451522787 \h </w:instrText>
            </w:r>
            <w:r w:rsidR="00A90DEC">
              <w:rPr>
                <w:noProof/>
                <w:webHidden/>
              </w:rPr>
            </w:r>
            <w:r w:rsidR="00A90DEC">
              <w:rPr>
                <w:noProof/>
                <w:webHidden/>
              </w:rPr>
              <w:fldChar w:fldCharType="separate"/>
            </w:r>
            <w:r>
              <w:rPr>
                <w:noProof/>
                <w:webHidden/>
              </w:rPr>
              <w:t>6</w:t>
            </w:r>
            <w:r w:rsidR="00A90DEC">
              <w:rPr>
                <w:noProof/>
                <w:webHidden/>
              </w:rPr>
              <w:fldChar w:fldCharType="end"/>
            </w:r>
          </w:hyperlink>
        </w:p>
        <w:p w14:paraId="761B7E75" w14:textId="6D79B4EC" w:rsidR="00A90DEC" w:rsidRDefault="006D6671">
          <w:pPr>
            <w:pStyle w:val="TOC2"/>
            <w:tabs>
              <w:tab w:val="left" w:pos="880"/>
              <w:tab w:val="right" w:leader="dot" w:pos="9628"/>
            </w:tabs>
            <w:rPr>
              <w:rFonts w:asciiTheme="minorHAnsi" w:hAnsiTheme="minorHAnsi"/>
              <w:noProof/>
              <w:szCs w:val="22"/>
              <w:lang w:val="en-GB" w:eastAsia="en-GB"/>
            </w:rPr>
          </w:pPr>
          <w:hyperlink w:anchor="_Toc451522792" w:history="1">
            <w:r w:rsidR="00A90DEC" w:rsidRPr="00C50D41">
              <w:rPr>
                <w:rStyle w:val="Hyperlink"/>
                <w:noProof/>
              </w:rPr>
              <w:t>4.1</w:t>
            </w:r>
            <w:r w:rsidR="00A90DEC">
              <w:rPr>
                <w:rFonts w:asciiTheme="minorHAnsi" w:hAnsiTheme="minorHAnsi"/>
                <w:noProof/>
                <w:szCs w:val="22"/>
                <w:lang w:val="en-GB" w:eastAsia="en-GB"/>
              </w:rPr>
              <w:tab/>
            </w:r>
            <w:r w:rsidR="00A90DEC" w:rsidRPr="00C50D41">
              <w:rPr>
                <w:rStyle w:val="Hyperlink"/>
                <w:noProof/>
              </w:rPr>
              <w:t>All Staff: Including Contractors and Delivery Partners.</w:t>
            </w:r>
            <w:r w:rsidR="00A90DEC">
              <w:rPr>
                <w:noProof/>
                <w:webHidden/>
              </w:rPr>
              <w:tab/>
            </w:r>
            <w:r w:rsidR="00A90DEC">
              <w:rPr>
                <w:noProof/>
                <w:webHidden/>
              </w:rPr>
              <w:fldChar w:fldCharType="begin"/>
            </w:r>
            <w:r w:rsidR="00A90DEC">
              <w:rPr>
                <w:noProof/>
                <w:webHidden/>
              </w:rPr>
              <w:instrText xml:space="preserve"> PAGEREF _Toc451522792 \h </w:instrText>
            </w:r>
            <w:r w:rsidR="00A90DEC">
              <w:rPr>
                <w:noProof/>
                <w:webHidden/>
              </w:rPr>
            </w:r>
            <w:r w:rsidR="00A90DEC">
              <w:rPr>
                <w:noProof/>
                <w:webHidden/>
              </w:rPr>
              <w:fldChar w:fldCharType="separate"/>
            </w:r>
            <w:r>
              <w:rPr>
                <w:noProof/>
                <w:webHidden/>
              </w:rPr>
              <w:t>6</w:t>
            </w:r>
            <w:r w:rsidR="00A90DEC">
              <w:rPr>
                <w:noProof/>
                <w:webHidden/>
              </w:rPr>
              <w:fldChar w:fldCharType="end"/>
            </w:r>
          </w:hyperlink>
        </w:p>
        <w:p w14:paraId="2D7E2A62" w14:textId="44B7FDDD" w:rsidR="00A90DEC" w:rsidRDefault="006D6671">
          <w:pPr>
            <w:pStyle w:val="TOC2"/>
            <w:tabs>
              <w:tab w:val="left" w:pos="880"/>
              <w:tab w:val="right" w:leader="dot" w:pos="9628"/>
            </w:tabs>
            <w:rPr>
              <w:rFonts w:asciiTheme="minorHAnsi" w:hAnsiTheme="minorHAnsi"/>
              <w:noProof/>
              <w:szCs w:val="22"/>
              <w:lang w:val="en-GB" w:eastAsia="en-GB"/>
            </w:rPr>
          </w:pPr>
          <w:hyperlink w:anchor="_Toc451522796" w:history="1">
            <w:r w:rsidR="00A90DEC" w:rsidRPr="00C50D41">
              <w:rPr>
                <w:rStyle w:val="Hyperlink"/>
                <w:noProof/>
              </w:rPr>
              <w:t>4.2</w:t>
            </w:r>
            <w:r w:rsidR="00A90DEC">
              <w:rPr>
                <w:rFonts w:asciiTheme="minorHAnsi" w:hAnsiTheme="minorHAnsi"/>
                <w:noProof/>
                <w:szCs w:val="22"/>
                <w:lang w:val="en-GB" w:eastAsia="en-GB"/>
              </w:rPr>
              <w:tab/>
            </w:r>
            <w:r w:rsidR="00A90DEC" w:rsidRPr="00C50D41">
              <w:rPr>
                <w:rStyle w:val="Hyperlink"/>
                <w:noProof/>
              </w:rPr>
              <w:t>IAO’s and Line Managers.</w:t>
            </w:r>
            <w:r w:rsidR="00A90DEC">
              <w:rPr>
                <w:noProof/>
                <w:webHidden/>
              </w:rPr>
              <w:tab/>
            </w:r>
            <w:r w:rsidR="00A90DEC">
              <w:rPr>
                <w:noProof/>
                <w:webHidden/>
              </w:rPr>
              <w:fldChar w:fldCharType="begin"/>
            </w:r>
            <w:r w:rsidR="00A90DEC">
              <w:rPr>
                <w:noProof/>
                <w:webHidden/>
              </w:rPr>
              <w:instrText xml:space="preserve"> PAGEREF _Toc451522796 \h </w:instrText>
            </w:r>
            <w:r w:rsidR="00A90DEC">
              <w:rPr>
                <w:noProof/>
                <w:webHidden/>
              </w:rPr>
            </w:r>
            <w:r w:rsidR="00A90DEC">
              <w:rPr>
                <w:noProof/>
                <w:webHidden/>
              </w:rPr>
              <w:fldChar w:fldCharType="separate"/>
            </w:r>
            <w:r>
              <w:rPr>
                <w:noProof/>
                <w:webHidden/>
              </w:rPr>
              <w:t>7</w:t>
            </w:r>
            <w:r w:rsidR="00A90DEC">
              <w:rPr>
                <w:noProof/>
                <w:webHidden/>
              </w:rPr>
              <w:fldChar w:fldCharType="end"/>
            </w:r>
          </w:hyperlink>
        </w:p>
        <w:p w14:paraId="2E48E4DD" w14:textId="5871F5B6" w:rsidR="00A90DEC" w:rsidRDefault="006D6671">
          <w:pPr>
            <w:pStyle w:val="TOC2"/>
            <w:tabs>
              <w:tab w:val="left" w:pos="880"/>
              <w:tab w:val="right" w:leader="dot" w:pos="9628"/>
            </w:tabs>
            <w:rPr>
              <w:rFonts w:asciiTheme="minorHAnsi" w:hAnsiTheme="minorHAnsi"/>
              <w:noProof/>
              <w:szCs w:val="22"/>
              <w:lang w:val="en-GB" w:eastAsia="en-GB"/>
            </w:rPr>
          </w:pPr>
          <w:hyperlink w:anchor="_Toc451522805" w:history="1">
            <w:r w:rsidR="00A90DEC" w:rsidRPr="00C50D41">
              <w:rPr>
                <w:rStyle w:val="Hyperlink"/>
                <w:noProof/>
              </w:rPr>
              <w:t>4.3</w:t>
            </w:r>
            <w:r w:rsidR="00A90DEC">
              <w:rPr>
                <w:rFonts w:asciiTheme="minorHAnsi" w:hAnsiTheme="minorHAnsi"/>
                <w:noProof/>
                <w:szCs w:val="22"/>
                <w:lang w:val="en-GB" w:eastAsia="en-GB"/>
              </w:rPr>
              <w:tab/>
            </w:r>
            <w:r w:rsidR="00A90DEC" w:rsidRPr="00C50D41">
              <w:rPr>
                <w:rStyle w:val="Hyperlink"/>
                <w:noProof/>
              </w:rPr>
              <w:t>Directors.</w:t>
            </w:r>
            <w:r w:rsidR="00A90DEC">
              <w:rPr>
                <w:noProof/>
                <w:webHidden/>
              </w:rPr>
              <w:tab/>
            </w:r>
            <w:r w:rsidR="00A90DEC">
              <w:rPr>
                <w:noProof/>
                <w:webHidden/>
              </w:rPr>
              <w:fldChar w:fldCharType="begin"/>
            </w:r>
            <w:r w:rsidR="00A90DEC">
              <w:rPr>
                <w:noProof/>
                <w:webHidden/>
              </w:rPr>
              <w:instrText xml:space="preserve"> PAGEREF _Toc451522805 \h </w:instrText>
            </w:r>
            <w:r w:rsidR="00A90DEC">
              <w:rPr>
                <w:noProof/>
                <w:webHidden/>
              </w:rPr>
            </w:r>
            <w:r w:rsidR="00A90DEC">
              <w:rPr>
                <w:noProof/>
                <w:webHidden/>
              </w:rPr>
              <w:fldChar w:fldCharType="separate"/>
            </w:r>
            <w:r>
              <w:rPr>
                <w:noProof/>
                <w:webHidden/>
              </w:rPr>
              <w:t>8</w:t>
            </w:r>
            <w:r w:rsidR="00A90DEC">
              <w:rPr>
                <w:noProof/>
                <w:webHidden/>
              </w:rPr>
              <w:fldChar w:fldCharType="end"/>
            </w:r>
          </w:hyperlink>
        </w:p>
        <w:p w14:paraId="38AB61C5" w14:textId="501A363D" w:rsidR="00A90DEC" w:rsidRDefault="006D6671">
          <w:pPr>
            <w:pStyle w:val="TOC2"/>
            <w:tabs>
              <w:tab w:val="left" w:pos="880"/>
              <w:tab w:val="right" w:leader="dot" w:pos="9628"/>
            </w:tabs>
            <w:rPr>
              <w:rFonts w:asciiTheme="minorHAnsi" w:hAnsiTheme="minorHAnsi"/>
              <w:noProof/>
              <w:szCs w:val="22"/>
              <w:lang w:val="en-GB" w:eastAsia="en-GB"/>
            </w:rPr>
          </w:pPr>
          <w:hyperlink w:anchor="_Toc451522809" w:history="1">
            <w:r w:rsidR="00A90DEC" w:rsidRPr="00C50D41">
              <w:rPr>
                <w:rStyle w:val="Hyperlink"/>
                <w:noProof/>
              </w:rPr>
              <w:t>4.4</w:t>
            </w:r>
            <w:r w:rsidR="00A90DEC">
              <w:rPr>
                <w:rFonts w:asciiTheme="minorHAnsi" w:hAnsiTheme="minorHAnsi"/>
                <w:noProof/>
                <w:szCs w:val="22"/>
                <w:lang w:val="en-GB" w:eastAsia="en-GB"/>
              </w:rPr>
              <w:tab/>
            </w:r>
            <w:r w:rsidR="00A90DEC" w:rsidRPr="00C50D41">
              <w:rPr>
                <w:rStyle w:val="Hyperlink"/>
                <w:noProof/>
              </w:rPr>
              <w:t>Senior Information Risk Officer (SIRO).</w:t>
            </w:r>
            <w:r w:rsidR="00A90DEC">
              <w:rPr>
                <w:noProof/>
                <w:webHidden/>
              </w:rPr>
              <w:tab/>
            </w:r>
            <w:r w:rsidR="00A90DEC">
              <w:rPr>
                <w:noProof/>
                <w:webHidden/>
              </w:rPr>
              <w:fldChar w:fldCharType="begin"/>
            </w:r>
            <w:r w:rsidR="00A90DEC">
              <w:rPr>
                <w:noProof/>
                <w:webHidden/>
              </w:rPr>
              <w:instrText xml:space="preserve"> PAGEREF _Toc451522809 \h </w:instrText>
            </w:r>
            <w:r w:rsidR="00A90DEC">
              <w:rPr>
                <w:noProof/>
                <w:webHidden/>
              </w:rPr>
            </w:r>
            <w:r w:rsidR="00A90DEC">
              <w:rPr>
                <w:noProof/>
                <w:webHidden/>
              </w:rPr>
              <w:fldChar w:fldCharType="separate"/>
            </w:r>
            <w:r>
              <w:rPr>
                <w:noProof/>
                <w:webHidden/>
              </w:rPr>
              <w:t>9</w:t>
            </w:r>
            <w:r w:rsidR="00A90DEC">
              <w:rPr>
                <w:noProof/>
                <w:webHidden/>
              </w:rPr>
              <w:fldChar w:fldCharType="end"/>
            </w:r>
          </w:hyperlink>
        </w:p>
        <w:p w14:paraId="414A5024" w14:textId="3EBA7777" w:rsidR="00A90DEC" w:rsidRDefault="006D6671">
          <w:pPr>
            <w:pStyle w:val="TOC1"/>
            <w:tabs>
              <w:tab w:val="left" w:pos="660"/>
              <w:tab w:val="right" w:leader="dot" w:pos="9628"/>
            </w:tabs>
            <w:rPr>
              <w:rFonts w:asciiTheme="minorHAnsi" w:hAnsiTheme="minorHAnsi"/>
              <w:noProof/>
              <w:sz w:val="22"/>
              <w:szCs w:val="22"/>
              <w:lang w:val="en-GB" w:eastAsia="en-GB"/>
            </w:rPr>
          </w:pPr>
          <w:hyperlink w:anchor="_Toc451522814" w:history="1">
            <w:r w:rsidR="00A90DEC" w:rsidRPr="00C50D41">
              <w:rPr>
                <w:rStyle w:val="Hyperlink"/>
                <w:noProof/>
              </w:rPr>
              <w:t>5.0</w:t>
            </w:r>
            <w:r w:rsidR="00A90DEC">
              <w:rPr>
                <w:rFonts w:asciiTheme="minorHAnsi" w:hAnsiTheme="minorHAnsi"/>
                <w:noProof/>
                <w:sz w:val="22"/>
                <w:szCs w:val="22"/>
                <w:lang w:val="en-GB" w:eastAsia="en-GB"/>
              </w:rPr>
              <w:tab/>
            </w:r>
            <w:r w:rsidR="00A90DEC" w:rsidRPr="00C50D41">
              <w:rPr>
                <w:rStyle w:val="Hyperlink"/>
                <w:noProof/>
              </w:rPr>
              <w:t>Forensic Readiness.</w:t>
            </w:r>
            <w:r w:rsidR="00A90DEC">
              <w:rPr>
                <w:noProof/>
                <w:webHidden/>
              </w:rPr>
              <w:tab/>
            </w:r>
            <w:r w:rsidR="00A90DEC">
              <w:rPr>
                <w:noProof/>
                <w:webHidden/>
              </w:rPr>
              <w:fldChar w:fldCharType="begin"/>
            </w:r>
            <w:r w:rsidR="00A90DEC">
              <w:rPr>
                <w:noProof/>
                <w:webHidden/>
              </w:rPr>
              <w:instrText xml:space="preserve"> PAGEREF _Toc451522814 \h </w:instrText>
            </w:r>
            <w:r w:rsidR="00A90DEC">
              <w:rPr>
                <w:noProof/>
                <w:webHidden/>
              </w:rPr>
            </w:r>
            <w:r w:rsidR="00A90DEC">
              <w:rPr>
                <w:noProof/>
                <w:webHidden/>
              </w:rPr>
              <w:fldChar w:fldCharType="separate"/>
            </w:r>
            <w:r>
              <w:rPr>
                <w:noProof/>
                <w:webHidden/>
              </w:rPr>
              <w:t>10</w:t>
            </w:r>
            <w:r w:rsidR="00A90DEC">
              <w:rPr>
                <w:noProof/>
                <w:webHidden/>
              </w:rPr>
              <w:fldChar w:fldCharType="end"/>
            </w:r>
          </w:hyperlink>
        </w:p>
        <w:p w14:paraId="5AF139A3" w14:textId="357A5155" w:rsidR="00A90DEC" w:rsidRDefault="006D6671">
          <w:pPr>
            <w:pStyle w:val="TOC2"/>
            <w:tabs>
              <w:tab w:val="left" w:pos="880"/>
              <w:tab w:val="right" w:leader="dot" w:pos="9628"/>
            </w:tabs>
            <w:rPr>
              <w:rFonts w:asciiTheme="minorHAnsi" w:hAnsiTheme="minorHAnsi"/>
              <w:noProof/>
              <w:szCs w:val="22"/>
              <w:lang w:val="en-GB" w:eastAsia="en-GB"/>
            </w:rPr>
          </w:pPr>
          <w:hyperlink w:anchor="_Toc451522815" w:history="1">
            <w:r w:rsidR="00A90DEC" w:rsidRPr="00C50D41">
              <w:rPr>
                <w:rStyle w:val="Hyperlink"/>
                <w:noProof/>
              </w:rPr>
              <w:t>5.1</w:t>
            </w:r>
            <w:r w:rsidR="00A90DEC">
              <w:rPr>
                <w:rFonts w:asciiTheme="minorHAnsi" w:hAnsiTheme="minorHAnsi"/>
                <w:noProof/>
                <w:szCs w:val="22"/>
                <w:lang w:val="en-GB" w:eastAsia="en-GB"/>
              </w:rPr>
              <w:tab/>
            </w:r>
            <w:r w:rsidR="00A90DEC" w:rsidRPr="00C50D41">
              <w:rPr>
                <w:rStyle w:val="Hyperlink"/>
                <w:noProof/>
              </w:rPr>
              <w:t>Potential fraud.</w:t>
            </w:r>
            <w:r w:rsidR="00A90DEC">
              <w:rPr>
                <w:noProof/>
                <w:webHidden/>
              </w:rPr>
              <w:tab/>
            </w:r>
            <w:r w:rsidR="00A90DEC">
              <w:rPr>
                <w:noProof/>
                <w:webHidden/>
              </w:rPr>
              <w:fldChar w:fldCharType="begin"/>
            </w:r>
            <w:r w:rsidR="00A90DEC">
              <w:rPr>
                <w:noProof/>
                <w:webHidden/>
              </w:rPr>
              <w:instrText xml:space="preserve"> PAGEREF _Toc451522815 \h </w:instrText>
            </w:r>
            <w:r w:rsidR="00A90DEC">
              <w:rPr>
                <w:noProof/>
                <w:webHidden/>
              </w:rPr>
            </w:r>
            <w:r w:rsidR="00A90DEC">
              <w:rPr>
                <w:noProof/>
                <w:webHidden/>
              </w:rPr>
              <w:fldChar w:fldCharType="separate"/>
            </w:r>
            <w:r>
              <w:rPr>
                <w:noProof/>
                <w:webHidden/>
              </w:rPr>
              <w:t>10</w:t>
            </w:r>
            <w:r w:rsidR="00A90DEC">
              <w:rPr>
                <w:noProof/>
                <w:webHidden/>
              </w:rPr>
              <w:fldChar w:fldCharType="end"/>
            </w:r>
          </w:hyperlink>
        </w:p>
        <w:p w14:paraId="733D03C5" w14:textId="7ADBEC83" w:rsidR="00A90DEC" w:rsidRDefault="006D6671">
          <w:pPr>
            <w:pStyle w:val="TOC2"/>
            <w:tabs>
              <w:tab w:val="left" w:pos="880"/>
              <w:tab w:val="right" w:leader="dot" w:pos="9628"/>
            </w:tabs>
            <w:rPr>
              <w:rFonts w:asciiTheme="minorHAnsi" w:hAnsiTheme="minorHAnsi"/>
              <w:noProof/>
              <w:szCs w:val="22"/>
              <w:lang w:val="en-GB" w:eastAsia="en-GB"/>
            </w:rPr>
          </w:pPr>
          <w:hyperlink w:anchor="_Toc451522816" w:history="1">
            <w:r w:rsidR="00A90DEC" w:rsidRPr="00C50D41">
              <w:rPr>
                <w:rStyle w:val="Hyperlink"/>
                <w:noProof/>
              </w:rPr>
              <w:t>5.2</w:t>
            </w:r>
            <w:r w:rsidR="00A90DEC">
              <w:rPr>
                <w:rFonts w:asciiTheme="minorHAnsi" w:hAnsiTheme="minorHAnsi"/>
                <w:noProof/>
                <w:szCs w:val="22"/>
                <w:lang w:val="en-GB" w:eastAsia="en-GB"/>
              </w:rPr>
              <w:tab/>
            </w:r>
            <w:r w:rsidR="00A90DEC" w:rsidRPr="00C50D41">
              <w:rPr>
                <w:rStyle w:val="Hyperlink"/>
                <w:noProof/>
              </w:rPr>
              <w:t>Current Forensic Arrangements.</w:t>
            </w:r>
            <w:r w:rsidR="00A90DEC">
              <w:rPr>
                <w:noProof/>
                <w:webHidden/>
              </w:rPr>
              <w:tab/>
            </w:r>
            <w:r w:rsidR="00A90DEC">
              <w:rPr>
                <w:noProof/>
                <w:webHidden/>
              </w:rPr>
              <w:fldChar w:fldCharType="begin"/>
            </w:r>
            <w:r w:rsidR="00A90DEC">
              <w:rPr>
                <w:noProof/>
                <w:webHidden/>
              </w:rPr>
              <w:instrText xml:space="preserve"> PAGEREF _Toc451522816 \h </w:instrText>
            </w:r>
            <w:r w:rsidR="00A90DEC">
              <w:rPr>
                <w:noProof/>
                <w:webHidden/>
              </w:rPr>
            </w:r>
            <w:r w:rsidR="00A90DEC">
              <w:rPr>
                <w:noProof/>
                <w:webHidden/>
              </w:rPr>
              <w:fldChar w:fldCharType="separate"/>
            </w:r>
            <w:r>
              <w:rPr>
                <w:noProof/>
                <w:webHidden/>
              </w:rPr>
              <w:t>10</w:t>
            </w:r>
            <w:r w:rsidR="00A90DEC">
              <w:rPr>
                <w:noProof/>
                <w:webHidden/>
              </w:rPr>
              <w:fldChar w:fldCharType="end"/>
            </w:r>
          </w:hyperlink>
        </w:p>
        <w:p w14:paraId="06C68971" w14:textId="331C65CA" w:rsidR="00A90DEC" w:rsidRDefault="006D6671">
          <w:pPr>
            <w:pStyle w:val="TOC1"/>
            <w:tabs>
              <w:tab w:val="right" w:leader="dot" w:pos="9628"/>
            </w:tabs>
            <w:rPr>
              <w:rFonts w:asciiTheme="minorHAnsi" w:hAnsiTheme="minorHAnsi"/>
              <w:noProof/>
              <w:sz w:val="22"/>
              <w:szCs w:val="22"/>
              <w:lang w:val="en-GB" w:eastAsia="en-GB"/>
            </w:rPr>
          </w:pPr>
          <w:hyperlink w:anchor="_Toc451522817" w:history="1">
            <w:r w:rsidR="00A90DEC" w:rsidRPr="00C50D41">
              <w:rPr>
                <w:rStyle w:val="Hyperlink"/>
                <w:noProof/>
              </w:rPr>
              <w:t>Appendix 1: Data Handling Guidance.</w:t>
            </w:r>
            <w:r w:rsidR="00A90DEC">
              <w:rPr>
                <w:noProof/>
                <w:webHidden/>
              </w:rPr>
              <w:tab/>
            </w:r>
            <w:r w:rsidR="00A90DEC">
              <w:rPr>
                <w:noProof/>
                <w:webHidden/>
              </w:rPr>
              <w:fldChar w:fldCharType="begin"/>
            </w:r>
            <w:r w:rsidR="00A90DEC">
              <w:rPr>
                <w:noProof/>
                <w:webHidden/>
              </w:rPr>
              <w:instrText xml:space="preserve"> PAGEREF _Toc451522817 \h </w:instrText>
            </w:r>
            <w:r w:rsidR="00A90DEC">
              <w:rPr>
                <w:noProof/>
                <w:webHidden/>
              </w:rPr>
            </w:r>
            <w:r w:rsidR="00A90DEC">
              <w:rPr>
                <w:noProof/>
                <w:webHidden/>
              </w:rPr>
              <w:fldChar w:fldCharType="separate"/>
            </w:r>
            <w:r>
              <w:rPr>
                <w:noProof/>
                <w:webHidden/>
              </w:rPr>
              <w:t>12</w:t>
            </w:r>
            <w:r w:rsidR="00A90DEC">
              <w:rPr>
                <w:noProof/>
                <w:webHidden/>
              </w:rPr>
              <w:fldChar w:fldCharType="end"/>
            </w:r>
          </w:hyperlink>
        </w:p>
        <w:p w14:paraId="64C780C5" w14:textId="542A4163" w:rsidR="00A90DEC" w:rsidRDefault="006D6671">
          <w:pPr>
            <w:pStyle w:val="TOC1"/>
            <w:tabs>
              <w:tab w:val="right" w:leader="dot" w:pos="9628"/>
            </w:tabs>
            <w:rPr>
              <w:rFonts w:asciiTheme="minorHAnsi" w:hAnsiTheme="minorHAnsi"/>
              <w:noProof/>
              <w:sz w:val="22"/>
              <w:szCs w:val="22"/>
              <w:lang w:val="en-GB" w:eastAsia="en-GB"/>
            </w:rPr>
          </w:pPr>
          <w:hyperlink w:anchor="_Toc451522825" w:history="1">
            <w:r w:rsidR="00A90DEC" w:rsidRPr="00C50D41">
              <w:rPr>
                <w:rStyle w:val="Hyperlink"/>
                <w:noProof/>
              </w:rPr>
              <w:t>Appendix 2:  Government Security Classifications.</w:t>
            </w:r>
            <w:r w:rsidR="00A90DEC">
              <w:rPr>
                <w:noProof/>
                <w:webHidden/>
              </w:rPr>
              <w:tab/>
            </w:r>
            <w:r w:rsidR="00A90DEC">
              <w:rPr>
                <w:noProof/>
                <w:webHidden/>
              </w:rPr>
              <w:fldChar w:fldCharType="begin"/>
            </w:r>
            <w:r w:rsidR="00A90DEC">
              <w:rPr>
                <w:noProof/>
                <w:webHidden/>
              </w:rPr>
              <w:instrText xml:space="preserve"> PAGEREF _Toc451522825 \h </w:instrText>
            </w:r>
            <w:r w:rsidR="00A90DEC">
              <w:rPr>
                <w:noProof/>
                <w:webHidden/>
              </w:rPr>
            </w:r>
            <w:r w:rsidR="00A90DEC">
              <w:rPr>
                <w:noProof/>
                <w:webHidden/>
              </w:rPr>
              <w:fldChar w:fldCharType="separate"/>
            </w:r>
            <w:r>
              <w:rPr>
                <w:noProof/>
                <w:webHidden/>
              </w:rPr>
              <w:t>14</w:t>
            </w:r>
            <w:r w:rsidR="00A90DEC">
              <w:rPr>
                <w:noProof/>
                <w:webHidden/>
              </w:rPr>
              <w:fldChar w:fldCharType="end"/>
            </w:r>
          </w:hyperlink>
        </w:p>
        <w:p w14:paraId="54A3EEFD" w14:textId="558C75F3" w:rsidR="00A90DEC" w:rsidRDefault="006D6671">
          <w:pPr>
            <w:pStyle w:val="TOC1"/>
            <w:tabs>
              <w:tab w:val="right" w:leader="dot" w:pos="9628"/>
            </w:tabs>
            <w:rPr>
              <w:rFonts w:asciiTheme="minorHAnsi" w:hAnsiTheme="minorHAnsi"/>
              <w:noProof/>
              <w:sz w:val="22"/>
              <w:szCs w:val="22"/>
              <w:lang w:val="en-GB" w:eastAsia="en-GB"/>
            </w:rPr>
          </w:pPr>
          <w:hyperlink w:anchor="_Toc451522826" w:history="1">
            <w:r w:rsidR="00A90DEC" w:rsidRPr="00C50D41">
              <w:rPr>
                <w:rStyle w:val="Hyperlink"/>
                <w:noProof/>
              </w:rPr>
              <w:t>Appendix 3: Security Classification Handling Instructions.</w:t>
            </w:r>
            <w:r w:rsidR="00A90DEC">
              <w:rPr>
                <w:noProof/>
                <w:webHidden/>
              </w:rPr>
              <w:tab/>
            </w:r>
            <w:r w:rsidR="00A90DEC">
              <w:rPr>
                <w:noProof/>
                <w:webHidden/>
              </w:rPr>
              <w:fldChar w:fldCharType="begin"/>
            </w:r>
            <w:r w:rsidR="00A90DEC">
              <w:rPr>
                <w:noProof/>
                <w:webHidden/>
              </w:rPr>
              <w:instrText xml:space="preserve"> PAGEREF _Toc451522826 \h </w:instrText>
            </w:r>
            <w:r w:rsidR="00A90DEC">
              <w:rPr>
                <w:noProof/>
                <w:webHidden/>
              </w:rPr>
            </w:r>
            <w:r w:rsidR="00A90DEC">
              <w:rPr>
                <w:noProof/>
                <w:webHidden/>
              </w:rPr>
              <w:fldChar w:fldCharType="separate"/>
            </w:r>
            <w:r>
              <w:rPr>
                <w:noProof/>
                <w:webHidden/>
              </w:rPr>
              <w:t>16</w:t>
            </w:r>
            <w:r w:rsidR="00A90DEC">
              <w:rPr>
                <w:noProof/>
                <w:webHidden/>
              </w:rPr>
              <w:fldChar w:fldCharType="end"/>
            </w:r>
          </w:hyperlink>
        </w:p>
        <w:p w14:paraId="30144F8E" w14:textId="73C0ACB1" w:rsidR="00A90DEC" w:rsidRDefault="006D6671">
          <w:pPr>
            <w:pStyle w:val="TOC1"/>
            <w:tabs>
              <w:tab w:val="right" w:leader="dot" w:pos="9628"/>
            </w:tabs>
            <w:rPr>
              <w:rFonts w:asciiTheme="minorHAnsi" w:hAnsiTheme="minorHAnsi"/>
              <w:noProof/>
              <w:sz w:val="22"/>
              <w:szCs w:val="22"/>
              <w:lang w:val="en-GB" w:eastAsia="en-GB"/>
            </w:rPr>
          </w:pPr>
          <w:hyperlink w:anchor="_Toc451522827" w:history="1">
            <w:r w:rsidR="00A90DEC" w:rsidRPr="00C50D41">
              <w:rPr>
                <w:rStyle w:val="Hyperlink"/>
                <w:noProof/>
              </w:rPr>
              <w:t>Appendix 4: Information Risk Management – WISDOM.</w:t>
            </w:r>
            <w:r w:rsidR="00A90DEC">
              <w:rPr>
                <w:noProof/>
                <w:webHidden/>
              </w:rPr>
              <w:tab/>
            </w:r>
            <w:r w:rsidR="00A90DEC">
              <w:rPr>
                <w:noProof/>
                <w:webHidden/>
              </w:rPr>
              <w:fldChar w:fldCharType="begin"/>
            </w:r>
            <w:r w:rsidR="00A90DEC">
              <w:rPr>
                <w:noProof/>
                <w:webHidden/>
              </w:rPr>
              <w:instrText xml:space="preserve"> PAGEREF _Toc451522827 \h </w:instrText>
            </w:r>
            <w:r w:rsidR="00A90DEC">
              <w:rPr>
                <w:noProof/>
                <w:webHidden/>
              </w:rPr>
            </w:r>
            <w:r w:rsidR="00A90DEC">
              <w:rPr>
                <w:noProof/>
                <w:webHidden/>
              </w:rPr>
              <w:fldChar w:fldCharType="separate"/>
            </w:r>
            <w:r>
              <w:rPr>
                <w:noProof/>
                <w:webHidden/>
              </w:rPr>
              <w:t>22</w:t>
            </w:r>
            <w:r w:rsidR="00A90DEC">
              <w:rPr>
                <w:noProof/>
                <w:webHidden/>
              </w:rPr>
              <w:fldChar w:fldCharType="end"/>
            </w:r>
          </w:hyperlink>
        </w:p>
        <w:p w14:paraId="360F18F2" w14:textId="473093D3" w:rsidR="00A90DEC" w:rsidRDefault="006D6671">
          <w:pPr>
            <w:pStyle w:val="TOC1"/>
            <w:tabs>
              <w:tab w:val="right" w:leader="dot" w:pos="9628"/>
            </w:tabs>
            <w:rPr>
              <w:rFonts w:asciiTheme="minorHAnsi" w:hAnsiTheme="minorHAnsi"/>
              <w:noProof/>
              <w:sz w:val="22"/>
              <w:szCs w:val="22"/>
              <w:lang w:val="en-GB" w:eastAsia="en-GB"/>
            </w:rPr>
          </w:pPr>
          <w:hyperlink w:anchor="_Toc451522833" w:history="1">
            <w:r w:rsidR="00A90DEC" w:rsidRPr="00C50D41">
              <w:rPr>
                <w:rStyle w:val="Hyperlink"/>
                <w:noProof/>
              </w:rPr>
              <w:t>Appendix 5: Sign Off Sheet</w:t>
            </w:r>
            <w:r w:rsidR="00A90DEC">
              <w:rPr>
                <w:noProof/>
                <w:webHidden/>
              </w:rPr>
              <w:tab/>
            </w:r>
            <w:r w:rsidR="00A90DEC">
              <w:rPr>
                <w:noProof/>
                <w:webHidden/>
              </w:rPr>
              <w:fldChar w:fldCharType="begin"/>
            </w:r>
            <w:r w:rsidR="00A90DEC">
              <w:rPr>
                <w:noProof/>
                <w:webHidden/>
              </w:rPr>
              <w:instrText xml:space="preserve"> PAGEREF _Toc451522833 \h </w:instrText>
            </w:r>
            <w:r w:rsidR="00A90DEC">
              <w:rPr>
                <w:noProof/>
                <w:webHidden/>
              </w:rPr>
            </w:r>
            <w:r w:rsidR="00A90DEC">
              <w:rPr>
                <w:noProof/>
                <w:webHidden/>
              </w:rPr>
              <w:fldChar w:fldCharType="separate"/>
            </w:r>
            <w:r>
              <w:rPr>
                <w:noProof/>
                <w:webHidden/>
              </w:rPr>
              <w:t>23</w:t>
            </w:r>
            <w:r w:rsidR="00A90DEC">
              <w:rPr>
                <w:noProof/>
                <w:webHidden/>
              </w:rPr>
              <w:fldChar w:fldCharType="end"/>
            </w:r>
          </w:hyperlink>
        </w:p>
        <w:p w14:paraId="28FC1CD6" w14:textId="77777777" w:rsidR="006F0D60" w:rsidRPr="00A77E05" w:rsidRDefault="007B289D">
          <w:r>
            <w:fldChar w:fldCharType="end"/>
          </w:r>
        </w:p>
      </w:sdtContent>
    </w:sdt>
    <w:p w14:paraId="28FC1CD7" w14:textId="77777777" w:rsidR="00A77E05" w:rsidRDefault="00A77E05">
      <w:pPr>
        <w:rPr>
          <w:rFonts w:eastAsiaTheme="majorEastAsia" w:cstheme="majorBidi"/>
          <w:b/>
          <w:bCs/>
          <w:color w:val="365F91" w:themeColor="accent1" w:themeShade="BF"/>
          <w:sz w:val="28"/>
          <w:szCs w:val="28"/>
          <w:lang w:eastAsia="en-GB"/>
        </w:rPr>
      </w:pPr>
      <w:r>
        <w:br w:type="page"/>
      </w:r>
    </w:p>
    <w:p w14:paraId="28FC1CD8" w14:textId="3D117CA9" w:rsidR="001A0E44" w:rsidRPr="00516A85" w:rsidRDefault="003840A7" w:rsidP="000D2147">
      <w:pPr>
        <w:pStyle w:val="Heading1"/>
      </w:pPr>
      <w:bookmarkStart w:id="1" w:name="_Toc451522781"/>
      <w:r>
        <w:lastRenderedPageBreak/>
        <w:t>1.0</w:t>
      </w:r>
      <w:r>
        <w:tab/>
      </w:r>
      <w:r w:rsidR="001A0E44" w:rsidRPr="00516A85">
        <w:t xml:space="preserve">What is Information Risk </w:t>
      </w:r>
      <w:r w:rsidR="00446729" w:rsidRPr="00516A85">
        <w:t>Management</w:t>
      </w:r>
      <w:r w:rsidR="0035537A">
        <w:t xml:space="preserve"> (IRM)</w:t>
      </w:r>
      <w:r w:rsidR="00446729" w:rsidRPr="00516A85">
        <w:t>?</w:t>
      </w:r>
      <w:bookmarkEnd w:id="1"/>
      <w:r w:rsidR="001A0E44" w:rsidRPr="00516A85">
        <w:br/>
      </w:r>
    </w:p>
    <w:p w14:paraId="28FC1CD9" w14:textId="38393980" w:rsidR="001A0E44" w:rsidRPr="00516A85" w:rsidRDefault="001A0E44" w:rsidP="001A0E44">
      <w:r w:rsidRPr="00516A85">
        <w:t xml:space="preserve">This is the process by which we make sure that the information </w:t>
      </w:r>
      <w:r>
        <w:t xml:space="preserve">(both paper and electronic) </w:t>
      </w:r>
      <w:r w:rsidRPr="00516A85">
        <w:t>which is important to the running of our business (information assets) is managed app</w:t>
      </w:r>
      <w:r w:rsidR="00E0310B">
        <w:t>ropriately with respect to its:</w:t>
      </w:r>
    </w:p>
    <w:p w14:paraId="28FC1CDA" w14:textId="77777777" w:rsidR="001A0E44" w:rsidRPr="00516A85" w:rsidRDefault="001A0E44" w:rsidP="001A0E44">
      <w:pPr>
        <w:pStyle w:val="Heading2"/>
        <w:keepNext w:val="0"/>
        <w:keepLines w:val="0"/>
        <w:widowControl w:val="0"/>
        <w:numPr>
          <w:ilvl w:val="0"/>
          <w:numId w:val="1"/>
        </w:numPr>
        <w:spacing w:before="120" w:after="120" w:line="240" w:lineRule="auto"/>
      </w:pPr>
      <w:bookmarkStart w:id="2" w:name="_Toc357775935"/>
      <w:bookmarkStart w:id="3" w:name="_Toc357781853"/>
      <w:bookmarkStart w:id="4" w:name="_Toc384993323"/>
      <w:bookmarkStart w:id="5" w:name="_Toc384995249"/>
      <w:bookmarkStart w:id="6" w:name="_Toc385431863"/>
      <w:bookmarkStart w:id="7" w:name="_Toc385491966"/>
      <w:bookmarkStart w:id="8" w:name="_Toc451522782"/>
      <w:r w:rsidRPr="00516A85">
        <w:t>Confidentiality.</w:t>
      </w:r>
      <w:bookmarkEnd w:id="2"/>
      <w:bookmarkEnd w:id="3"/>
      <w:bookmarkEnd w:id="4"/>
      <w:bookmarkEnd w:id="5"/>
      <w:bookmarkEnd w:id="6"/>
      <w:bookmarkEnd w:id="7"/>
      <w:bookmarkEnd w:id="8"/>
    </w:p>
    <w:p w14:paraId="28FC1CDB" w14:textId="77777777" w:rsidR="001A0E44" w:rsidRPr="0053400B" w:rsidRDefault="001A0E44" w:rsidP="001A0E44">
      <w:pPr>
        <w:ind w:left="709"/>
      </w:pPr>
      <w:r w:rsidRPr="001F6182">
        <w:t>We must make sure that we comply with agreements given in contracts or the provisions of UK Law to protect the confidentiality of individuals or organisations we deal with, whilst noting that all information held by the CA may be subject to a request under the Freedom of Information Act.</w:t>
      </w:r>
    </w:p>
    <w:p w14:paraId="28FC1CDC" w14:textId="77777777" w:rsidR="001A0E44" w:rsidRDefault="001A0E44" w:rsidP="001A0E44">
      <w:pPr>
        <w:pStyle w:val="Heading2"/>
        <w:keepNext w:val="0"/>
        <w:keepLines w:val="0"/>
        <w:widowControl w:val="0"/>
        <w:numPr>
          <w:ilvl w:val="0"/>
          <w:numId w:val="1"/>
        </w:numPr>
        <w:spacing w:before="120" w:after="120" w:line="240" w:lineRule="auto"/>
      </w:pPr>
      <w:bookmarkStart w:id="9" w:name="_Toc357775936"/>
      <w:bookmarkStart w:id="10" w:name="_Toc357781854"/>
      <w:bookmarkStart w:id="11" w:name="_Toc384993324"/>
      <w:bookmarkStart w:id="12" w:name="_Toc384995250"/>
      <w:bookmarkStart w:id="13" w:name="_Toc385431864"/>
      <w:bookmarkStart w:id="14" w:name="_Toc385491967"/>
      <w:bookmarkStart w:id="15" w:name="_Toc451522783"/>
      <w:r w:rsidRPr="004354E2">
        <w:t>Integrity</w:t>
      </w:r>
      <w:r>
        <w:t>.</w:t>
      </w:r>
      <w:bookmarkEnd w:id="9"/>
      <w:bookmarkEnd w:id="10"/>
      <w:bookmarkEnd w:id="11"/>
      <w:bookmarkEnd w:id="12"/>
      <w:bookmarkEnd w:id="13"/>
      <w:bookmarkEnd w:id="14"/>
      <w:bookmarkEnd w:id="15"/>
    </w:p>
    <w:p w14:paraId="28FC1CDD" w14:textId="77777777" w:rsidR="004D6570" w:rsidRDefault="001A0E44" w:rsidP="002720E6">
      <w:pPr>
        <w:pStyle w:val="Paratext"/>
      </w:pPr>
      <w:r w:rsidRPr="00516A85">
        <w:t>We must make sure that the information that is important to our business is accurate in all respects and is managed appropriately to keep it fit for purpose</w:t>
      </w:r>
      <w:r w:rsidRPr="004354E2">
        <w:t>.</w:t>
      </w:r>
    </w:p>
    <w:p w14:paraId="28FC1CDE" w14:textId="77777777" w:rsidR="001A0E44" w:rsidRDefault="001A0E44" w:rsidP="001A0E44">
      <w:pPr>
        <w:pStyle w:val="Heading2"/>
        <w:keepNext w:val="0"/>
        <w:keepLines w:val="0"/>
        <w:widowControl w:val="0"/>
        <w:numPr>
          <w:ilvl w:val="0"/>
          <w:numId w:val="1"/>
        </w:numPr>
        <w:spacing w:before="120" w:after="120" w:line="240" w:lineRule="auto"/>
      </w:pPr>
      <w:bookmarkStart w:id="16" w:name="_Toc357775937"/>
      <w:bookmarkStart w:id="17" w:name="_Toc357781855"/>
      <w:bookmarkStart w:id="18" w:name="_Toc384993325"/>
      <w:bookmarkStart w:id="19" w:name="_Toc384995251"/>
      <w:bookmarkStart w:id="20" w:name="_Toc385431865"/>
      <w:bookmarkStart w:id="21" w:name="_Toc385491968"/>
      <w:bookmarkStart w:id="22" w:name="_Toc451522784"/>
      <w:r w:rsidRPr="004354E2">
        <w:t>Access</w:t>
      </w:r>
      <w:r>
        <w:t>.</w:t>
      </w:r>
      <w:bookmarkEnd w:id="16"/>
      <w:bookmarkEnd w:id="17"/>
      <w:bookmarkEnd w:id="18"/>
      <w:bookmarkEnd w:id="19"/>
      <w:bookmarkEnd w:id="20"/>
      <w:bookmarkEnd w:id="21"/>
      <w:bookmarkEnd w:id="22"/>
    </w:p>
    <w:p w14:paraId="28FC1CDF" w14:textId="77777777" w:rsidR="004D6570" w:rsidRDefault="001A0E44" w:rsidP="002720E6">
      <w:pPr>
        <w:pStyle w:val="Paratext"/>
      </w:pPr>
      <w:r w:rsidRPr="00516A85">
        <w:t>We must ensure that we can continue to use the information that is important to our business.</w:t>
      </w:r>
    </w:p>
    <w:p w14:paraId="28FC1CE0" w14:textId="43F620F1" w:rsidR="001A0E44" w:rsidRPr="004354E2" w:rsidRDefault="00DF025F" w:rsidP="001A0E44">
      <w:r>
        <w:br/>
      </w:r>
      <w:r w:rsidR="001A0E44" w:rsidRPr="000B77B9">
        <w:t xml:space="preserve">The management of information risk requires an </w:t>
      </w:r>
      <w:hyperlink r:id="rId9" w:history="1">
        <w:r w:rsidR="001A0E44" w:rsidRPr="000B77B9">
          <w:rPr>
            <w:rStyle w:val="Hyperlink"/>
            <w:rFonts w:cs="Times New Roman"/>
          </w:rPr>
          <w:t>appropriate organisational structure</w:t>
        </w:r>
      </w:hyperlink>
      <w:r w:rsidR="001A0E44">
        <w:t xml:space="preserve"> </w:t>
      </w:r>
      <w:r w:rsidR="001A0E44" w:rsidRPr="004354E2">
        <w:t>with clearly defined roles and responsibilities and that staff to whom these roles are allocated have the appropriate skills and training.</w:t>
      </w:r>
    </w:p>
    <w:p w14:paraId="28FC1CE1" w14:textId="77777777" w:rsidR="001A0E44" w:rsidRPr="004354E2" w:rsidRDefault="001A0E44" w:rsidP="001A0E44">
      <w:r w:rsidRPr="004354E2">
        <w:t>The Authority relies upon its staff, line ma</w:t>
      </w:r>
      <w:r>
        <w:t xml:space="preserve">nagers, </w:t>
      </w:r>
      <w:r w:rsidR="007C2943">
        <w:t xml:space="preserve">the </w:t>
      </w:r>
      <w:r w:rsidRPr="004354E2">
        <w:t>Records Management and ICT departments to help manage these risks.</w:t>
      </w:r>
    </w:p>
    <w:p w14:paraId="28FC1CE2" w14:textId="77777777" w:rsidR="00DF025F" w:rsidRDefault="001A0E44" w:rsidP="001A0E44">
      <w:r w:rsidRPr="004354E2">
        <w:t>This document seeks to supplement the existing good practices based upon the best practice guidance which HM Government is seeking to embed in every government organisation.</w:t>
      </w:r>
    </w:p>
    <w:p w14:paraId="28FC1CE3" w14:textId="77777777" w:rsidR="001A0E44" w:rsidRDefault="001A0E44" w:rsidP="001A0E44">
      <w:pPr>
        <w:rPr>
          <w:b/>
        </w:rPr>
      </w:pPr>
      <w:r w:rsidRPr="005A652F">
        <w:rPr>
          <w:b/>
        </w:rPr>
        <w:t>Please note: this policy is applicable to all Authority staff and any contractors, consultants or delivery partners working for the Authority.</w:t>
      </w:r>
      <w:r w:rsidR="005E7227">
        <w:rPr>
          <w:b/>
        </w:rPr>
        <w:br/>
      </w:r>
    </w:p>
    <w:p w14:paraId="7C0DD6F0" w14:textId="77777777" w:rsidR="00AA435A" w:rsidRPr="005A652F" w:rsidRDefault="00AA435A" w:rsidP="001A0E44">
      <w:pPr>
        <w:rPr>
          <w:b/>
        </w:rPr>
      </w:pPr>
    </w:p>
    <w:p w14:paraId="28FC1CE4" w14:textId="6E92A317" w:rsidR="00DF025F" w:rsidRDefault="00DF025F" w:rsidP="00594063">
      <w:pPr>
        <w:pBdr>
          <w:top w:val="single" w:sz="4" w:space="1" w:color="auto"/>
          <w:left w:val="single" w:sz="4" w:space="4" w:color="auto"/>
          <w:bottom w:val="single" w:sz="4" w:space="1" w:color="auto"/>
          <w:right w:val="single" w:sz="4" w:space="4" w:color="auto"/>
        </w:pBdr>
        <w:shd w:val="clear" w:color="auto" w:fill="EEECE1" w:themeFill="background2"/>
        <w:tabs>
          <w:tab w:val="left" w:pos="7513"/>
        </w:tabs>
        <w:ind w:left="142" w:right="140"/>
        <w:rPr>
          <w:b/>
        </w:rPr>
      </w:pPr>
      <w:r w:rsidRPr="00785590">
        <w:rPr>
          <w:b/>
        </w:rPr>
        <w:t xml:space="preserve">I </w:t>
      </w:r>
      <w:r>
        <w:rPr>
          <w:b/>
        </w:rPr>
        <w:t xml:space="preserve">confirm that I </w:t>
      </w:r>
      <w:r w:rsidRPr="00785590">
        <w:rPr>
          <w:b/>
        </w:rPr>
        <w:t xml:space="preserve">have read and understand my responsibilities outlined in </w:t>
      </w:r>
      <w:r>
        <w:rPr>
          <w:b/>
        </w:rPr>
        <w:br/>
        <w:t>S</w:t>
      </w:r>
      <w:r w:rsidRPr="00785590">
        <w:rPr>
          <w:b/>
        </w:rPr>
        <w:t>ection 1.0</w:t>
      </w:r>
      <w:r>
        <w:rPr>
          <w:b/>
        </w:rPr>
        <w:t>: “What Is</w:t>
      </w:r>
      <w:r w:rsidR="00B35E87">
        <w:rPr>
          <w:b/>
        </w:rPr>
        <w:t xml:space="preserve"> Information Risk Management”              </w:t>
      </w:r>
      <w:r w:rsidR="007C2943">
        <w:rPr>
          <w:i/>
        </w:rPr>
        <w:t xml:space="preserve">Please </w:t>
      </w:r>
      <w:r w:rsidR="00594063">
        <w:rPr>
          <w:i/>
        </w:rPr>
        <w:t>initial:</w:t>
      </w:r>
      <w:r>
        <w:t xml:space="preserve"> </w:t>
      </w:r>
      <w:r w:rsidRPr="009F3A12">
        <w:rPr>
          <w:b/>
          <w:sz w:val="32"/>
        </w:rPr>
        <w:t>[</w:t>
      </w:r>
      <w:r w:rsidR="00B35E87">
        <w:rPr>
          <w:b/>
          <w:sz w:val="32"/>
        </w:rPr>
        <w:t>MR</w:t>
      </w:r>
      <w:r w:rsidRPr="009F3A12">
        <w:rPr>
          <w:b/>
          <w:sz w:val="32"/>
        </w:rPr>
        <w:t>]</w:t>
      </w:r>
    </w:p>
    <w:p w14:paraId="28FC1CE5" w14:textId="77777777" w:rsidR="00AD27CD" w:rsidRDefault="00AD27CD">
      <w:pPr>
        <w:rPr>
          <w:rFonts w:eastAsiaTheme="majorEastAsia" w:cstheme="majorBidi"/>
          <w:b/>
          <w:bCs/>
          <w:color w:val="365F91" w:themeColor="accent1" w:themeShade="BF"/>
          <w:sz w:val="28"/>
          <w:szCs w:val="28"/>
          <w:lang w:eastAsia="en-GB"/>
        </w:rPr>
      </w:pPr>
      <w:r>
        <w:br w:type="page"/>
      </w:r>
    </w:p>
    <w:p w14:paraId="28FC1CE6" w14:textId="77777777" w:rsidR="001A0E44" w:rsidRPr="002732DF" w:rsidRDefault="00CC2E5A" w:rsidP="000D2147">
      <w:pPr>
        <w:pStyle w:val="Heading1"/>
      </w:pPr>
      <w:bookmarkStart w:id="23" w:name="_Toc451522785"/>
      <w:r>
        <w:lastRenderedPageBreak/>
        <w:t>2.0</w:t>
      </w:r>
      <w:r>
        <w:tab/>
      </w:r>
      <w:r>
        <w:tab/>
      </w:r>
      <w:r w:rsidR="001A0E44" w:rsidRPr="002732DF">
        <w:t>Governance</w:t>
      </w:r>
      <w:r w:rsidR="001A0E44">
        <w:t>.</w:t>
      </w:r>
      <w:bookmarkEnd w:id="23"/>
    </w:p>
    <w:p w14:paraId="28FC1CE7" w14:textId="77777777" w:rsidR="005A652F" w:rsidRDefault="005A652F" w:rsidP="005A652F">
      <w:pPr>
        <w:pStyle w:val="Paratext"/>
        <w:ind w:left="0"/>
      </w:pPr>
      <w:r w:rsidRPr="00DD4B70">
        <w:t xml:space="preserve">The Authority’s Board owns the Information Risk </w:t>
      </w:r>
      <w:r w:rsidR="00A11DFB">
        <w:t xml:space="preserve">Management </w:t>
      </w:r>
      <w:r w:rsidRPr="00DD4B70">
        <w:t xml:space="preserve">Policy and its implementation. </w:t>
      </w:r>
      <w:r w:rsidR="005716FE">
        <w:t>Review of t</w:t>
      </w:r>
      <w:r w:rsidRPr="00DD4B70">
        <w:t xml:space="preserve">he policy and its operation </w:t>
      </w:r>
      <w:r w:rsidR="005716FE">
        <w:t>may be undertaken by the Audit Committee on behalf of the Board.  The policy will be reviewed at least annually.</w:t>
      </w:r>
      <w:r w:rsidRPr="00DD4B70">
        <w:t xml:space="preserve"> </w:t>
      </w:r>
    </w:p>
    <w:p w14:paraId="28FC1CE8" w14:textId="77777777" w:rsidR="00A11DFB" w:rsidRDefault="005A652F" w:rsidP="00A11DFB">
      <w:pPr>
        <w:pStyle w:val="Paratext"/>
        <w:ind w:left="0"/>
      </w:pPr>
      <w:r w:rsidRPr="00DD4B70">
        <w:t>The Senior Information Risk Owner (SIRO) is responsible for developing and implementing this policy and for reviewing it regularly to ensure that it remains appropriate to business objectives and the risk environment. The Board has delegated the duties of the SIRO to the</w:t>
      </w:r>
      <w:r>
        <w:t xml:space="preserve"> Director of Finance and Corporate Services</w:t>
      </w:r>
      <w:r w:rsidRPr="00DD4B70">
        <w:t>.</w:t>
      </w:r>
    </w:p>
    <w:p w14:paraId="28FC1CE9" w14:textId="77777777" w:rsidR="005A652F" w:rsidRDefault="005A652F" w:rsidP="00A11DFB">
      <w:pPr>
        <w:pStyle w:val="Paratext"/>
        <w:ind w:left="0"/>
      </w:pPr>
      <w:r w:rsidRPr="00DD4B70">
        <w:t>Th</w:t>
      </w:r>
      <w:r w:rsidR="001559C8">
        <w:t>is</w:t>
      </w:r>
      <w:r w:rsidRPr="00DD4B70">
        <w:t xml:space="preserve"> policy will be regularly reviewed and communicated in a manner that is accessible and </w:t>
      </w:r>
      <w:r w:rsidR="006E5AA3">
        <w:t xml:space="preserve">understandable to all employees, </w:t>
      </w:r>
      <w:r w:rsidRPr="00DD4B70">
        <w:t xml:space="preserve">relevant </w:t>
      </w:r>
      <w:r w:rsidR="00A11DFB">
        <w:t>third</w:t>
      </w:r>
      <w:r w:rsidRPr="00DD4B70">
        <w:t xml:space="preserve"> parties and </w:t>
      </w:r>
      <w:r w:rsidR="00A11DFB">
        <w:t xml:space="preserve">our </w:t>
      </w:r>
      <w:r w:rsidRPr="00DD4B70">
        <w:t xml:space="preserve">delivery partners. </w:t>
      </w:r>
    </w:p>
    <w:p w14:paraId="28FC1CEA" w14:textId="1242A4B7" w:rsidR="001A0E44" w:rsidRPr="008E0B7B" w:rsidRDefault="001A0E44" w:rsidP="005A652F">
      <w:pPr>
        <w:rPr>
          <w:lang w:val="en-US"/>
        </w:rPr>
      </w:pPr>
      <w:r w:rsidRPr="008E0B7B">
        <w:rPr>
          <w:lang w:val="en-US"/>
        </w:rPr>
        <w:t>Information risk will be managed like any other risk to the Authority’s business</w:t>
      </w:r>
      <w:r w:rsidR="00EE7833">
        <w:rPr>
          <w:lang w:val="en-US"/>
        </w:rPr>
        <w:t xml:space="preserve"> and </w:t>
      </w:r>
      <w:r w:rsidR="000E5EBD">
        <w:rPr>
          <w:lang w:val="en-US"/>
        </w:rPr>
        <w:t>can</w:t>
      </w:r>
      <w:r w:rsidR="000E5EBD" w:rsidRPr="008E0B7B">
        <w:rPr>
          <w:lang w:val="en-US"/>
        </w:rPr>
        <w:t xml:space="preserve"> </w:t>
      </w:r>
      <w:r w:rsidRPr="008E0B7B">
        <w:rPr>
          <w:lang w:val="en-US"/>
        </w:rPr>
        <w:t xml:space="preserve">be raised by anyone in the organisation </w:t>
      </w:r>
      <w:r w:rsidR="00A11DFB">
        <w:rPr>
          <w:lang w:val="en-US"/>
        </w:rPr>
        <w:t>using the “</w:t>
      </w:r>
      <w:r w:rsidR="0096444B">
        <w:rPr>
          <w:lang w:val="en-US"/>
        </w:rPr>
        <w:t>Information Security Observations”</w:t>
      </w:r>
      <w:r w:rsidR="00A11DFB">
        <w:rPr>
          <w:lang w:val="en-US"/>
        </w:rPr>
        <w:t xml:space="preserve"> button in our online Service Desk tool, </w:t>
      </w:r>
      <w:hyperlink r:id="rId10" w:history="1">
        <w:r w:rsidR="00A11DFB" w:rsidRPr="00EE7833">
          <w:rPr>
            <w:rStyle w:val="Hyperlink"/>
            <w:lang w:val="en-US"/>
          </w:rPr>
          <w:t>TopDesk</w:t>
        </w:r>
      </w:hyperlink>
      <w:r w:rsidR="00A11DFB">
        <w:rPr>
          <w:lang w:val="en-US"/>
        </w:rPr>
        <w:t xml:space="preserve">.  </w:t>
      </w:r>
      <w:r w:rsidR="00DD566F">
        <w:rPr>
          <w:lang w:val="en-US"/>
        </w:rPr>
        <w:t>Information risks</w:t>
      </w:r>
      <w:r w:rsidR="00A11DFB">
        <w:rPr>
          <w:lang w:val="en-US"/>
        </w:rPr>
        <w:t xml:space="preserve"> </w:t>
      </w:r>
      <w:r w:rsidR="00594063">
        <w:rPr>
          <w:lang w:val="en-US"/>
        </w:rPr>
        <w:t xml:space="preserve">should also be </w:t>
      </w:r>
      <w:r w:rsidRPr="008E0B7B">
        <w:rPr>
          <w:lang w:val="en-US"/>
        </w:rPr>
        <w:t xml:space="preserve">discussed with </w:t>
      </w:r>
      <w:r w:rsidR="006E5AA3">
        <w:rPr>
          <w:lang w:val="en-US"/>
        </w:rPr>
        <w:t xml:space="preserve">your </w:t>
      </w:r>
      <w:r w:rsidR="00010D3D">
        <w:rPr>
          <w:lang w:val="en-US"/>
        </w:rPr>
        <w:t>L</w:t>
      </w:r>
      <w:r w:rsidR="00010D3D" w:rsidRPr="008E0B7B">
        <w:rPr>
          <w:lang w:val="en-US"/>
        </w:rPr>
        <w:t xml:space="preserve">ine </w:t>
      </w:r>
      <w:r w:rsidR="00010D3D">
        <w:rPr>
          <w:lang w:val="en-US"/>
        </w:rPr>
        <w:t>M</w:t>
      </w:r>
      <w:r w:rsidR="00010D3D" w:rsidRPr="008E0B7B">
        <w:rPr>
          <w:lang w:val="en-US"/>
        </w:rPr>
        <w:t>anager</w:t>
      </w:r>
      <w:r w:rsidR="006E5AA3">
        <w:rPr>
          <w:lang w:val="en-US"/>
        </w:rPr>
        <w:t>, Head of Department (HoD)</w:t>
      </w:r>
      <w:r w:rsidR="00010D3D" w:rsidRPr="008E0B7B">
        <w:rPr>
          <w:lang w:val="en-US"/>
        </w:rPr>
        <w:t xml:space="preserve"> </w:t>
      </w:r>
      <w:r w:rsidR="00594063">
        <w:rPr>
          <w:lang w:val="en-US"/>
        </w:rPr>
        <w:t>or</w:t>
      </w:r>
      <w:r w:rsidRPr="008E0B7B">
        <w:rPr>
          <w:lang w:val="en-US"/>
        </w:rPr>
        <w:t xml:space="preserve"> Director.</w:t>
      </w:r>
      <w:r w:rsidR="005A652F">
        <w:rPr>
          <w:lang w:val="en-US"/>
        </w:rPr>
        <w:t xml:space="preserve"> </w:t>
      </w:r>
      <w:r w:rsidRPr="008E0B7B">
        <w:rPr>
          <w:lang w:val="en-US"/>
        </w:rPr>
        <w:t xml:space="preserve"> </w:t>
      </w:r>
      <w:r w:rsidR="00A11DFB">
        <w:rPr>
          <w:lang w:val="en-US"/>
        </w:rPr>
        <w:t>I</w:t>
      </w:r>
      <w:r w:rsidRPr="008E0B7B">
        <w:rPr>
          <w:lang w:val="en-US"/>
        </w:rPr>
        <w:t>n most cases</w:t>
      </w:r>
      <w:r w:rsidR="00A11DFB">
        <w:rPr>
          <w:lang w:val="en-US"/>
        </w:rPr>
        <w:t>,</w:t>
      </w:r>
      <w:r w:rsidRPr="008E0B7B">
        <w:rPr>
          <w:lang w:val="en-US"/>
        </w:rPr>
        <w:t xml:space="preserve"> </w:t>
      </w:r>
      <w:r w:rsidR="00A11DFB">
        <w:rPr>
          <w:lang w:val="en-US"/>
        </w:rPr>
        <w:t>L</w:t>
      </w:r>
      <w:r w:rsidR="00A11DFB" w:rsidRPr="008E0B7B">
        <w:rPr>
          <w:lang w:val="en-US"/>
        </w:rPr>
        <w:t xml:space="preserve">ine </w:t>
      </w:r>
      <w:r w:rsidR="00A11DFB">
        <w:rPr>
          <w:lang w:val="en-US"/>
        </w:rPr>
        <w:t>M</w:t>
      </w:r>
      <w:r w:rsidR="00A11DFB" w:rsidRPr="008E0B7B">
        <w:rPr>
          <w:lang w:val="en-US"/>
        </w:rPr>
        <w:t xml:space="preserve">anagers are </w:t>
      </w:r>
      <w:r w:rsidRPr="008E0B7B">
        <w:rPr>
          <w:lang w:val="en-US"/>
        </w:rPr>
        <w:t xml:space="preserve">the </w:t>
      </w:r>
      <w:r w:rsidR="00A11DFB">
        <w:rPr>
          <w:lang w:val="en-US"/>
        </w:rPr>
        <w:t xml:space="preserve">departmental </w:t>
      </w:r>
      <w:r w:rsidRPr="008E0B7B">
        <w:rPr>
          <w:lang w:val="en-US"/>
        </w:rPr>
        <w:t>Information Asset Owner</w:t>
      </w:r>
      <w:r w:rsidR="00010D3D">
        <w:rPr>
          <w:lang w:val="en-US"/>
        </w:rPr>
        <w:t>s</w:t>
      </w:r>
      <w:r w:rsidRPr="008E0B7B">
        <w:rPr>
          <w:lang w:val="en-US"/>
        </w:rPr>
        <w:t xml:space="preserve"> (IAO</w:t>
      </w:r>
      <w:r w:rsidR="00010D3D">
        <w:rPr>
          <w:lang w:val="en-US"/>
        </w:rPr>
        <w:t>s</w:t>
      </w:r>
      <w:r w:rsidRPr="008E0B7B">
        <w:rPr>
          <w:lang w:val="en-US"/>
        </w:rPr>
        <w:t>)</w:t>
      </w:r>
      <w:r w:rsidR="00A11DFB">
        <w:rPr>
          <w:lang w:val="en-US"/>
        </w:rPr>
        <w:t xml:space="preserve">; </w:t>
      </w:r>
      <w:r w:rsidRPr="008E0B7B">
        <w:rPr>
          <w:lang w:val="en-US"/>
        </w:rPr>
        <w:t xml:space="preserve"> Line Managers with this role will be notified by the SIRO</w:t>
      </w:r>
      <w:r w:rsidR="00594063">
        <w:rPr>
          <w:lang w:val="en-US"/>
        </w:rPr>
        <w:t xml:space="preserve"> or </w:t>
      </w:r>
      <w:r w:rsidR="003075FF">
        <w:rPr>
          <w:lang w:val="en-US"/>
        </w:rPr>
        <w:t>HoD</w:t>
      </w:r>
      <w:r w:rsidRPr="008E0B7B">
        <w:rPr>
          <w:lang w:val="en-US"/>
        </w:rPr>
        <w:t>.</w:t>
      </w:r>
    </w:p>
    <w:p w14:paraId="28FC1CEB" w14:textId="77777777" w:rsidR="001A0E44" w:rsidRPr="008E0B7B" w:rsidRDefault="005716FE" w:rsidP="00DD4B70">
      <w:pPr>
        <w:rPr>
          <w:lang w:val="en-US"/>
        </w:rPr>
      </w:pPr>
      <w:r>
        <w:rPr>
          <w:lang w:val="en-US"/>
        </w:rPr>
        <w:t>Information Risk Management (</w:t>
      </w:r>
      <w:r w:rsidR="001A0E44" w:rsidRPr="008E0B7B">
        <w:rPr>
          <w:lang w:val="en-US"/>
        </w:rPr>
        <w:t>IRM</w:t>
      </w:r>
      <w:r>
        <w:rPr>
          <w:lang w:val="en-US"/>
        </w:rPr>
        <w:t>)</w:t>
      </w:r>
      <w:r w:rsidR="001A0E44" w:rsidRPr="008E0B7B">
        <w:rPr>
          <w:lang w:val="en-US"/>
        </w:rPr>
        <w:t xml:space="preserve"> will be part of the regular departmental risk reviews which will normally be convened by e</w:t>
      </w:r>
      <w:r w:rsidR="00A11DFB">
        <w:rPr>
          <w:lang w:val="en-US"/>
        </w:rPr>
        <w:t>ither</w:t>
      </w:r>
      <w:r>
        <w:rPr>
          <w:lang w:val="en-US"/>
        </w:rPr>
        <w:t xml:space="preserve"> line managers (</w:t>
      </w:r>
      <w:r w:rsidR="00A11DFB">
        <w:rPr>
          <w:lang w:val="en-US"/>
        </w:rPr>
        <w:t>IAOs</w:t>
      </w:r>
      <w:r>
        <w:rPr>
          <w:lang w:val="en-US"/>
        </w:rPr>
        <w:t>)</w:t>
      </w:r>
      <w:r w:rsidR="00A11DFB">
        <w:rPr>
          <w:lang w:val="en-US"/>
        </w:rPr>
        <w:t xml:space="preserve"> or departmental</w:t>
      </w:r>
      <w:r>
        <w:rPr>
          <w:lang w:val="en-US"/>
        </w:rPr>
        <w:t xml:space="preserve"> Heads. </w:t>
      </w:r>
      <w:r w:rsidR="001A0E44" w:rsidRPr="008E0B7B">
        <w:rPr>
          <w:lang w:val="en-US"/>
        </w:rPr>
        <w:t xml:space="preserve">Information risks must be reviewed formally at least every </w:t>
      </w:r>
      <w:r w:rsidR="005A652F">
        <w:rPr>
          <w:lang w:val="en-US"/>
        </w:rPr>
        <w:t>six</w:t>
      </w:r>
      <w:r w:rsidR="001A0E44" w:rsidRPr="008E0B7B">
        <w:rPr>
          <w:lang w:val="en-US"/>
        </w:rPr>
        <w:t xml:space="preserve"> months, or as directed by the SIRO.</w:t>
      </w:r>
    </w:p>
    <w:p w14:paraId="28FC1CEC" w14:textId="0811E623" w:rsidR="001A0E44" w:rsidRPr="008E0B7B" w:rsidRDefault="00A11DFB" w:rsidP="00DD4B70">
      <w:pPr>
        <w:rPr>
          <w:lang w:val="en-US"/>
        </w:rPr>
      </w:pPr>
      <w:r>
        <w:rPr>
          <w:lang w:val="en-US"/>
        </w:rPr>
        <w:t>New i</w:t>
      </w:r>
      <w:r w:rsidR="001A0E44" w:rsidRPr="008E0B7B">
        <w:rPr>
          <w:lang w:val="en-US"/>
        </w:rPr>
        <w:t xml:space="preserve">nformation risks and any changes to </w:t>
      </w:r>
      <w:r>
        <w:rPr>
          <w:lang w:val="en-US"/>
        </w:rPr>
        <w:t xml:space="preserve">existing risks or </w:t>
      </w:r>
      <w:r w:rsidR="001A0E44" w:rsidRPr="008E0B7B">
        <w:rPr>
          <w:lang w:val="en-US"/>
        </w:rPr>
        <w:t xml:space="preserve">information assets </w:t>
      </w:r>
      <w:r>
        <w:rPr>
          <w:lang w:val="en-US"/>
        </w:rPr>
        <w:t xml:space="preserve">(as documented in the </w:t>
      </w:r>
      <w:r w:rsidR="00DD566F">
        <w:rPr>
          <w:lang w:val="en-US"/>
        </w:rPr>
        <w:t xml:space="preserve">Authority’s </w:t>
      </w:r>
      <w:r>
        <w:rPr>
          <w:lang w:val="en-US"/>
        </w:rPr>
        <w:t xml:space="preserve">Information Asset </w:t>
      </w:r>
      <w:r w:rsidR="00B555BB">
        <w:rPr>
          <w:lang w:val="en-US"/>
        </w:rPr>
        <w:t>Register</w:t>
      </w:r>
      <w:r>
        <w:rPr>
          <w:lang w:val="en-US"/>
        </w:rPr>
        <w:t xml:space="preserve">), </w:t>
      </w:r>
      <w:r w:rsidR="001A0E44" w:rsidRPr="008E0B7B">
        <w:rPr>
          <w:lang w:val="en-US"/>
        </w:rPr>
        <w:t xml:space="preserve">will be brought to the attention of the SIRO by the IAOs. These will in turn be assessed by the SIRO with suitable controls defined and agreed between the parties. The SIRO will make recommendations through </w:t>
      </w:r>
      <w:r w:rsidR="005716FE">
        <w:rPr>
          <w:lang w:val="en-US"/>
        </w:rPr>
        <w:t>the</w:t>
      </w:r>
      <w:r w:rsidR="005E7227">
        <w:rPr>
          <w:lang w:val="en-US"/>
        </w:rPr>
        <w:t xml:space="preserve"> Executive Leadership Team</w:t>
      </w:r>
      <w:r w:rsidR="005716FE">
        <w:rPr>
          <w:lang w:val="en-US"/>
        </w:rPr>
        <w:t xml:space="preserve"> </w:t>
      </w:r>
      <w:r w:rsidR="005E7227">
        <w:rPr>
          <w:lang w:val="en-US"/>
        </w:rPr>
        <w:t>(</w:t>
      </w:r>
      <w:r w:rsidR="005716FE">
        <w:rPr>
          <w:lang w:val="en-US"/>
        </w:rPr>
        <w:t>ELT</w:t>
      </w:r>
      <w:r w:rsidR="005E7227">
        <w:rPr>
          <w:lang w:val="en-US"/>
        </w:rPr>
        <w:t>)</w:t>
      </w:r>
      <w:r w:rsidR="005716FE">
        <w:rPr>
          <w:lang w:val="en-US"/>
        </w:rPr>
        <w:t xml:space="preserve"> </w:t>
      </w:r>
      <w:r w:rsidR="00FD249F">
        <w:rPr>
          <w:lang w:val="en-US"/>
        </w:rPr>
        <w:t>and</w:t>
      </w:r>
      <w:r w:rsidR="001A0E44" w:rsidRPr="008E0B7B">
        <w:rPr>
          <w:lang w:val="en-US"/>
        </w:rPr>
        <w:t xml:space="preserve"> the Audit Committee where there are instances of </w:t>
      </w:r>
      <w:r w:rsidR="00FD249F">
        <w:rPr>
          <w:lang w:val="en-US"/>
        </w:rPr>
        <w:t xml:space="preserve">significant </w:t>
      </w:r>
      <w:r w:rsidR="001A0E44" w:rsidRPr="008E0B7B">
        <w:rPr>
          <w:lang w:val="en-US"/>
        </w:rPr>
        <w:t>new threats or new information assets.</w:t>
      </w:r>
    </w:p>
    <w:p w14:paraId="28FC1CED" w14:textId="77777777" w:rsidR="001A0E44" w:rsidRDefault="001A0E44" w:rsidP="00DD4B70">
      <w:r w:rsidRPr="008E0B7B">
        <w:rPr>
          <w:lang w:val="en-US"/>
        </w:rPr>
        <w:t>Departmental</w:t>
      </w:r>
      <w:r w:rsidR="00DD566F">
        <w:rPr>
          <w:lang w:val="en-US"/>
        </w:rPr>
        <w:t xml:space="preserve"> information</w:t>
      </w:r>
      <w:r w:rsidRPr="008E0B7B">
        <w:rPr>
          <w:lang w:val="en-US"/>
        </w:rPr>
        <w:t xml:space="preserve"> risks are debated and moderated by the </w:t>
      </w:r>
      <w:r w:rsidR="00DD566F">
        <w:rPr>
          <w:lang w:val="en-US"/>
        </w:rPr>
        <w:t>Security Forum</w:t>
      </w:r>
      <w:r w:rsidRPr="008E0B7B">
        <w:rPr>
          <w:lang w:val="en-US"/>
        </w:rPr>
        <w:t xml:space="preserve"> which in turn informs the Audit Committee and then the Board.</w:t>
      </w:r>
      <w:r w:rsidRPr="008E0B7B">
        <w:rPr>
          <w:lang w:val="en-US"/>
        </w:rPr>
        <w:br/>
      </w:r>
      <w:r w:rsidR="005E7227">
        <w:br/>
      </w:r>
      <w:r w:rsidR="005E7227">
        <w:br/>
      </w:r>
      <w:r w:rsidR="005E7227">
        <w:br/>
      </w:r>
      <w:r w:rsidR="005E7227">
        <w:br/>
      </w:r>
    </w:p>
    <w:p w14:paraId="28FC1CEE" w14:textId="7E16AAC6" w:rsidR="00DF025F" w:rsidRDefault="00DF025F" w:rsidP="007C2943">
      <w:pPr>
        <w:pBdr>
          <w:top w:val="single" w:sz="4" w:space="1" w:color="auto"/>
          <w:left w:val="single" w:sz="4" w:space="4" w:color="auto"/>
          <w:bottom w:val="single" w:sz="4" w:space="1" w:color="auto"/>
          <w:right w:val="single" w:sz="4" w:space="4" w:color="auto"/>
        </w:pBdr>
        <w:shd w:val="clear" w:color="auto" w:fill="EEECE1" w:themeFill="background2"/>
        <w:tabs>
          <w:tab w:val="left" w:pos="7513"/>
        </w:tabs>
        <w:ind w:left="142" w:right="140"/>
        <w:rPr>
          <w:b/>
        </w:rPr>
      </w:pPr>
      <w:r w:rsidRPr="00785590">
        <w:rPr>
          <w:b/>
        </w:rPr>
        <w:t xml:space="preserve">I </w:t>
      </w:r>
      <w:r>
        <w:rPr>
          <w:b/>
        </w:rPr>
        <w:t xml:space="preserve">confirm that I </w:t>
      </w:r>
      <w:r w:rsidRPr="00785590">
        <w:rPr>
          <w:b/>
        </w:rPr>
        <w:t xml:space="preserve">have read and understand my responsibilities outlined in </w:t>
      </w:r>
      <w:r>
        <w:rPr>
          <w:b/>
        </w:rPr>
        <w:br/>
        <w:t>S</w:t>
      </w:r>
      <w:r w:rsidRPr="00785590">
        <w:rPr>
          <w:b/>
        </w:rPr>
        <w:t xml:space="preserve">ection </w:t>
      </w:r>
      <w:r w:rsidR="005A652F">
        <w:rPr>
          <w:b/>
        </w:rPr>
        <w:t>2</w:t>
      </w:r>
      <w:r w:rsidRPr="00785590">
        <w:rPr>
          <w:b/>
        </w:rPr>
        <w:t>.0</w:t>
      </w:r>
      <w:r w:rsidR="00B35E87">
        <w:rPr>
          <w:b/>
        </w:rPr>
        <w:t xml:space="preserve">: “Governance”                                                             </w:t>
      </w:r>
      <w:r w:rsidR="007C2943">
        <w:rPr>
          <w:i/>
        </w:rPr>
        <w:t>P</w:t>
      </w:r>
      <w:r w:rsidR="00594063">
        <w:rPr>
          <w:i/>
        </w:rPr>
        <w:t>lease initial</w:t>
      </w:r>
      <w:r>
        <w:t xml:space="preserve"> </w:t>
      </w:r>
      <w:r w:rsidR="00B35E87">
        <w:rPr>
          <w:b/>
          <w:sz w:val="32"/>
        </w:rPr>
        <w:t>[MR</w:t>
      </w:r>
      <w:r w:rsidRPr="009F3A12">
        <w:rPr>
          <w:b/>
          <w:sz w:val="32"/>
        </w:rPr>
        <w:t>]</w:t>
      </w:r>
    </w:p>
    <w:p w14:paraId="056DFD05" w14:textId="77777777" w:rsidR="00AA435A" w:rsidRDefault="00AA435A">
      <w:pPr>
        <w:rPr>
          <w:rFonts w:eastAsiaTheme="majorEastAsia" w:cstheme="majorBidi"/>
          <w:b/>
          <w:bCs/>
          <w:color w:val="365F91" w:themeColor="accent1" w:themeShade="BF"/>
          <w:sz w:val="28"/>
          <w:szCs w:val="28"/>
          <w:lang w:eastAsia="en-GB"/>
        </w:rPr>
      </w:pPr>
      <w:bookmarkStart w:id="24" w:name="_Toc451522786"/>
      <w:r>
        <w:br w:type="page"/>
      </w:r>
    </w:p>
    <w:p w14:paraId="28FC1CEF" w14:textId="39FBA176" w:rsidR="001A0E44" w:rsidRDefault="005A652F" w:rsidP="005E7227">
      <w:pPr>
        <w:pStyle w:val="Heading1"/>
      </w:pPr>
      <w:r>
        <w:lastRenderedPageBreak/>
        <w:t>3</w:t>
      </w:r>
      <w:r w:rsidR="00CC2E5A">
        <w:t>.0</w:t>
      </w:r>
      <w:r w:rsidR="00CC2E5A">
        <w:tab/>
      </w:r>
      <w:r w:rsidR="001A0E44">
        <w:t>Training.</w:t>
      </w:r>
      <w:bookmarkEnd w:id="24"/>
    </w:p>
    <w:p w14:paraId="28FC1CF0" w14:textId="466A7D8D" w:rsidR="00DD566F" w:rsidRDefault="00DD566F" w:rsidP="00DD4B70">
      <w:r>
        <w:t xml:space="preserve">The </w:t>
      </w:r>
      <w:r w:rsidR="009A7BB7">
        <w:t xml:space="preserve">departmental </w:t>
      </w:r>
      <w:r>
        <w:t>IAO</w:t>
      </w:r>
      <w:r w:rsidR="009A7BB7">
        <w:t>s</w:t>
      </w:r>
      <w:r>
        <w:t xml:space="preserve"> </w:t>
      </w:r>
      <w:r w:rsidR="009A7BB7">
        <w:t>are</w:t>
      </w:r>
      <w:r>
        <w:t xml:space="preserve"> responsible for ensuring IRM training is completed by new starters (the successful completion of which </w:t>
      </w:r>
      <w:r w:rsidR="00E0310B">
        <w:t>is monitored by the Security Forum</w:t>
      </w:r>
      <w:r>
        <w:t xml:space="preserve">) during their induction and before formally taking up their post.  </w:t>
      </w:r>
    </w:p>
    <w:p w14:paraId="28FC1CF1" w14:textId="77777777" w:rsidR="00DD566F" w:rsidRDefault="00DD566F" w:rsidP="00DD566F">
      <w:r>
        <w:t>It is mandatory for all staff to undergo annual refresher training, details of which will be provided by the SIRO</w:t>
      </w:r>
      <w:r w:rsidR="00091DC6">
        <w:t>.</w:t>
      </w:r>
    </w:p>
    <w:p w14:paraId="28FC1CF6" w14:textId="36FE1929" w:rsidR="008E0B7B" w:rsidRPr="0035537A" w:rsidRDefault="006D6671" w:rsidP="00A22602">
      <w:pPr>
        <w:pStyle w:val="ListParagraph"/>
        <w:numPr>
          <w:ilvl w:val="0"/>
          <w:numId w:val="1"/>
        </w:numPr>
        <w:rPr>
          <w:rStyle w:val="Hyperlink"/>
          <w:rFonts w:cs="Times New Roman"/>
          <w:color w:val="auto"/>
          <w:u w:val="none"/>
        </w:rPr>
      </w:pPr>
      <w:hyperlink r:id="rId11" w:history="1">
        <w:r w:rsidR="001A0E44" w:rsidRPr="00DD566F">
          <w:rPr>
            <w:rStyle w:val="Hyperlink"/>
            <w:rFonts w:cs="Times New Roman"/>
          </w:rPr>
          <w:t xml:space="preserve">Protecting Information Training on </w:t>
        </w:r>
        <w:r w:rsidR="00DD566F">
          <w:rPr>
            <w:rStyle w:val="Hyperlink"/>
            <w:rFonts w:cs="Times New Roman"/>
          </w:rPr>
          <w:t>TCA</w:t>
        </w:r>
        <w:r w:rsidR="001A0E44" w:rsidRPr="00DD566F">
          <w:rPr>
            <w:rStyle w:val="Hyperlink"/>
            <w:rFonts w:cs="Times New Roman"/>
          </w:rPr>
          <w:t xml:space="preserve"> Intranet</w:t>
        </w:r>
      </w:hyperlink>
    </w:p>
    <w:p w14:paraId="62E83E54" w14:textId="77777777" w:rsidR="0035537A" w:rsidRPr="00A22602" w:rsidRDefault="0035537A" w:rsidP="0035537A">
      <w:pPr>
        <w:pStyle w:val="ListParagraph"/>
        <w:rPr>
          <w:rFonts w:cs="Times New Roman"/>
        </w:rPr>
      </w:pPr>
    </w:p>
    <w:p w14:paraId="28FC1CFB" w14:textId="77777777" w:rsidR="007F75C1" w:rsidRDefault="00036EB2" w:rsidP="00DD4B70">
      <w:r>
        <w:t>In addition, all staff must</w:t>
      </w:r>
      <w:r w:rsidR="00641EDA">
        <w:t xml:space="preserve"> read and ensure they are familiar with the following </w:t>
      </w:r>
      <w:r w:rsidR="00091DC6">
        <w:t xml:space="preserve">information security classification </w:t>
      </w:r>
      <w:r w:rsidR="00641EDA">
        <w:t xml:space="preserve">documents which can be found in the </w:t>
      </w:r>
      <w:hyperlink r:id="rId12" w:history="1">
        <w:r w:rsidR="00641EDA" w:rsidRPr="007F75C1">
          <w:rPr>
            <w:rStyle w:val="Hyperlink"/>
          </w:rPr>
          <w:t xml:space="preserve">Information </w:t>
        </w:r>
        <w:r w:rsidR="007F75C1" w:rsidRPr="007F75C1">
          <w:rPr>
            <w:rStyle w:val="Hyperlink"/>
          </w:rPr>
          <w:t xml:space="preserve">&amp; </w:t>
        </w:r>
        <w:r w:rsidR="00641EDA" w:rsidRPr="007F75C1">
          <w:rPr>
            <w:rStyle w:val="Hyperlink"/>
          </w:rPr>
          <w:t xml:space="preserve">Risk </w:t>
        </w:r>
        <w:r w:rsidR="007F75C1" w:rsidRPr="007F75C1">
          <w:rPr>
            <w:rStyle w:val="Hyperlink"/>
          </w:rPr>
          <w:t>Management</w:t>
        </w:r>
      </w:hyperlink>
      <w:r w:rsidR="007F75C1">
        <w:t xml:space="preserve"> </w:t>
      </w:r>
      <w:r w:rsidR="00641EDA">
        <w:t>section of the CA intranet:</w:t>
      </w:r>
    </w:p>
    <w:p w14:paraId="28FC1CFC" w14:textId="77777777" w:rsidR="007F75C1" w:rsidRDefault="006D6671" w:rsidP="007F75C1">
      <w:pPr>
        <w:pStyle w:val="ListParagraph"/>
        <w:numPr>
          <w:ilvl w:val="0"/>
          <w:numId w:val="2"/>
        </w:numPr>
      </w:pPr>
      <w:hyperlink r:id="rId13" w:history="1">
        <w:r w:rsidR="00641EDA" w:rsidRPr="007F75C1">
          <w:rPr>
            <w:rStyle w:val="Hyperlink"/>
          </w:rPr>
          <w:t>GSC TCA Handling Instructions</w:t>
        </w:r>
      </w:hyperlink>
    </w:p>
    <w:p w14:paraId="28FC1CFD" w14:textId="77777777" w:rsidR="00E671CA" w:rsidRPr="00E671CA" w:rsidRDefault="006D6671" w:rsidP="007F75C1">
      <w:pPr>
        <w:pStyle w:val="ListParagraph"/>
        <w:numPr>
          <w:ilvl w:val="0"/>
          <w:numId w:val="2"/>
        </w:numPr>
      </w:pPr>
      <w:hyperlink r:id="rId14" w:history="1">
        <w:r w:rsidR="00E671CA" w:rsidRPr="00E671CA">
          <w:rPr>
            <w:rStyle w:val="Hyperlink"/>
          </w:rPr>
          <w:t>Government Security Classification Presentation</w:t>
        </w:r>
      </w:hyperlink>
      <w:r w:rsidR="00E671CA" w:rsidRPr="00E671CA">
        <w:t xml:space="preserve"> </w:t>
      </w:r>
    </w:p>
    <w:p w14:paraId="28FC1CFF" w14:textId="3F576038" w:rsidR="00641EDA" w:rsidRDefault="006D6671" w:rsidP="00DD4B70">
      <w:pPr>
        <w:pStyle w:val="ListParagraph"/>
        <w:numPr>
          <w:ilvl w:val="0"/>
          <w:numId w:val="2"/>
        </w:numPr>
      </w:pPr>
      <w:hyperlink r:id="rId15" w:history="1">
        <w:r w:rsidR="00E671CA" w:rsidRPr="00E671CA">
          <w:rPr>
            <w:rStyle w:val="Hyperlink"/>
          </w:rPr>
          <w:t>Desk Aid</w:t>
        </w:r>
      </w:hyperlink>
      <w:r w:rsidR="005E7227">
        <w:br/>
      </w:r>
    </w:p>
    <w:p w14:paraId="28FC1D00" w14:textId="19438576" w:rsidR="00DF025F" w:rsidRPr="00D91BF6" w:rsidRDefault="00DF025F" w:rsidP="00D91BF6">
      <w:pPr>
        <w:pBdr>
          <w:top w:val="single" w:sz="4" w:space="1" w:color="auto"/>
          <w:left w:val="single" w:sz="4" w:space="4" w:color="auto"/>
          <w:bottom w:val="single" w:sz="4" w:space="1" w:color="auto"/>
          <w:right w:val="single" w:sz="4" w:space="4" w:color="auto"/>
        </w:pBdr>
        <w:shd w:val="clear" w:color="auto" w:fill="EEECE1" w:themeFill="background2"/>
        <w:tabs>
          <w:tab w:val="left" w:pos="7513"/>
        </w:tabs>
        <w:ind w:left="142" w:right="140"/>
        <w:rPr>
          <w:b/>
        </w:rPr>
      </w:pPr>
      <w:r w:rsidRPr="00785590">
        <w:rPr>
          <w:b/>
        </w:rPr>
        <w:t xml:space="preserve">I </w:t>
      </w:r>
      <w:r>
        <w:rPr>
          <w:b/>
        </w:rPr>
        <w:t xml:space="preserve">confirm that I </w:t>
      </w:r>
      <w:r w:rsidRPr="00785590">
        <w:rPr>
          <w:b/>
        </w:rPr>
        <w:t xml:space="preserve">have read and understand my responsibilities outlined in </w:t>
      </w:r>
      <w:r>
        <w:rPr>
          <w:b/>
        </w:rPr>
        <w:br/>
        <w:t>S</w:t>
      </w:r>
      <w:r w:rsidRPr="00785590">
        <w:rPr>
          <w:b/>
        </w:rPr>
        <w:t xml:space="preserve">ection </w:t>
      </w:r>
      <w:r w:rsidR="005A652F">
        <w:rPr>
          <w:b/>
        </w:rPr>
        <w:t>3</w:t>
      </w:r>
      <w:r w:rsidRPr="00785590">
        <w:rPr>
          <w:b/>
        </w:rPr>
        <w:t>.0</w:t>
      </w:r>
      <w:r>
        <w:rPr>
          <w:b/>
        </w:rPr>
        <w:t xml:space="preserve">: “Training”  </w:t>
      </w:r>
      <w:r w:rsidR="00B35E87">
        <w:rPr>
          <w:b/>
        </w:rPr>
        <w:t xml:space="preserve">”                                                             </w:t>
      </w:r>
      <w:r w:rsidR="00B35E87">
        <w:rPr>
          <w:i/>
        </w:rPr>
        <w:t>Please initial</w:t>
      </w:r>
      <w:r w:rsidR="00B35E87">
        <w:t xml:space="preserve"> </w:t>
      </w:r>
      <w:r w:rsidR="00B35E87">
        <w:rPr>
          <w:b/>
          <w:sz w:val="32"/>
        </w:rPr>
        <w:t>[MR</w:t>
      </w:r>
      <w:r w:rsidR="00B35E87" w:rsidRPr="009F3A12">
        <w:rPr>
          <w:b/>
          <w:sz w:val="32"/>
        </w:rPr>
        <w:t>]</w:t>
      </w:r>
    </w:p>
    <w:p w14:paraId="28FC1D01" w14:textId="77777777" w:rsidR="00D91BF6" w:rsidRDefault="00D91BF6">
      <w:pPr>
        <w:rPr>
          <w:rFonts w:eastAsiaTheme="majorEastAsia" w:cstheme="majorBidi"/>
          <w:b/>
          <w:bCs/>
          <w:color w:val="365F91" w:themeColor="accent1" w:themeShade="BF"/>
          <w:sz w:val="28"/>
          <w:szCs w:val="28"/>
          <w:lang w:eastAsia="en-GB"/>
        </w:rPr>
      </w:pPr>
      <w:r>
        <w:br w:type="page"/>
      </w:r>
    </w:p>
    <w:p w14:paraId="28FC1D02" w14:textId="5152E513" w:rsidR="000B77B9" w:rsidRDefault="001A0E44" w:rsidP="009A7BB7">
      <w:pPr>
        <w:pStyle w:val="Heading1"/>
        <w:numPr>
          <w:ilvl w:val="0"/>
          <w:numId w:val="17"/>
        </w:numPr>
      </w:pPr>
      <w:bookmarkStart w:id="25" w:name="_Toc451522787"/>
      <w:r w:rsidRPr="002732DF">
        <w:lastRenderedPageBreak/>
        <w:t>Responsibilities and Duties</w:t>
      </w:r>
      <w:r>
        <w:t>.</w:t>
      </w:r>
      <w:bookmarkEnd w:id="25"/>
    </w:p>
    <w:p w14:paraId="46792603" w14:textId="7437C3D0" w:rsidR="001B71FF" w:rsidRPr="00BC238A" w:rsidRDefault="001B71FF" w:rsidP="00BC238A">
      <w:pPr>
        <w:rPr>
          <w:lang w:eastAsia="en-GB"/>
        </w:rPr>
      </w:pPr>
      <w:r>
        <w:rPr>
          <w:lang w:eastAsia="en-GB"/>
        </w:rPr>
        <w:t>Anyone found to be in breach of</w:t>
      </w:r>
      <w:r w:rsidR="00BC238A">
        <w:rPr>
          <w:lang w:eastAsia="en-GB"/>
        </w:rPr>
        <w:t xml:space="preserve"> any of the following responsibilities and </w:t>
      </w:r>
      <w:r>
        <w:rPr>
          <w:lang w:eastAsia="en-GB"/>
        </w:rPr>
        <w:t xml:space="preserve">may be reported to their line manager or employer and be subject to disciplinary action (eg </w:t>
      </w:r>
      <w:hyperlink r:id="rId16" w:history="1">
        <w:r w:rsidRPr="001B71FF">
          <w:rPr>
            <w:rStyle w:val="Hyperlink"/>
            <w:lang w:eastAsia="en-GB"/>
          </w:rPr>
          <w:t>Employee Disciplinary Policy</w:t>
        </w:r>
      </w:hyperlink>
      <w:r>
        <w:rPr>
          <w:lang w:eastAsia="en-GB"/>
        </w:rPr>
        <w:t>).</w:t>
      </w:r>
    </w:p>
    <w:p w14:paraId="28FC1D07" w14:textId="26E45E87" w:rsidR="004F4BB3" w:rsidRDefault="001A0E44" w:rsidP="00A22602">
      <w:pPr>
        <w:pStyle w:val="Heading2"/>
        <w:keepNext w:val="0"/>
        <w:keepLines w:val="0"/>
        <w:widowControl w:val="0"/>
        <w:numPr>
          <w:ilvl w:val="1"/>
          <w:numId w:val="18"/>
        </w:numPr>
        <w:spacing w:before="240" w:after="120" w:line="240" w:lineRule="auto"/>
      </w:pPr>
      <w:bookmarkStart w:id="26" w:name="_Toc357781744"/>
      <w:bookmarkStart w:id="27" w:name="_Toc357781860"/>
      <w:bookmarkStart w:id="28" w:name="_Toc358104934"/>
      <w:bookmarkStart w:id="29" w:name="_Toc359331750"/>
      <w:bookmarkStart w:id="30" w:name="_Toc384720847"/>
      <w:bookmarkStart w:id="31" w:name="_Toc384904847"/>
      <w:bookmarkStart w:id="32" w:name="_Toc384993078"/>
      <w:bookmarkStart w:id="33" w:name="_Toc384993330"/>
      <w:bookmarkStart w:id="34" w:name="_Toc384994762"/>
      <w:bookmarkStart w:id="35" w:name="_Toc384995256"/>
      <w:bookmarkStart w:id="36" w:name="_Toc385431869"/>
      <w:bookmarkStart w:id="37" w:name="_Toc385491972"/>
      <w:bookmarkStart w:id="38" w:name="_Toc451522788"/>
      <w:bookmarkStart w:id="39" w:name="_Toc385431870"/>
      <w:bookmarkStart w:id="40" w:name="_Toc385491973"/>
      <w:bookmarkStart w:id="41" w:name="_Toc451522789"/>
      <w:bookmarkStart w:id="42" w:name="_Toc385431871"/>
      <w:bookmarkStart w:id="43" w:name="_Toc385491974"/>
      <w:bookmarkStart w:id="44" w:name="_Toc451522790"/>
      <w:bookmarkStart w:id="45" w:name="_Toc385431872"/>
      <w:bookmarkStart w:id="46" w:name="_Toc385491975"/>
      <w:bookmarkStart w:id="47" w:name="_Toc451522791"/>
      <w:bookmarkStart w:id="48" w:name="_Toc45152279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9B137C">
        <w:t>All Staff</w:t>
      </w:r>
      <w:r w:rsidR="004F4BB3">
        <w:t>:</w:t>
      </w:r>
      <w:r w:rsidRPr="009B137C">
        <w:t xml:space="preserve"> </w:t>
      </w:r>
      <w:r>
        <w:t>I</w:t>
      </w:r>
      <w:r w:rsidRPr="009B137C">
        <w:t>ncluding Contractors</w:t>
      </w:r>
      <w:r w:rsidR="004F4BB3">
        <w:t xml:space="preserve"> and </w:t>
      </w:r>
      <w:r w:rsidRPr="009B137C">
        <w:t>Delivery Partners</w:t>
      </w:r>
      <w:r>
        <w:t>.</w:t>
      </w:r>
      <w:bookmarkEnd w:id="48"/>
    </w:p>
    <w:p w14:paraId="28FC1D08" w14:textId="77777777" w:rsidR="000B77B9" w:rsidRDefault="004F4BB3" w:rsidP="0035537A">
      <w:pPr>
        <w:pStyle w:val="Heading3"/>
        <w:ind w:left="720"/>
      </w:pPr>
      <w:bookmarkStart w:id="49" w:name="_Toc357781866"/>
      <w:bookmarkStart w:id="50" w:name="_Toc384993336"/>
      <w:bookmarkStart w:id="51" w:name="_Toc384994768"/>
      <w:bookmarkStart w:id="52" w:name="_Toc384995262"/>
      <w:bookmarkStart w:id="53" w:name="_Toc385431874"/>
      <w:bookmarkStart w:id="54" w:name="_Toc385491977"/>
      <w:bookmarkStart w:id="55" w:name="_Toc451522793"/>
      <w:r>
        <w:t>I</w:t>
      </w:r>
      <w:r w:rsidR="001A0E44" w:rsidRPr="009B137C">
        <w:t>nformation Classification and Marking</w:t>
      </w:r>
      <w:r w:rsidR="001A0E44">
        <w:t>:</w:t>
      </w:r>
      <w:bookmarkEnd w:id="49"/>
      <w:bookmarkEnd w:id="50"/>
      <w:bookmarkEnd w:id="51"/>
      <w:bookmarkEnd w:id="52"/>
      <w:bookmarkEnd w:id="53"/>
      <w:bookmarkEnd w:id="54"/>
      <w:bookmarkEnd w:id="55"/>
    </w:p>
    <w:p w14:paraId="28FC1D09" w14:textId="77777777" w:rsidR="002E307E" w:rsidRPr="005B698B" w:rsidRDefault="001A0E44" w:rsidP="0035537A">
      <w:pPr>
        <w:ind w:left="1440"/>
        <w:rPr>
          <w:b/>
          <w:bCs/>
          <w:color w:val="FF0000"/>
        </w:rPr>
      </w:pPr>
      <w:r w:rsidRPr="00112DF4">
        <w:t>Staff are responsible for making sure that information produced and stored outside of business IT systems</w:t>
      </w:r>
      <w:r>
        <w:t>,</w:t>
      </w:r>
      <w:r w:rsidRPr="00112DF4">
        <w:t xml:space="preserve"> but within WISDOM</w:t>
      </w:r>
      <w:r w:rsidR="00A36DEC">
        <w:t xml:space="preserve"> or network drives</w:t>
      </w:r>
      <w:r>
        <w:t>,</w:t>
      </w:r>
      <w:r w:rsidRPr="00112DF4">
        <w:t xml:space="preserve"> is classified according to the </w:t>
      </w:r>
      <w:hyperlink w:anchor="_Appendix_2:_" w:history="1">
        <w:r w:rsidRPr="003E5C70">
          <w:rPr>
            <w:rStyle w:val="Hyperlink"/>
            <w:rFonts w:cs="Times New Roman"/>
            <w:bCs/>
            <w:iCs/>
          </w:rPr>
          <w:t>Government</w:t>
        </w:r>
        <w:r w:rsidR="00091DC6" w:rsidRPr="003E5C70">
          <w:rPr>
            <w:rStyle w:val="Hyperlink"/>
            <w:rFonts w:cs="Times New Roman"/>
            <w:bCs/>
            <w:iCs/>
          </w:rPr>
          <w:t xml:space="preserve"> Security Classifications</w:t>
        </w:r>
      </w:hyperlink>
      <w:r w:rsidR="00732B0B" w:rsidRPr="003E5C70">
        <w:t xml:space="preserve"> </w:t>
      </w:r>
      <w:r w:rsidR="006500A0">
        <w:t xml:space="preserve">illustrated </w:t>
      </w:r>
      <w:r w:rsidR="00732B0B" w:rsidRPr="003E5C70">
        <w:t xml:space="preserve">in Appendix </w:t>
      </w:r>
      <w:r w:rsidR="00091DC6" w:rsidRPr="003E5C70">
        <w:t>2</w:t>
      </w:r>
      <w:r w:rsidR="006500A0">
        <w:t xml:space="preserve"> of this policy</w:t>
      </w:r>
      <w:r w:rsidRPr="003E5C70">
        <w:t>.</w:t>
      </w:r>
      <w:r w:rsidRPr="00112DF4">
        <w:t xml:space="preserve"> </w:t>
      </w:r>
    </w:p>
    <w:p w14:paraId="28FC1D0A" w14:textId="77777777" w:rsidR="00CF4428" w:rsidRDefault="006500A0" w:rsidP="0035537A">
      <w:pPr>
        <w:ind w:left="1418"/>
      </w:pPr>
      <w:r>
        <w:t>You must familiarise yourself with these classification guidelines, in addition to the</w:t>
      </w:r>
      <w:r w:rsidR="009A7BB7">
        <w:t xml:space="preserve"> accompanying</w:t>
      </w:r>
      <w:r>
        <w:t xml:space="preserve"> </w:t>
      </w:r>
      <w:hyperlink r:id="rId17" w:history="1">
        <w:r w:rsidR="005B698B" w:rsidRPr="00703E35">
          <w:rPr>
            <w:rStyle w:val="Hyperlink"/>
          </w:rPr>
          <w:t xml:space="preserve">TCA </w:t>
        </w:r>
        <w:r w:rsidR="002E307E" w:rsidRPr="00703E35">
          <w:rPr>
            <w:rStyle w:val="Hyperlink"/>
          </w:rPr>
          <w:t>handling instruction</w:t>
        </w:r>
        <w:r w:rsidR="005B698B" w:rsidRPr="00703E35">
          <w:rPr>
            <w:rStyle w:val="Hyperlink"/>
          </w:rPr>
          <w:t>s document</w:t>
        </w:r>
      </w:hyperlink>
      <w:r w:rsidR="005B698B" w:rsidRPr="00CF4428">
        <w:t xml:space="preserve"> for more detailed</w:t>
      </w:r>
      <w:r w:rsidR="002E307E" w:rsidRPr="00CF4428">
        <w:t xml:space="preserve"> guidance and examples. </w:t>
      </w:r>
    </w:p>
    <w:p w14:paraId="28FC1D0B" w14:textId="77777777" w:rsidR="006500A0" w:rsidRDefault="006500A0" w:rsidP="0035537A">
      <w:pPr>
        <w:ind w:left="1418"/>
      </w:pPr>
      <w:r>
        <w:rPr>
          <w:bCs/>
        </w:rPr>
        <w:t>If you require any advice, you should contact your line manager (IAO) in the first instance, or your HoD or SIRO for further clarification.</w:t>
      </w:r>
    </w:p>
    <w:p w14:paraId="28FC1D0C" w14:textId="79657C80" w:rsidR="001A0E44" w:rsidRPr="009B137C" w:rsidRDefault="001A0E44" w:rsidP="0035537A">
      <w:pPr>
        <w:pStyle w:val="Heading3"/>
        <w:ind w:left="720"/>
      </w:pPr>
      <w:bookmarkStart w:id="56" w:name="_Toc357781867"/>
      <w:bookmarkStart w:id="57" w:name="_Toc384993337"/>
      <w:bookmarkStart w:id="58" w:name="_Toc384994769"/>
      <w:bookmarkStart w:id="59" w:name="_Toc384995263"/>
      <w:bookmarkStart w:id="60" w:name="_Toc385431875"/>
      <w:bookmarkStart w:id="61" w:name="_Toc385491978"/>
      <w:bookmarkStart w:id="62" w:name="_Toc451522794"/>
      <w:r w:rsidRPr="009B137C">
        <w:t>Storage</w:t>
      </w:r>
      <w:r w:rsidR="00D7371C">
        <w:t>,</w:t>
      </w:r>
      <w:r w:rsidRPr="009B137C">
        <w:t xml:space="preserve"> Use</w:t>
      </w:r>
      <w:r w:rsidR="00D7371C">
        <w:t>, Transmission and Disposal</w:t>
      </w:r>
      <w:r>
        <w:t>:</w:t>
      </w:r>
      <w:bookmarkEnd w:id="56"/>
      <w:bookmarkEnd w:id="57"/>
      <w:bookmarkEnd w:id="58"/>
      <w:bookmarkEnd w:id="59"/>
      <w:bookmarkEnd w:id="60"/>
      <w:bookmarkEnd w:id="61"/>
      <w:bookmarkEnd w:id="62"/>
      <w:r w:rsidR="00FC3B63">
        <w:t xml:space="preserve">  </w:t>
      </w:r>
    </w:p>
    <w:p w14:paraId="28FC1D0D" w14:textId="77777777" w:rsidR="004D6570" w:rsidRPr="002720E6" w:rsidRDefault="00732B0B" w:rsidP="0035537A">
      <w:pPr>
        <w:pStyle w:val="Paratext"/>
        <w:ind w:left="1440"/>
      </w:pPr>
      <w:r w:rsidRPr="002720E6">
        <w:t>The storage</w:t>
      </w:r>
      <w:r w:rsidR="00D7371C" w:rsidRPr="002720E6">
        <w:t>, use, transmission and disposal</w:t>
      </w:r>
      <w:r w:rsidRPr="002720E6">
        <w:t xml:space="preserve"> of information (in accordance with its classification and marking) must adhere to the </w:t>
      </w:r>
      <w:hyperlink w:anchor="_Appendix_3:_Security" w:history="1">
        <w:r w:rsidRPr="008D34CA">
          <w:rPr>
            <w:rStyle w:val="Hyperlink"/>
          </w:rPr>
          <w:t>security handling rules detailed in Appendix 3</w:t>
        </w:r>
      </w:hyperlink>
      <w:r w:rsidRPr="002720E6">
        <w:t xml:space="preserve"> of this policy.  </w:t>
      </w:r>
    </w:p>
    <w:p w14:paraId="28FC1D0E" w14:textId="77777777" w:rsidR="004804C0" w:rsidRDefault="004804C0" w:rsidP="0035537A">
      <w:pPr>
        <w:pStyle w:val="Paratext"/>
        <w:ind w:left="1440"/>
      </w:pPr>
    </w:p>
    <w:p w14:paraId="28FC1D0F" w14:textId="77777777" w:rsidR="004F4BB3" w:rsidRDefault="001A0E44" w:rsidP="0035537A">
      <w:pPr>
        <w:ind w:left="1440"/>
        <w:rPr>
          <w:bCs/>
          <w:iCs/>
          <w:szCs w:val="28"/>
        </w:rPr>
      </w:pPr>
      <w:r w:rsidRPr="006E3DC2">
        <w:rPr>
          <w:bCs/>
          <w:iCs/>
          <w:szCs w:val="28"/>
        </w:rPr>
        <w:t xml:space="preserve">Staff </w:t>
      </w:r>
      <w:r w:rsidRPr="0043494F">
        <w:rPr>
          <w:bCs/>
          <w:iCs/>
          <w:szCs w:val="28"/>
        </w:rPr>
        <w:t>must</w:t>
      </w:r>
      <w:r w:rsidRPr="006E3DC2">
        <w:rPr>
          <w:bCs/>
          <w:iCs/>
          <w:szCs w:val="28"/>
        </w:rPr>
        <w:t xml:space="preserve"> have the express written permission of their IAO before taking a</w:t>
      </w:r>
      <w:r w:rsidR="00120B95">
        <w:rPr>
          <w:bCs/>
          <w:iCs/>
          <w:szCs w:val="28"/>
        </w:rPr>
        <w:t xml:space="preserve"> significant volume of information (either</w:t>
      </w:r>
      <w:r w:rsidRPr="006E3DC2">
        <w:rPr>
          <w:bCs/>
          <w:iCs/>
          <w:szCs w:val="28"/>
        </w:rPr>
        <w:t xml:space="preserve"> paper records or electronic records on removable media</w:t>
      </w:r>
      <w:r w:rsidR="00120B95">
        <w:rPr>
          <w:bCs/>
          <w:iCs/>
          <w:szCs w:val="28"/>
        </w:rPr>
        <w:t>)</w:t>
      </w:r>
      <w:r w:rsidRPr="006E3DC2">
        <w:rPr>
          <w:bCs/>
          <w:iCs/>
          <w:szCs w:val="28"/>
        </w:rPr>
        <w:t xml:space="preserve"> away from the site.</w:t>
      </w:r>
      <w:r w:rsidR="00036EB2">
        <w:rPr>
          <w:bCs/>
          <w:iCs/>
          <w:szCs w:val="28"/>
        </w:rPr>
        <w:t xml:space="preserve"> </w:t>
      </w:r>
    </w:p>
    <w:p w14:paraId="28FC1D10" w14:textId="77777777" w:rsidR="004F4BB3" w:rsidRDefault="00036EB2" w:rsidP="0035537A">
      <w:pPr>
        <w:ind w:left="1440"/>
        <w:rPr>
          <w:bCs/>
          <w:iCs/>
          <w:szCs w:val="28"/>
        </w:rPr>
      </w:pPr>
      <w:r>
        <w:rPr>
          <w:bCs/>
          <w:iCs/>
          <w:szCs w:val="28"/>
        </w:rPr>
        <w:t xml:space="preserve">Further information can be found in </w:t>
      </w:r>
      <w:r w:rsidR="001A0E44" w:rsidRPr="006E3DC2">
        <w:rPr>
          <w:bCs/>
          <w:iCs/>
          <w:szCs w:val="28"/>
        </w:rPr>
        <w:t xml:space="preserve"> </w:t>
      </w:r>
      <w:hyperlink w:anchor="_Appendix_2:_" w:history="1">
        <w:r>
          <w:rPr>
            <w:rStyle w:val="Hyperlink"/>
            <w:bCs/>
            <w:iCs/>
            <w:szCs w:val="28"/>
          </w:rPr>
          <w:t xml:space="preserve">Appendix 2:  </w:t>
        </w:r>
        <w:r w:rsidR="00091DC6">
          <w:rPr>
            <w:rStyle w:val="Hyperlink"/>
            <w:bCs/>
            <w:iCs/>
            <w:szCs w:val="28"/>
          </w:rPr>
          <w:t>Government Security Classifications</w:t>
        </w:r>
      </w:hyperlink>
      <w:r w:rsidR="00091DC6">
        <w:rPr>
          <w:rStyle w:val="Hyperlink"/>
          <w:bCs/>
          <w:iCs/>
          <w:szCs w:val="28"/>
        </w:rPr>
        <w:t xml:space="preserve"> </w:t>
      </w:r>
    </w:p>
    <w:p w14:paraId="28FC1D11" w14:textId="77777777" w:rsidR="001A0E44" w:rsidRPr="0043494F" w:rsidRDefault="001A0E44" w:rsidP="0035537A">
      <w:pPr>
        <w:ind w:left="742"/>
        <w:rPr>
          <w:b/>
          <w:bCs/>
          <w:iCs/>
          <w:szCs w:val="28"/>
        </w:rPr>
      </w:pPr>
      <w:r w:rsidRPr="0043494F">
        <w:rPr>
          <w:b/>
          <w:bCs/>
          <w:iCs/>
          <w:szCs w:val="28"/>
        </w:rPr>
        <w:t>Staff must follow this policy and the attached guidance when handling classified information, irrespective of its source.</w:t>
      </w:r>
    </w:p>
    <w:p w14:paraId="28FC1D12" w14:textId="7F84CA83" w:rsidR="004F4BB3" w:rsidRDefault="001A0E44" w:rsidP="000C1A64">
      <w:pPr>
        <w:pStyle w:val="Heading3"/>
      </w:pPr>
      <w:bookmarkStart w:id="63" w:name="_Toc357781868"/>
      <w:bookmarkStart w:id="64" w:name="_Toc384993338"/>
      <w:bookmarkStart w:id="65" w:name="_Toc384994770"/>
      <w:bookmarkStart w:id="66" w:name="_Toc384995264"/>
      <w:bookmarkStart w:id="67" w:name="_Toc385431876"/>
      <w:bookmarkStart w:id="68" w:name="_Toc385491979"/>
      <w:bookmarkStart w:id="69" w:name="_Toc451522795"/>
      <w:r w:rsidRPr="009B137C">
        <w:t>Reporting</w:t>
      </w:r>
      <w:r w:rsidR="004F4BB3">
        <w:t>:</w:t>
      </w:r>
      <w:bookmarkEnd w:id="63"/>
      <w:bookmarkEnd w:id="64"/>
      <w:bookmarkEnd w:id="65"/>
      <w:bookmarkEnd w:id="66"/>
      <w:bookmarkEnd w:id="67"/>
      <w:bookmarkEnd w:id="68"/>
      <w:bookmarkEnd w:id="69"/>
    </w:p>
    <w:p w14:paraId="28FC1D13" w14:textId="77777777" w:rsidR="00D759FC" w:rsidRPr="00BF4B64" w:rsidRDefault="001A0E44" w:rsidP="00CC2E5A">
      <w:pPr>
        <w:ind w:left="1429"/>
        <w:rPr>
          <w:lang w:eastAsia="en-GB"/>
        </w:rPr>
      </w:pPr>
      <w:r w:rsidRPr="00BF4B64">
        <w:rPr>
          <w:lang w:eastAsia="en-GB"/>
        </w:rPr>
        <w:t xml:space="preserve">Staff must </w:t>
      </w:r>
      <w:r w:rsidR="004F4BB3" w:rsidRPr="00BF4B64">
        <w:rPr>
          <w:lang w:eastAsia="en-GB"/>
        </w:rPr>
        <w:t xml:space="preserve">immediately </w:t>
      </w:r>
      <w:r w:rsidRPr="00BF4B64">
        <w:rPr>
          <w:lang w:eastAsia="en-GB"/>
        </w:rPr>
        <w:t>report any breaches of this policy</w:t>
      </w:r>
      <w:r w:rsidR="00BF4B64">
        <w:rPr>
          <w:lang w:eastAsia="en-GB"/>
        </w:rPr>
        <w:t>, or any information/security</w:t>
      </w:r>
      <w:r w:rsidRPr="003F2B25">
        <w:rPr>
          <w:b/>
          <w:lang w:eastAsia="en-GB"/>
        </w:rPr>
        <w:t xml:space="preserve"> </w:t>
      </w:r>
      <w:r w:rsidR="00BF4B64" w:rsidRPr="00BF4B64">
        <w:rPr>
          <w:lang w:eastAsia="en-GB"/>
        </w:rPr>
        <w:t>risks</w:t>
      </w:r>
      <w:r w:rsidR="00006732">
        <w:rPr>
          <w:lang w:eastAsia="en-GB"/>
        </w:rPr>
        <w:t xml:space="preserve"> either</w:t>
      </w:r>
      <w:r w:rsidR="00BF4B64">
        <w:rPr>
          <w:lang w:eastAsia="en-GB"/>
        </w:rPr>
        <w:t>:</w:t>
      </w:r>
    </w:p>
    <w:p w14:paraId="28FC1D14" w14:textId="500ADF34" w:rsidR="008D34CA" w:rsidRPr="008D34CA" w:rsidRDefault="008D34CA" w:rsidP="00574AF2">
      <w:pPr>
        <w:pStyle w:val="ListParagraph"/>
        <w:numPr>
          <w:ilvl w:val="0"/>
          <w:numId w:val="8"/>
        </w:numPr>
        <w:rPr>
          <w:rFonts w:cs="Times New Roman"/>
          <w:b/>
          <w:lang w:eastAsia="en-GB"/>
        </w:rPr>
      </w:pPr>
      <w:r w:rsidRPr="00BF4B64">
        <w:rPr>
          <w:lang w:eastAsia="en-GB"/>
        </w:rPr>
        <w:lastRenderedPageBreak/>
        <w:t xml:space="preserve">Via the </w:t>
      </w:r>
      <w:r>
        <w:rPr>
          <w:lang w:eastAsia="en-GB"/>
        </w:rPr>
        <w:t>”</w:t>
      </w:r>
      <w:r w:rsidR="00B555BB">
        <w:rPr>
          <w:lang w:eastAsia="en-GB"/>
        </w:rPr>
        <w:t>Information Security Observation</w:t>
      </w:r>
      <w:r>
        <w:rPr>
          <w:lang w:eastAsia="en-GB"/>
        </w:rPr>
        <w:t>”</w:t>
      </w:r>
      <w:r w:rsidRPr="00BF4B64">
        <w:rPr>
          <w:lang w:eastAsia="en-GB"/>
        </w:rPr>
        <w:t xml:space="preserve"> incident button on T</w:t>
      </w:r>
      <w:r w:rsidR="00006732">
        <w:rPr>
          <w:lang w:eastAsia="en-GB"/>
        </w:rPr>
        <w:t>opDes</w:t>
      </w:r>
      <w:r w:rsidRPr="00BF4B64">
        <w:rPr>
          <w:lang w:eastAsia="en-GB"/>
        </w:rPr>
        <w:t>k</w:t>
      </w:r>
      <w:r w:rsidRPr="00574AF2">
        <w:rPr>
          <w:b/>
          <w:lang w:eastAsia="en-GB"/>
        </w:rPr>
        <w:t>.</w:t>
      </w:r>
    </w:p>
    <w:p w14:paraId="28FC1D15" w14:textId="77777777" w:rsidR="004F4BB3" w:rsidRDefault="00D759FC" w:rsidP="008D34CA">
      <w:pPr>
        <w:pStyle w:val="ListParagraph"/>
        <w:numPr>
          <w:ilvl w:val="0"/>
          <w:numId w:val="8"/>
        </w:numPr>
        <w:rPr>
          <w:lang w:eastAsia="en-GB"/>
        </w:rPr>
      </w:pPr>
      <w:r w:rsidRPr="00BF4B64">
        <w:rPr>
          <w:lang w:eastAsia="en-GB"/>
        </w:rPr>
        <w:t xml:space="preserve">Directly </w:t>
      </w:r>
      <w:r w:rsidR="001A0E44" w:rsidRPr="00BF4B64">
        <w:rPr>
          <w:lang w:eastAsia="en-GB"/>
        </w:rPr>
        <w:t>to the</w:t>
      </w:r>
      <w:r w:rsidR="00BF4B64">
        <w:rPr>
          <w:lang w:eastAsia="en-GB"/>
        </w:rPr>
        <w:t>ir</w:t>
      </w:r>
      <w:r w:rsidR="001A0E44" w:rsidRPr="00BF4B64">
        <w:rPr>
          <w:lang w:eastAsia="en-GB"/>
        </w:rPr>
        <w:t xml:space="preserve"> </w:t>
      </w:r>
      <w:r w:rsidRPr="00BF4B64">
        <w:rPr>
          <w:lang w:eastAsia="en-GB"/>
        </w:rPr>
        <w:t>IAO</w:t>
      </w:r>
      <w:r w:rsidR="008D34CA">
        <w:rPr>
          <w:lang w:eastAsia="en-GB"/>
        </w:rPr>
        <w:t xml:space="preserve"> /</w:t>
      </w:r>
      <w:r w:rsidRPr="00BF4B64">
        <w:rPr>
          <w:lang w:eastAsia="en-GB"/>
        </w:rPr>
        <w:t xml:space="preserve"> Line Manager</w:t>
      </w:r>
      <w:r w:rsidR="00006732">
        <w:rPr>
          <w:lang w:eastAsia="en-GB"/>
        </w:rPr>
        <w:t>.</w:t>
      </w:r>
    </w:p>
    <w:p w14:paraId="28FC1D16" w14:textId="77777777" w:rsidR="00006732" w:rsidRPr="00006732" w:rsidRDefault="00006732" w:rsidP="00006732">
      <w:pPr>
        <w:pStyle w:val="ListParagraph"/>
        <w:numPr>
          <w:ilvl w:val="0"/>
          <w:numId w:val="8"/>
        </w:numPr>
        <w:rPr>
          <w:rStyle w:val="Hyperlink"/>
          <w:color w:val="auto"/>
          <w:u w:val="none"/>
          <w:lang w:eastAsia="en-GB"/>
        </w:rPr>
      </w:pPr>
      <w:r w:rsidRPr="00BF4B64">
        <w:rPr>
          <w:lang w:eastAsia="en-GB"/>
        </w:rPr>
        <w:t>Directly to the</w:t>
      </w:r>
      <w:r>
        <w:rPr>
          <w:lang w:eastAsia="en-GB"/>
        </w:rPr>
        <w:t>ir</w:t>
      </w:r>
      <w:r w:rsidRPr="00BF4B64">
        <w:rPr>
          <w:lang w:eastAsia="en-GB"/>
        </w:rPr>
        <w:t xml:space="preserve"> </w:t>
      </w:r>
      <w:r>
        <w:rPr>
          <w:lang w:eastAsia="en-GB"/>
        </w:rPr>
        <w:t>HoD.</w:t>
      </w:r>
    </w:p>
    <w:p w14:paraId="28FC1D17" w14:textId="1DF6112D" w:rsidR="001A0E44" w:rsidRPr="00D91BF6" w:rsidRDefault="001A0E44" w:rsidP="00D91BF6">
      <w:pPr>
        <w:ind w:left="1429"/>
        <w:rPr>
          <w:lang w:val="en-US"/>
        </w:rPr>
      </w:pPr>
      <w:r w:rsidRPr="004F4BB3">
        <w:rPr>
          <w:lang w:val="en-US"/>
        </w:rPr>
        <w:t>If any member of staff believes that any matter they have raised has not been considered appropriately</w:t>
      </w:r>
      <w:r w:rsidR="00574AF2">
        <w:rPr>
          <w:lang w:val="en-US"/>
        </w:rPr>
        <w:t>,</w:t>
      </w:r>
      <w:r w:rsidRPr="004F4BB3">
        <w:rPr>
          <w:lang w:val="en-US"/>
        </w:rPr>
        <w:t xml:space="preserve"> then they should escalate the matter </w:t>
      </w:r>
      <w:r w:rsidR="00D759FC">
        <w:rPr>
          <w:lang w:val="en-US"/>
        </w:rPr>
        <w:t xml:space="preserve">to the SIRO.  Further escalation should be </w:t>
      </w:r>
      <w:r w:rsidRPr="004F4BB3">
        <w:rPr>
          <w:lang w:val="en-US"/>
        </w:rPr>
        <w:t xml:space="preserve">in accordance with the Authority’s </w:t>
      </w:r>
      <w:hyperlink r:id="rId18" w:history="1">
        <w:r w:rsidRPr="00CC2E5A">
          <w:rPr>
            <w:rStyle w:val="Hyperlink"/>
            <w:rFonts w:cs="Times New Roman"/>
            <w:color w:val="1F497D" w:themeColor="text2"/>
            <w:lang w:val="en-US"/>
          </w:rPr>
          <w:t>Whistle Blowing Procedure</w:t>
        </w:r>
      </w:hyperlink>
      <w:r w:rsidRPr="00CC2E5A">
        <w:rPr>
          <w:rStyle w:val="Hyperlink"/>
          <w:rFonts w:cs="Times New Roman"/>
          <w:color w:val="1F497D" w:themeColor="text2"/>
        </w:rPr>
        <w:t>.</w:t>
      </w:r>
      <w:r w:rsidR="00D91BF6">
        <w:rPr>
          <w:rStyle w:val="Hyperlink"/>
          <w:rFonts w:cs="Times New Roman"/>
          <w:color w:val="1F497D" w:themeColor="text2"/>
        </w:rPr>
        <w:br/>
      </w:r>
    </w:p>
    <w:p w14:paraId="3D556804" w14:textId="77777777" w:rsidR="00A22602" w:rsidRDefault="004F4BB3" w:rsidP="00A22602">
      <w:pPr>
        <w:pStyle w:val="Heading2"/>
        <w:keepNext w:val="0"/>
        <w:keepLines w:val="0"/>
        <w:widowControl w:val="0"/>
        <w:numPr>
          <w:ilvl w:val="1"/>
          <w:numId w:val="19"/>
        </w:numPr>
        <w:spacing w:before="240" w:after="120" w:line="240" w:lineRule="auto"/>
      </w:pPr>
      <w:bookmarkStart w:id="70" w:name="_Toc451522796"/>
      <w:r>
        <w:t xml:space="preserve">IAO’s and </w:t>
      </w:r>
      <w:r w:rsidR="001A0E44" w:rsidRPr="002732DF">
        <w:t>Line Managers</w:t>
      </w:r>
      <w:bookmarkStart w:id="71" w:name="_Toc451522797"/>
      <w:bookmarkStart w:id="72" w:name="_Toc451522798"/>
      <w:bookmarkStart w:id="73" w:name="_Toc451522799"/>
      <w:bookmarkStart w:id="74" w:name="_Toc357781870"/>
      <w:bookmarkStart w:id="75" w:name="_Toc384993340"/>
      <w:bookmarkStart w:id="76" w:name="_Toc384994772"/>
      <w:bookmarkStart w:id="77" w:name="_Toc384995266"/>
      <w:bookmarkStart w:id="78" w:name="_Toc385431878"/>
      <w:bookmarkStart w:id="79" w:name="_Toc385491981"/>
      <w:bookmarkStart w:id="80" w:name="_Toc451522800"/>
      <w:bookmarkEnd w:id="70"/>
      <w:bookmarkEnd w:id="71"/>
      <w:bookmarkEnd w:id="72"/>
      <w:bookmarkEnd w:id="73"/>
    </w:p>
    <w:p w14:paraId="28FC1D19" w14:textId="10843BF8" w:rsidR="004F4BB3" w:rsidRPr="005D21E0" w:rsidRDefault="001A0E44" w:rsidP="000C1A64">
      <w:pPr>
        <w:pStyle w:val="Heading3"/>
      </w:pPr>
      <w:r w:rsidRPr="005D21E0">
        <w:t>Security</w:t>
      </w:r>
      <w:r w:rsidR="004F4BB3" w:rsidRPr="005D21E0">
        <w:t>:</w:t>
      </w:r>
      <w:bookmarkEnd w:id="74"/>
      <w:bookmarkEnd w:id="75"/>
      <w:bookmarkEnd w:id="76"/>
      <w:bookmarkEnd w:id="77"/>
      <w:bookmarkEnd w:id="78"/>
      <w:bookmarkEnd w:id="79"/>
      <w:bookmarkEnd w:id="80"/>
    </w:p>
    <w:p w14:paraId="28FC1D1A" w14:textId="77777777" w:rsidR="001A0E44" w:rsidRDefault="001A0E44" w:rsidP="00842D6E">
      <w:pPr>
        <w:ind w:left="1418"/>
      </w:pPr>
      <w:r>
        <w:t xml:space="preserve">IAO’s </w:t>
      </w:r>
      <w:r w:rsidRPr="004F4BB3">
        <w:rPr>
          <w:b/>
        </w:rPr>
        <w:t>must</w:t>
      </w:r>
      <w:r>
        <w:t xml:space="preserve"> ensure that all classified records are </w:t>
      </w:r>
      <w:r w:rsidR="00D759FC">
        <w:t xml:space="preserve">adequately secured in line with their classification </w:t>
      </w:r>
      <w:r>
        <w:t>and</w:t>
      </w:r>
      <w:r w:rsidR="00004252">
        <w:t xml:space="preserve"> </w:t>
      </w:r>
      <w:r>
        <w:t>provide adequate lockable storage in the office</w:t>
      </w:r>
      <w:r w:rsidR="00D759FC">
        <w:t xml:space="preserve">. </w:t>
      </w:r>
      <w:r>
        <w:t xml:space="preserve">IAO’s </w:t>
      </w:r>
      <w:r w:rsidRPr="004F4BB3">
        <w:rPr>
          <w:b/>
        </w:rPr>
        <w:t>must</w:t>
      </w:r>
      <w:r>
        <w:t xml:space="preserve"> ensure that classified information is managed and used in line with the Data Handling guidance provided with this policy.</w:t>
      </w:r>
    </w:p>
    <w:p w14:paraId="28FC1D1B" w14:textId="1E27DAD3" w:rsidR="001A0E44" w:rsidRDefault="001A0E44" w:rsidP="000C1A64">
      <w:pPr>
        <w:pStyle w:val="Heading3"/>
      </w:pPr>
      <w:bookmarkStart w:id="81" w:name="_Toc357781871"/>
      <w:bookmarkStart w:id="82" w:name="_Toc384993341"/>
      <w:bookmarkStart w:id="83" w:name="_Toc384994773"/>
      <w:bookmarkStart w:id="84" w:name="_Toc384995267"/>
      <w:bookmarkStart w:id="85" w:name="_Toc385431879"/>
      <w:bookmarkStart w:id="86" w:name="_Toc385491982"/>
      <w:bookmarkStart w:id="87" w:name="_Toc451522801"/>
      <w:r>
        <w:t>Classification</w:t>
      </w:r>
      <w:r w:rsidR="004F4BB3">
        <w:t>:</w:t>
      </w:r>
      <w:bookmarkEnd w:id="81"/>
      <w:bookmarkEnd w:id="82"/>
      <w:bookmarkEnd w:id="83"/>
      <w:bookmarkEnd w:id="84"/>
      <w:bookmarkEnd w:id="85"/>
      <w:bookmarkEnd w:id="86"/>
      <w:bookmarkEnd w:id="87"/>
    </w:p>
    <w:p w14:paraId="28FC1D1C" w14:textId="77777777" w:rsidR="001A0E44" w:rsidRDefault="001A0E44" w:rsidP="00842D6E">
      <w:pPr>
        <w:ind w:left="1418"/>
      </w:pPr>
      <w:r w:rsidRPr="00C653E2">
        <w:t xml:space="preserve">IAO’s </w:t>
      </w:r>
      <w:r>
        <w:t>are</w:t>
      </w:r>
      <w:r w:rsidRPr="00C653E2">
        <w:t xml:space="preserve"> responsible for defining the records classification within their own business</w:t>
      </w:r>
      <w:r>
        <w:t xml:space="preserve"> area, and for ensuring that all staff understand the requirements for records classification. </w:t>
      </w:r>
    </w:p>
    <w:p w14:paraId="28FC1D1D" w14:textId="7A0298A8" w:rsidR="001A0E44" w:rsidRDefault="001A0E44" w:rsidP="000C1A64">
      <w:pPr>
        <w:pStyle w:val="Heading3"/>
      </w:pPr>
      <w:bookmarkStart w:id="88" w:name="_Toc357781872"/>
      <w:bookmarkStart w:id="89" w:name="_Toc384993342"/>
      <w:bookmarkStart w:id="90" w:name="_Toc384994774"/>
      <w:bookmarkStart w:id="91" w:name="_Toc384995268"/>
      <w:bookmarkStart w:id="92" w:name="_Toc385431880"/>
      <w:bookmarkStart w:id="93" w:name="_Toc385491983"/>
      <w:bookmarkStart w:id="94" w:name="_Toc451522802"/>
      <w:r>
        <w:t>Authorisation</w:t>
      </w:r>
      <w:r w:rsidR="004F4BB3">
        <w:t>:</w:t>
      </w:r>
      <w:bookmarkEnd w:id="88"/>
      <w:bookmarkEnd w:id="89"/>
      <w:bookmarkEnd w:id="90"/>
      <w:bookmarkEnd w:id="91"/>
      <w:bookmarkEnd w:id="92"/>
      <w:bookmarkEnd w:id="93"/>
      <w:bookmarkEnd w:id="94"/>
    </w:p>
    <w:p w14:paraId="28FC1D1E" w14:textId="77777777" w:rsidR="005D21E0" w:rsidRDefault="001A0E44" w:rsidP="007B372E">
      <w:pPr>
        <w:ind w:left="1440"/>
      </w:pPr>
      <w:r>
        <w:t xml:space="preserve">IAO’s are responsible for authorising requests from staff to take </w:t>
      </w:r>
      <w:r w:rsidR="00A448C4">
        <w:t xml:space="preserve">a significant volume of </w:t>
      </w:r>
      <w:r>
        <w:t>classified information away from site other than “</w:t>
      </w:r>
      <w:r w:rsidR="00ED7941">
        <w:t xml:space="preserve">OFFICIAL </w:t>
      </w:r>
      <w:r w:rsidR="00004252">
        <w:t>–</w:t>
      </w:r>
      <w:r w:rsidR="00A448C4">
        <w:t xml:space="preserve"> SENSITIVE</w:t>
      </w:r>
      <w:r w:rsidR="00004252">
        <w:t>”</w:t>
      </w:r>
      <w:r>
        <w:t xml:space="preserve"> or higher classifications which will also require </w:t>
      </w:r>
      <w:r w:rsidR="0084105C">
        <w:t xml:space="preserve">Director level </w:t>
      </w:r>
      <w:r>
        <w:t>authorisation</w:t>
      </w:r>
      <w:r w:rsidR="0084105C">
        <w:t xml:space="preserve">. </w:t>
      </w:r>
    </w:p>
    <w:p w14:paraId="28FC1D1F" w14:textId="77777777" w:rsidR="005D21E0" w:rsidRDefault="001A0E44" w:rsidP="007B372E">
      <w:pPr>
        <w:ind w:left="1440"/>
      </w:pPr>
      <w:r>
        <w:t xml:space="preserve">Any variations from the above measures </w:t>
      </w:r>
      <w:r w:rsidRPr="005D21E0">
        <w:rPr>
          <w:b/>
        </w:rPr>
        <w:t>must</w:t>
      </w:r>
      <w:r>
        <w:t xml:space="preserve"> be restricted to those authorised in writing by the Director and must be recorded by the IAO.</w:t>
      </w:r>
    </w:p>
    <w:p w14:paraId="28FC1D20" w14:textId="77777777" w:rsidR="005D21E0" w:rsidRDefault="001A0E44" w:rsidP="007B372E">
      <w:pPr>
        <w:ind w:left="1440"/>
      </w:pPr>
      <w:r>
        <w:t xml:space="preserve">The IAO </w:t>
      </w:r>
      <w:r w:rsidRPr="005D21E0">
        <w:rPr>
          <w:b/>
        </w:rPr>
        <w:t>must</w:t>
      </w:r>
      <w:r>
        <w:t xml:space="preserve"> maintain a permanent record of such authorisations within the Wisdom filing system for future review by the SIRO and auditors.</w:t>
      </w:r>
    </w:p>
    <w:p w14:paraId="28FC1D21" w14:textId="77777777" w:rsidR="001A0E44" w:rsidRDefault="001A0E44" w:rsidP="007B372E">
      <w:pPr>
        <w:ind w:left="1440"/>
      </w:pPr>
      <w:r>
        <w:t>The IAO is responsible for reporting all such variations to the SIRO as they occur.</w:t>
      </w:r>
    </w:p>
    <w:p w14:paraId="28FC1D22" w14:textId="50A75439" w:rsidR="001A0E44" w:rsidRPr="002732DF" w:rsidRDefault="001A0E44" w:rsidP="000C1A64">
      <w:pPr>
        <w:pStyle w:val="Heading3"/>
      </w:pPr>
      <w:bookmarkStart w:id="95" w:name="_Toc357781873"/>
      <w:bookmarkStart w:id="96" w:name="_Toc384993343"/>
      <w:bookmarkStart w:id="97" w:name="_Toc384994775"/>
      <w:bookmarkStart w:id="98" w:name="_Toc384995269"/>
      <w:bookmarkStart w:id="99" w:name="_Toc385431881"/>
      <w:bookmarkStart w:id="100" w:name="_Toc385491984"/>
      <w:bookmarkStart w:id="101" w:name="_Toc451522803"/>
      <w:r w:rsidRPr="002732DF">
        <w:lastRenderedPageBreak/>
        <w:t>General</w:t>
      </w:r>
      <w:r w:rsidR="005D21E0">
        <w:t>:</w:t>
      </w:r>
      <w:bookmarkEnd w:id="95"/>
      <w:bookmarkEnd w:id="96"/>
      <w:bookmarkEnd w:id="97"/>
      <w:bookmarkEnd w:id="98"/>
      <w:bookmarkEnd w:id="99"/>
      <w:bookmarkEnd w:id="100"/>
      <w:bookmarkEnd w:id="101"/>
    </w:p>
    <w:p w14:paraId="28FC1D23" w14:textId="77777777" w:rsidR="001A0E44" w:rsidRDefault="001A0E44" w:rsidP="00200ED9">
      <w:pPr>
        <w:ind w:left="1440"/>
      </w:pPr>
      <w:r>
        <w:t xml:space="preserve">IAO’s are responsible for ensuring that </w:t>
      </w:r>
      <w:r w:rsidR="00200ED9">
        <w:t xml:space="preserve">all </w:t>
      </w:r>
      <w:r>
        <w:t>staff comply with the requirements of this policy</w:t>
      </w:r>
      <w:r w:rsidR="00141585">
        <w:t xml:space="preserve"> in relation to the information assets they are responsible for</w:t>
      </w:r>
      <w:r>
        <w:t>.</w:t>
      </w:r>
    </w:p>
    <w:p w14:paraId="28FC1D24" w14:textId="3E56FDD3" w:rsidR="005E116A" w:rsidRDefault="001A0E44" w:rsidP="000C1A64">
      <w:pPr>
        <w:pStyle w:val="Heading3"/>
      </w:pPr>
      <w:bookmarkStart w:id="102" w:name="_Toc357781874"/>
      <w:bookmarkStart w:id="103" w:name="_Toc384993344"/>
      <w:bookmarkStart w:id="104" w:name="_Toc384994776"/>
      <w:bookmarkStart w:id="105" w:name="_Toc384995270"/>
      <w:bookmarkStart w:id="106" w:name="_Toc385431882"/>
      <w:bookmarkStart w:id="107" w:name="_Toc385491985"/>
      <w:bookmarkStart w:id="108" w:name="_Toc451522804"/>
      <w:r>
        <w:t>Reporting and Monitoring</w:t>
      </w:r>
      <w:r w:rsidR="005E116A">
        <w:t>:</w:t>
      </w:r>
      <w:bookmarkEnd w:id="102"/>
      <w:bookmarkEnd w:id="103"/>
      <w:bookmarkEnd w:id="104"/>
      <w:bookmarkEnd w:id="105"/>
      <w:bookmarkEnd w:id="106"/>
      <w:bookmarkEnd w:id="107"/>
      <w:bookmarkEnd w:id="108"/>
    </w:p>
    <w:p w14:paraId="28FC1D25" w14:textId="136772F3" w:rsidR="00446729" w:rsidRPr="00446729" w:rsidRDefault="00446729" w:rsidP="00446729">
      <w:pPr>
        <w:ind w:left="1440"/>
      </w:pPr>
      <w:r w:rsidRPr="002732DF">
        <w:t xml:space="preserve">IAO’s </w:t>
      </w:r>
      <w:r>
        <w:t>are to</w:t>
      </w:r>
      <w:r w:rsidRPr="002732DF">
        <w:t xml:space="preserve"> maintain and monitor their own regime and report any breaches, gaps in assurance and positive assurance to the</w:t>
      </w:r>
      <w:r>
        <w:t>ir</w:t>
      </w:r>
      <w:r w:rsidRPr="002732DF">
        <w:t xml:space="preserve"> </w:t>
      </w:r>
      <w:r>
        <w:t>d</w:t>
      </w:r>
      <w:r w:rsidRPr="002732DF">
        <w:t>epartmental Director and SIRO on a</w:t>
      </w:r>
      <w:r w:rsidR="00141585">
        <w:t xml:space="preserve">n annual </w:t>
      </w:r>
      <w:r w:rsidRPr="002732DF">
        <w:t>basis</w:t>
      </w:r>
      <w:r>
        <w:t xml:space="preserve">. </w:t>
      </w:r>
      <w:r w:rsidR="00141585">
        <w:t xml:space="preserve">Breaches should be reported by all staff using the online service desk’s </w:t>
      </w:r>
      <w:r w:rsidR="00B555BB">
        <w:t>Information Security Observations</w:t>
      </w:r>
      <w:r w:rsidR="00141585">
        <w:t xml:space="preserve"> button as they occur</w:t>
      </w:r>
    </w:p>
    <w:p w14:paraId="28FC1D26" w14:textId="77777777" w:rsidR="00233327" w:rsidRDefault="001A0E44" w:rsidP="009A7BB7">
      <w:pPr>
        <w:ind w:left="720" w:firstLine="720"/>
      </w:pPr>
      <w:r w:rsidRPr="005E116A">
        <w:rPr>
          <w:b/>
        </w:rPr>
        <w:t xml:space="preserve">IAO’s are </w:t>
      </w:r>
      <w:r w:rsidR="005E116A">
        <w:rPr>
          <w:b/>
        </w:rPr>
        <w:t xml:space="preserve">additionally </w:t>
      </w:r>
      <w:r w:rsidRPr="005E116A">
        <w:rPr>
          <w:b/>
        </w:rPr>
        <w:t>responsible for:</w:t>
      </w:r>
    </w:p>
    <w:p w14:paraId="28FC1D27" w14:textId="77777777" w:rsidR="00004252" w:rsidRDefault="00004252" w:rsidP="00004252">
      <w:pPr>
        <w:pStyle w:val="ListParagraph"/>
        <w:numPr>
          <w:ilvl w:val="0"/>
          <w:numId w:val="15"/>
        </w:numPr>
      </w:pPr>
      <w:r>
        <w:t>Ensuring that all staff undergo any training with respect to Information Risk Management as is stipulated by the SIRO.</w:t>
      </w:r>
    </w:p>
    <w:p w14:paraId="28FC1D28" w14:textId="77777777" w:rsidR="00004252" w:rsidRDefault="00004252" w:rsidP="00004252">
      <w:pPr>
        <w:pStyle w:val="ListParagraph"/>
        <w:numPr>
          <w:ilvl w:val="0"/>
          <w:numId w:val="15"/>
        </w:numPr>
      </w:pPr>
      <w:r w:rsidRPr="002732DF">
        <w:t xml:space="preserve">Producing a listing of all </w:t>
      </w:r>
      <w:r>
        <w:t xml:space="preserve">business information assets including </w:t>
      </w:r>
      <w:r w:rsidRPr="002732DF">
        <w:t>classified records with an assessment of the potential risk to the business in the event of its loss.</w:t>
      </w:r>
    </w:p>
    <w:p w14:paraId="28FC1D29" w14:textId="77777777" w:rsidR="00004252" w:rsidRDefault="00004252" w:rsidP="00004252">
      <w:pPr>
        <w:pStyle w:val="ListParagraph"/>
        <w:numPr>
          <w:ilvl w:val="0"/>
          <w:numId w:val="15"/>
        </w:numPr>
      </w:pPr>
      <w:r w:rsidRPr="002732DF">
        <w:t xml:space="preserve">Maintaining this listing and reviewing it on a </w:t>
      </w:r>
      <w:r>
        <w:t>six monthly</w:t>
      </w:r>
      <w:r w:rsidRPr="002732DF">
        <w:t xml:space="preserve"> basis.</w:t>
      </w:r>
    </w:p>
    <w:p w14:paraId="28FC1D2A" w14:textId="77777777" w:rsidR="00004252" w:rsidRDefault="00004252" w:rsidP="00004252">
      <w:pPr>
        <w:pStyle w:val="ListParagraph"/>
        <w:numPr>
          <w:ilvl w:val="0"/>
          <w:numId w:val="15"/>
        </w:numPr>
      </w:pPr>
      <w:r w:rsidRPr="002732DF">
        <w:t xml:space="preserve">Reporting any material changes to risks to the </w:t>
      </w:r>
      <w:r>
        <w:t>SIRO</w:t>
      </w:r>
    </w:p>
    <w:p w14:paraId="28FC1D2B" w14:textId="7662C3C7" w:rsidR="006D71AB" w:rsidRDefault="001A0E44" w:rsidP="00004252">
      <w:pPr>
        <w:pStyle w:val="ListParagraph"/>
        <w:numPr>
          <w:ilvl w:val="0"/>
          <w:numId w:val="15"/>
        </w:numPr>
      </w:pPr>
      <w:r w:rsidRPr="002732DF">
        <w:t xml:space="preserve">Reporting any breaches of this regime or policy to the SIRO and escalating any concerns to the </w:t>
      </w:r>
      <w:r w:rsidR="0035537A">
        <w:t>d</w:t>
      </w:r>
      <w:r w:rsidRPr="002732DF">
        <w:t xml:space="preserve">epartmental Director or through the </w:t>
      </w:r>
      <w:hyperlink r:id="rId19" w:history="1">
        <w:r w:rsidR="00F023C8" w:rsidRPr="00004252">
          <w:rPr>
            <w:rStyle w:val="Hyperlink"/>
            <w:rFonts w:cs="Times New Roman"/>
            <w:color w:val="1F497D" w:themeColor="text2"/>
            <w:lang w:val="en-US"/>
          </w:rPr>
          <w:t>Whistle Blowing Procedure</w:t>
        </w:r>
      </w:hyperlink>
      <w:r w:rsidRPr="002732DF">
        <w:t>.</w:t>
      </w:r>
    </w:p>
    <w:p w14:paraId="642BC74F" w14:textId="18BA7829" w:rsidR="00BC238A" w:rsidRPr="00A22602" w:rsidRDefault="0043494F" w:rsidP="00A22602">
      <w:pPr>
        <w:pStyle w:val="Heading2"/>
        <w:numPr>
          <w:ilvl w:val="1"/>
          <w:numId w:val="19"/>
        </w:numPr>
      </w:pPr>
      <w:bookmarkStart w:id="109" w:name="_Toc451522805"/>
      <w:r w:rsidRPr="002732DF">
        <w:t>Directors</w:t>
      </w:r>
      <w:r>
        <w:t>.</w:t>
      </w:r>
      <w:bookmarkStart w:id="110" w:name="_Toc451522806"/>
      <w:bookmarkStart w:id="111" w:name="_Toc384993346"/>
      <w:bookmarkStart w:id="112" w:name="_Toc384994778"/>
      <w:bookmarkStart w:id="113" w:name="_Toc384995272"/>
      <w:bookmarkStart w:id="114" w:name="_Toc385431884"/>
      <w:bookmarkStart w:id="115" w:name="_Toc385491987"/>
      <w:bookmarkEnd w:id="109"/>
      <w:bookmarkEnd w:id="110"/>
    </w:p>
    <w:p w14:paraId="28FC1D2D" w14:textId="14A6F5AE" w:rsidR="0043494F" w:rsidRPr="002732DF" w:rsidRDefault="00E0310B" w:rsidP="000C1A64">
      <w:pPr>
        <w:pStyle w:val="Heading3"/>
      </w:pPr>
      <w:bookmarkStart w:id="116" w:name="_Toc451522807"/>
      <w:r>
        <w:t>G</w:t>
      </w:r>
      <w:r w:rsidR="0043494F" w:rsidRPr="002732DF">
        <w:t>eneral</w:t>
      </w:r>
      <w:r w:rsidR="0043494F">
        <w:t>:</w:t>
      </w:r>
      <w:bookmarkEnd w:id="111"/>
      <w:bookmarkEnd w:id="112"/>
      <w:bookmarkEnd w:id="113"/>
      <w:bookmarkEnd w:id="114"/>
      <w:bookmarkEnd w:id="115"/>
      <w:bookmarkEnd w:id="116"/>
    </w:p>
    <w:p w14:paraId="28FC1D2E" w14:textId="77777777" w:rsidR="0043494F" w:rsidRDefault="0043494F" w:rsidP="0043494F">
      <w:pPr>
        <w:ind w:left="1462"/>
      </w:pPr>
      <w:r>
        <w:t>Directors are to ensure that staff are adequately trained and have the resources to implement this policy.</w:t>
      </w:r>
    </w:p>
    <w:p w14:paraId="28FC1D2F" w14:textId="77777777" w:rsidR="004D6570" w:rsidRDefault="0043494F" w:rsidP="004D6570">
      <w:pPr>
        <w:ind w:left="1418"/>
      </w:pPr>
      <w:r>
        <w:t>Directors are to ensure that all staff undergo any training with respect to Information Risk Management as stipulated by the SIRO.</w:t>
      </w:r>
    </w:p>
    <w:p w14:paraId="28FC1D30" w14:textId="4B02A9C8" w:rsidR="004D6570" w:rsidRDefault="006D71AB" w:rsidP="000C1A64">
      <w:pPr>
        <w:pStyle w:val="Heading3"/>
      </w:pPr>
      <w:bookmarkStart w:id="117" w:name="_Toc384993347"/>
      <w:bookmarkStart w:id="118" w:name="_Toc384994779"/>
      <w:bookmarkStart w:id="119" w:name="_Toc384995273"/>
      <w:bookmarkStart w:id="120" w:name="_Toc385431885"/>
      <w:bookmarkStart w:id="121" w:name="_Toc385491988"/>
      <w:bookmarkStart w:id="122" w:name="_Toc451522808"/>
      <w:r>
        <w:t>Authorisation:</w:t>
      </w:r>
      <w:bookmarkEnd w:id="117"/>
      <w:bookmarkEnd w:id="118"/>
      <w:bookmarkEnd w:id="119"/>
      <w:bookmarkEnd w:id="120"/>
      <w:bookmarkEnd w:id="121"/>
      <w:bookmarkEnd w:id="122"/>
    </w:p>
    <w:p w14:paraId="28FC1D31" w14:textId="77777777" w:rsidR="006D71AB" w:rsidRDefault="006D71AB" w:rsidP="006D71AB">
      <w:pPr>
        <w:ind w:left="1440"/>
      </w:pPr>
      <w:r>
        <w:t>Directors are to authorise IAO’s classifications for business information assets and records as required.</w:t>
      </w:r>
    </w:p>
    <w:p w14:paraId="28FC1D32" w14:textId="77777777" w:rsidR="001A0E44" w:rsidRDefault="00141585" w:rsidP="00141585">
      <w:pPr>
        <w:ind w:left="1440"/>
      </w:pPr>
      <w:r>
        <w:lastRenderedPageBreak/>
        <w:t xml:space="preserve">The IAO should escalate to the Director where they have concerns around the handling of a specific information asset, in order to ensure </w:t>
      </w:r>
      <w:r w:rsidR="001A0E44">
        <w:t xml:space="preserve">that arrangements for adequate safeguarding are in place, in compliance with the attached </w:t>
      </w:r>
      <w:hyperlink w:anchor="_Appendix_3:_Security" w:history="1">
        <w:r w:rsidR="001A0E44" w:rsidRPr="00A62567">
          <w:rPr>
            <w:rStyle w:val="Hyperlink"/>
          </w:rPr>
          <w:t>Security Handling Rules</w:t>
        </w:r>
        <w:r w:rsidR="00A62567">
          <w:rPr>
            <w:rStyle w:val="Hyperlink"/>
          </w:rPr>
          <w:t xml:space="preserve"> for Different levels of Protective Marking</w:t>
        </w:r>
        <w:r w:rsidR="00A62567" w:rsidRPr="00A62567">
          <w:rPr>
            <w:rStyle w:val="Hyperlink"/>
          </w:rPr>
          <w:t xml:space="preserve"> in Appendix 3</w:t>
        </w:r>
      </w:hyperlink>
      <w:r w:rsidR="001A0E44">
        <w:t>.</w:t>
      </w:r>
    </w:p>
    <w:p w14:paraId="28FC1D33" w14:textId="77777777" w:rsidR="00D91BF6" w:rsidRPr="00D91BF6" w:rsidRDefault="001A0E44" w:rsidP="00D91BF6">
      <w:pPr>
        <w:ind w:left="1440"/>
      </w:pPr>
      <w:r>
        <w:t>Directors are to consider requests from IAOs for any variations from the agreed controls outlined in this policy. Any such considerations will be discussed and agreed with the</w:t>
      </w:r>
      <w:r w:rsidR="00D91BF6">
        <w:t xml:space="preserve"> SIRO before being implemented.</w:t>
      </w:r>
      <w:r w:rsidR="00D91BF6">
        <w:br/>
      </w:r>
    </w:p>
    <w:p w14:paraId="6B54573C" w14:textId="77C4A5D2" w:rsidR="00BC238A" w:rsidRPr="00A22602" w:rsidRDefault="001A0E44" w:rsidP="00A22602">
      <w:pPr>
        <w:pStyle w:val="Heading2"/>
        <w:keepNext w:val="0"/>
        <w:keepLines w:val="0"/>
        <w:widowControl w:val="0"/>
        <w:numPr>
          <w:ilvl w:val="1"/>
          <w:numId w:val="19"/>
        </w:numPr>
        <w:spacing w:before="120" w:after="120" w:line="240" w:lineRule="auto"/>
      </w:pPr>
      <w:bookmarkStart w:id="123" w:name="_Toc451522809"/>
      <w:r w:rsidRPr="002732DF">
        <w:t>Senior Information Risk Officer (SIRO)</w:t>
      </w:r>
      <w:r w:rsidR="005E116A">
        <w:t>.</w:t>
      </w:r>
      <w:bookmarkStart w:id="124" w:name="_Toc451522810"/>
      <w:bookmarkStart w:id="125" w:name="_Toc357781879"/>
      <w:bookmarkStart w:id="126" w:name="_Toc384993349"/>
      <w:bookmarkStart w:id="127" w:name="_Toc384994781"/>
      <w:bookmarkStart w:id="128" w:name="_Toc384995275"/>
      <w:bookmarkStart w:id="129" w:name="_Toc385431887"/>
      <w:bookmarkStart w:id="130" w:name="_Toc385491990"/>
      <w:bookmarkEnd w:id="123"/>
      <w:bookmarkEnd w:id="124"/>
    </w:p>
    <w:p w14:paraId="28FC1D35" w14:textId="206F5D20" w:rsidR="001A0E44" w:rsidRDefault="001A0E44" w:rsidP="000C1A64">
      <w:pPr>
        <w:pStyle w:val="Heading3"/>
      </w:pPr>
      <w:bookmarkStart w:id="131" w:name="_Toc451522811"/>
      <w:r>
        <w:t>Reporting and Monitoring</w:t>
      </w:r>
      <w:r w:rsidR="00DD4B70">
        <w:t>:</w:t>
      </w:r>
      <w:bookmarkEnd w:id="125"/>
      <w:bookmarkEnd w:id="126"/>
      <w:bookmarkEnd w:id="127"/>
      <w:bookmarkEnd w:id="128"/>
      <w:bookmarkEnd w:id="129"/>
      <w:bookmarkEnd w:id="130"/>
      <w:bookmarkEnd w:id="131"/>
    </w:p>
    <w:p w14:paraId="28FC1D36" w14:textId="77777777" w:rsidR="001A0E44" w:rsidRDefault="001A0E44" w:rsidP="00DD4B70">
      <w:pPr>
        <w:ind w:left="1440"/>
      </w:pPr>
      <w:r>
        <w:t xml:space="preserve">The SIRO is to provide </w:t>
      </w:r>
      <w:r w:rsidR="00984888">
        <w:t xml:space="preserve">annual reports </w:t>
      </w:r>
      <w:r>
        <w:t>and assurance on information risk to the Audit Committee, the Board and the CEO as accounting officer (AO).</w:t>
      </w:r>
    </w:p>
    <w:p w14:paraId="28FC1D37" w14:textId="2EA6D3E4" w:rsidR="001A0E44" w:rsidRDefault="001A0E44" w:rsidP="00DD4B70">
      <w:pPr>
        <w:ind w:left="1440"/>
      </w:pPr>
      <w:r>
        <w:t>The SIRO is to deal with all referrals and breaches which require escalation to the Information Commissioner and all communications and reports which the Department (D</w:t>
      </w:r>
      <w:r w:rsidR="0074687F">
        <w:t>BEI</w:t>
      </w:r>
      <w:r>
        <w:t>) may require.</w:t>
      </w:r>
    </w:p>
    <w:p w14:paraId="28FC1D38" w14:textId="4AA4130E" w:rsidR="00446729" w:rsidRDefault="00446729" w:rsidP="000C1A64">
      <w:pPr>
        <w:pStyle w:val="Heading3"/>
      </w:pPr>
      <w:bookmarkStart w:id="132" w:name="_Toc384994784"/>
      <w:bookmarkStart w:id="133" w:name="_Toc384995276"/>
      <w:bookmarkStart w:id="134" w:name="_Toc385431888"/>
      <w:bookmarkStart w:id="135" w:name="_Toc385491991"/>
      <w:bookmarkStart w:id="136" w:name="_Toc451522812"/>
      <w:bookmarkStart w:id="137" w:name="_Toc357781882"/>
      <w:r>
        <w:t>Annual Assurance Report.</w:t>
      </w:r>
      <w:bookmarkEnd w:id="132"/>
      <w:bookmarkEnd w:id="133"/>
      <w:bookmarkEnd w:id="134"/>
      <w:bookmarkEnd w:id="135"/>
      <w:bookmarkEnd w:id="136"/>
      <w:r>
        <w:t xml:space="preserve"> </w:t>
      </w:r>
    </w:p>
    <w:p w14:paraId="28FC1D39" w14:textId="77777777" w:rsidR="00446729" w:rsidRDefault="00446729" w:rsidP="00446729">
      <w:pPr>
        <w:ind w:left="1368"/>
      </w:pPr>
      <w:r>
        <w:t>The SIRO will provide an annual assurance report to the Audit Committee.</w:t>
      </w:r>
      <w:bookmarkEnd w:id="137"/>
      <w:r>
        <w:t xml:space="preserve">  The report is to take the following form:</w:t>
      </w:r>
    </w:p>
    <w:p w14:paraId="28FC1D3A" w14:textId="77777777" w:rsidR="00446729" w:rsidRDefault="0076376F" w:rsidP="00446729">
      <w:pPr>
        <w:pStyle w:val="ListParagraph"/>
        <w:numPr>
          <w:ilvl w:val="1"/>
          <w:numId w:val="2"/>
        </w:numPr>
        <w:ind w:left="1944"/>
      </w:pPr>
      <w:r>
        <w:t>Governance Statement</w:t>
      </w:r>
      <w:r w:rsidR="00446729">
        <w:t>.</w:t>
      </w:r>
    </w:p>
    <w:p w14:paraId="28FC1D3B" w14:textId="77777777" w:rsidR="00446729" w:rsidRDefault="00446729" w:rsidP="00446729">
      <w:pPr>
        <w:pStyle w:val="ListParagraph"/>
        <w:numPr>
          <w:ilvl w:val="1"/>
          <w:numId w:val="2"/>
        </w:numPr>
        <w:ind w:left="1944"/>
      </w:pPr>
      <w:r w:rsidRPr="002732DF">
        <w:t>Material breaches</w:t>
      </w:r>
      <w:r>
        <w:t>.</w:t>
      </w:r>
    </w:p>
    <w:p w14:paraId="28FC1D3C" w14:textId="344D9687" w:rsidR="00446729" w:rsidRDefault="00446729" w:rsidP="00446729">
      <w:pPr>
        <w:pStyle w:val="ListParagraph"/>
        <w:numPr>
          <w:ilvl w:val="1"/>
          <w:numId w:val="2"/>
        </w:numPr>
        <w:ind w:left="1944"/>
      </w:pPr>
      <w:r w:rsidRPr="002732DF">
        <w:t>Incidents reported to D</w:t>
      </w:r>
      <w:r w:rsidR="000675D7">
        <w:t>BEI</w:t>
      </w:r>
      <w:r w:rsidR="00A22602">
        <w:t>S</w:t>
      </w:r>
      <w:r w:rsidRPr="002732DF">
        <w:t xml:space="preserve"> or ICO</w:t>
      </w:r>
      <w:r>
        <w:t>.</w:t>
      </w:r>
    </w:p>
    <w:p w14:paraId="28FC1D3D" w14:textId="77777777" w:rsidR="00446729" w:rsidRDefault="00446729" w:rsidP="00446729">
      <w:pPr>
        <w:pStyle w:val="ListParagraph"/>
        <w:numPr>
          <w:ilvl w:val="1"/>
          <w:numId w:val="2"/>
        </w:numPr>
        <w:ind w:left="1944"/>
      </w:pPr>
      <w:r w:rsidRPr="002732DF">
        <w:t>Whether overall risks to the business have increased or decreased during the year</w:t>
      </w:r>
      <w:r>
        <w:t>.</w:t>
      </w:r>
    </w:p>
    <w:p w14:paraId="28FC1D3F" w14:textId="41458F74" w:rsidR="009A7BB7" w:rsidRPr="00BC238A" w:rsidRDefault="00446729" w:rsidP="00BC238A">
      <w:pPr>
        <w:pStyle w:val="ListParagraph"/>
        <w:numPr>
          <w:ilvl w:val="1"/>
          <w:numId w:val="2"/>
        </w:numPr>
        <w:ind w:left="1944"/>
      </w:pPr>
      <w:r w:rsidRPr="002732DF">
        <w:t>Recommendations for further consideration or action.</w:t>
      </w:r>
      <w:bookmarkStart w:id="138" w:name="_Toc357781880"/>
      <w:bookmarkStart w:id="139" w:name="_Toc384993350"/>
      <w:bookmarkStart w:id="140" w:name="_Toc384994782"/>
      <w:bookmarkStart w:id="141" w:name="_Toc384995277"/>
      <w:bookmarkStart w:id="142" w:name="_Toc385431889"/>
      <w:bookmarkStart w:id="143" w:name="_Toc385491992"/>
    </w:p>
    <w:p w14:paraId="28FC1D40" w14:textId="137BD80E" w:rsidR="001A0E44" w:rsidRDefault="001A0E44" w:rsidP="000C1A64">
      <w:pPr>
        <w:pStyle w:val="Heading3"/>
      </w:pPr>
      <w:bookmarkStart w:id="144" w:name="_Toc451522813"/>
      <w:r>
        <w:t>Authorisation</w:t>
      </w:r>
      <w:r w:rsidR="00DD4B70">
        <w:t>:</w:t>
      </w:r>
      <w:bookmarkEnd w:id="138"/>
      <w:bookmarkEnd w:id="139"/>
      <w:bookmarkEnd w:id="140"/>
      <w:bookmarkEnd w:id="141"/>
      <w:bookmarkEnd w:id="142"/>
      <w:bookmarkEnd w:id="143"/>
      <w:bookmarkEnd w:id="144"/>
    </w:p>
    <w:p w14:paraId="28FC1D41" w14:textId="6790516D" w:rsidR="00DD4B70" w:rsidRDefault="001A0E44" w:rsidP="000675D7">
      <w:pPr>
        <w:ind w:left="1418"/>
      </w:pPr>
      <w:r>
        <w:t>The SIRO is to ensure that any new IT systems undergo an impact assessment and have adequate controls for the management of information assets and classified records.</w:t>
      </w:r>
    </w:p>
    <w:p w14:paraId="28FC1D42" w14:textId="4BD0FAA3" w:rsidR="00DF025F" w:rsidRDefault="00DF025F" w:rsidP="00984888">
      <w:pPr>
        <w:pBdr>
          <w:top w:val="single" w:sz="4" w:space="1" w:color="auto"/>
          <w:left w:val="single" w:sz="4" w:space="4" w:color="auto"/>
          <w:bottom w:val="single" w:sz="4" w:space="1" w:color="auto"/>
          <w:right w:val="single" w:sz="4" w:space="4" w:color="auto"/>
        </w:pBdr>
        <w:shd w:val="clear" w:color="auto" w:fill="EEECE1" w:themeFill="background2"/>
        <w:tabs>
          <w:tab w:val="left" w:pos="7513"/>
        </w:tabs>
        <w:ind w:left="142" w:right="140"/>
        <w:rPr>
          <w:b/>
        </w:rPr>
      </w:pPr>
      <w:r w:rsidRPr="00785590">
        <w:rPr>
          <w:b/>
        </w:rPr>
        <w:t xml:space="preserve">I </w:t>
      </w:r>
      <w:r>
        <w:rPr>
          <w:b/>
        </w:rPr>
        <w:t xml:space="preserve">confirm that I </w:t>
      </w:r>
      <w:r w:rsidRPr="00785590">
        <w:rPr>
          <w:b/>
        </w:rPr>
        <w:t xml:space="preserve">have read and understand my responsibilities outlined in </w:t>
      </w:r>
      <w:r>
        <w:rPr>
          <w:b/>
        </w:rPr>
        <w:br/>
        <w:t>S</w:t>
      </w:r>
      <w:r w:rsidRPr="00785590">
        <w:rPr>
          <w:b/>
        </w:rPr>
        <w:t xml:space="preserve">ection </w:t>
      </w:r>
      <w:r w:rsidR="005A652F">
        <w:rPr>
          <w:b/>
        </w:rPr>
        <w:t>4</w:t>
      </w:r>
      <w:r w:rsidRPr="00785590">
        <w:rPr>
          <w:b/>
        </w:rPr>
        <w:t>.0</w:t>
      </w:r>
      <w:r>
        <w:rPr>
          <w:b/>
        </w:rPr>
        <w:t>:</w:t>
      </w:r>
      <w:r w:rsidR="00B35E87">
        <w:rPr>
          <w:b/>
        </w:rPr>
        <w:t xml:space="preserve"> “Responsibilities and Duties”    </w:t>
      </w:r>
      <w:r w:rsidR="00B35E87">
        <w:rPr>
          <w:b/>
        </w:rPr>
        <w:t xml:space="preserve">                           </w:t>
      </w:r>
      <w:r w:rsidR="00B35E87">
        <w:rPr>
          <w:i/>
        </w:rPr>
        <w:t>Please initial</w:t>
      </w:r>
      <w:r w:rsidR="00B35E87">
        <w:t xml:space="preserve"> </w:t>
      </w:r>
      <w:r w:rsidR="00B35E87">
        <w:rPr>
          <w:b/>
          <w:sz w:val="32"/>
        </w:rPr>
        <w:t>[MR</w:t>
      </w:r>
      <w:r w:rsidR="00B35E87" w:rsidRPr="009F3A12">
        <w:rPr>
          <w:b/>
          <w:sz w:val="32"/>
        </w:rPr>
        <w:t>]</w:t>
      </w:r>
    </w:p>
    <w:p w14:paraId="28FC1D44" w14:textId="2737F16A" w:rsidR="001A0E44" w:rsidRDefault="001A0E44" w:rsidP="00AA435A">
      <w:pPr>
        <w:pStyle w:val="Heading1"/>
        <w:numPr>
          <w:ilvl w:val="0"/>
          <w:numId w:val="17"/>
        </w:numPr>
      </w:pPr>
      <w:bookmarkStart w:id="145" w:name="_Toc451522814"/>
      <w:r>
        <w:lastRenderedPageBreak/>
        <w:t>Forensic Readiness</w:t>
      </w:r>
      <w:r w:rsidR="00511897">
        <w:t>.</w:t>
      </w:r>
      <w:bookmarkEnd w:id="145"/>
    </w:p>
    <w:p w14:paraId="28E2FE06" w14:textId="77777777" w:rsidR="00AA435A" w:rsidRPr="00AA435A" w:rsidRDefault="00AA435A" w:rsidP="00AA435A">
      <w:pPr>
        <w:pStyle w:val="ListParagraph"/>
        <w:rPr>
          <w:lang w:eastAsia="en-GB"/>
        </w:rPr>
      </w:pPr>
    </w:p>
    <w:p w14:paraId="28FC1D45" w14:textId="77777777" w:rsidR="001A0E44" w:rsidRDefault="001A0E44" w:rsidP="001A0E44">
      <w:r>
        <w:t>Forensic readiness is a discipline which deals with the management of ICT systems which are used to manage information which may need to be produced as evidence in civil and/or criminal investigations is known as forensic readiness.</w:t>
      </w:r>
    </w:p>
    <w:p w14:paraId="28FC1D46" w14:textId="677100FC" w:rsidR="001A0E44" w:rsidRDefault="001A0E44" w:rsidP="001A0E44">
      <w:r>
        <w:t xml:space="preserve">Threats and risks will be assessed by the SIRO using the </w:t>
      </w:r>
      <w:r w:rsidR="0035537A">
        <w:t xml:space="preserve">government </w:t>
      </w:r>
      <w:r>
        <w:t>guidelines for threat assessment and guidelines on the need for forensic readiness.</w:t>
      </w:r>
    </w:p>
    <w:p w14:paraId="28FC1D47" w14:textId="77777777" w:rsidR="001A0E44" w:rsidRDefault="001A0E44" w:rsidP="001A0E44">
      <w:r>
        <w:t>A review will be conducted by the SIRO on an annual basis or when the threats and risks to the business change for any reason.</w:t>
      </w:r>
    </w:p>
    <w:p w14:paraId="28FC1D48" w14:textId="77777777" w:rsidR="001A0E44" w:rsidRDefault="001A0E44" w:rsidP="001A0E44">
      <w:r>
        <w:t>The Authority’s business is subject to the following risks which may require information to be provided in evidence:</w:t>
      </w:r>
    </w:p>
    <w:p w14:paraId="28FC1D49" w14:textId="77777777" w:rsidR="001A0E44" w:rsidRPr="00D36E03" w:rsidRDefault="005A652F" w:rsidP="002720E6">
      <w:pPr>
        <w:pStyle w:val="Heading2"/>
      </w:pPr>
      <w:bookmarkStart w:id="146" w:name="_Toc451522815"/>
      <w:r>
        <w:t>5</w:t>
      </w:r>
      <w:r w:rsidR="00DD4B70">
        <w:t>.1</w:t>
      </w:r>
      <w:r w:rsidR="00DD4B70">
        <w:tab/>
      </w:r>
      <w:r w:rsidR="001A0E44" w:rsidRPr="00D36E03">
        <w:t>Potential fraud</w:t>
      </w:r>
      <w:r w:rsidR="00511897">
        <w:t>.</w:t>
      </w:r>
      <w:bookmarkEnd w:id="146"/>
    </w:p>
    <w:p w14:paraId="12EA90C9" w14:textId="77777777" w:rsidR="0035537A" w:rsidRDefault="001A0E44" w:rsidP="0035537A">
      <w:pPr>
        <w:pStyle w:val="ListParagraph"/>
        <w:numPr>
          <w:ilvl w:val="0"/>
          <w:numId w:val="20"/>
        </w:numPr>
        <w:ind w:left="1064"/>
      </w:pPr>
      <w:r>
        <w:t>Potential litigation where one or more staff members and/or members of the public have illegally undermined the business interests of the Authority for whatever purpose.</w:t>
      </w:r>
    </w:p>
    <w:p w14:paraId="39353BD6" w14:textId="77777777" w:rsidR="0035537A" w:rsidRDefault="001A0E44" w:rsidP="0035537A">
      <w:pPr>
        <w:pStyle w:val="ListParagraph"/>
        <w:numPr>
          <w:ilvl w:val="0"/>
          <w:numId w:val="20"/>
        </w:numPr>
        <w:ind w:left="1064"/>
      </w:pPr>
      <w:r>
        <w:t>Potential legal action arising after disciplinary action or dismissal of a member of staff.</w:t>
      </w:r>
    </w:p>
    <w:p w14:paraId="0F9FF5FE" w14:textId="77777777" w:rsidR="0035537A" w:rsidRDefault="001A0E44" w:rsidP="0035537A">
      <w:pPr>
        <w:pStyle w:val="ListParagraph"/>
        <w:numPr>
          <w:ilvl w:val="0"/>
          <w:numId w:val="20"/>
        </w:numPr>
        <w:ind w:left="1064"/>
      </w:pPr>
      <w:r>
        <w:t>Illegal access to classified information from external groups acting to undermine the Authority’s business interests for whatever purpose.</w:t>
      </w:r>
    </w:p>
    <w:p w14:paraId="28FC1D4E" w14:textId="77777777" w:rsidR="001A0E44" w:rsidRDefault="001A0E44" w:rsidP="0035537A">
      <w:pPr>
        <w:ind w:left="709"/>
      </w:pPr>
      <w:r>
        <w:t>All staff are responsible for reporting any instances of potential or actual threats to the Authority’s business interests, including fraud, to the SIRO or the Head of ICT.</w:t>
      </w:r>
      <w:r w:rsidR="00F023C8">
        <w:br/>
      </w:r>
    </w:p>
    <w:p w14:paraId="28FC1D4F" w14:textId="77777777" w:rsidR="001A0E44" w:rsidRDefault="005A652F" w:rsidP="002720E6">
      <w:pPr>
        <w:pStyle w:val="Heading2"/>
        <w:keepNext w:val="0"/>
        <w:keepLines w:val="0"/>
        <w:widowControl w:val="0"/>
        <w:numPr>
          <w:ilvl w:val="1"/>
          <w:numId w:val="0"/>
        </w:numPr>
        <w:spacing w:before="120" w:after="120" w:line="240" w:lineRule="auto"/>
        <w:ind w:left="576" w:hanging="576"/>
      </w:pPr>
      <w:bookmarkStart w:id="147" w:name="_Toc451522816"/>
      <w:r>
        <w:t>5</w:t>
      </w:r>
      <w:r w:rsidR="00511897">
        <w:t>.2</w:t>
      </w:r>
      <w:r w:rsidR="00511897">
        <w:tab/>
      </w:r>
      <w:r w:rsidR="001A0E44">
        <w:t>Current Forensic Arrangements</w:t>
      </w:r>
      <w:r w:rsidR="00511897">
        <w:t>.</w:t>
      </w:r>
      <w:bookmarkEnd w:id="147"/>
    </w:p>
    <w:p w14:paraId="28FC1D50" w14:textId="77777777" w:rsidR="001A0E44" w:rsidRDefault="001A0E44" w:rsidP="00511897">
      <w:pPr>
        <w:ind w:left="700"/>
      </w:pPr>
      <w:r>
        <w:t>Upon receiving a report of a threat from a member of staff or from an external source</w:t>
      </w:r>
      <w:r w:rsidR="00F023C8">
        <w:t>,</w:t>
      </w:r>
      <w:r>
        <w:t xml:space="preserve"> the Head of ICT will make arrangements to prevent any further access of any kind to the systems under threat.</w:t>
      </w:r>
    </w:p>
    <w:p w14:paraId="28FC1D51" w14:textId="77777777" w:rsidR="001A0E44" w:rsidRDefault="001A0E44" w:rsidP="00511897">
      <w:pPr>
        <w:ind w:left="700"/>
      </w:pPr>
      <w:r>
        <w:t xml:space="preserve">In cases where a potential criminal investigation may result, the Head of ICT shall ensure that any systems shut down for this purpose are only brought back on line </w:t>
      </w:r>
      <w:r w:rsidR="00141585">
        <w:t xml:space="preserve">once suitable professional advice has been received and considered.  The affected system(s) will only be restarted </w:t>
      </w:r>
      <w:r>
        <w:t xml:space="preserve">after receiving an instruction to do so from the Executive. </w:t>
      </w:r>
    </w:p>
    <w:p w14:paraId="28FC1D52" w14:textId="77777777" w:rsidR="001A0E44" w:rsidRDefault="001A0E44" w:rsidP="00511897">
      <w:pPr>
        <w:ind w:left="700"/>
      </w:pPr>
      <w:r>
        <w:lastRenderedPageBreak/>
        <w:t>In all other cases</w:t>
      </w:r>
      <w:r w:rsidR="00F023C8">
        <w:t>,</w:t>
      </w:r>
      <w:r>
        <w:t xml:space="preserve"> the Head of ICT will ensure that systems are brought back on line with only sufficient access rights required to conduct a review of system access and data tracking and only with the express permission of the SIRO.</w:t>
      </w:r>
    </w:p>
    <w:p w14:paraId="28FC1D53" w14:textId="76AAA50C" w:rsidR="001A0E44" w:rsidRDefault="001A0E44" w:rsidP="00842D6E">
      <w:pPr>
        <w:ind w:left="700"/>
        <w:rPr>
          <w:b/>
        </w:rPr>
      </w:pPr>
      <w:r>
        <w:t>The SIRO will prepare a report and any recommendations after every such incident for review by the Audit committee.</w:t>
      </w:r>
      <w:r w:rsidR="00842D6E">
        <w:br/>
      </w:r>
      <w:r w:rsidR="00842D6E">
        <w:br/>
      </w:r>
    </w:p>
    <w:p w14:paraId="28FC1D54" w14:textId="05C4D5B6" w:rsidR="00DF025F" w:rsidRDefault="00DF025F" w:rsidP="00FA4EC2">
      <w:pPr>
        <w:pBdr>
          <w:top w:val="single" w:sz="4" w:space="1" w:color="auto"/>
          <w:left w:val="single" w:sz="4" w:space="4" w:color="auto"/>
          <w:bottom w:val="single" w:sz="4" w:space="1" w:color="auto"/>
          <w:right w:val="single" w:sz="4" w:space="4" w:color="auto"/>
        </w:pBdr>
        <w:shd w:val="clear" w:color="auto" w:fill="EEECE1" w:themeFill="background2"/>
        <w:tabs>
          <w:tab w:val="left" w:pos="7513"/>
        </w:tabs>
        <w:ind w:left="142" w:right="140"/>
        <w:rPr>
          <w:b/>
        </w:rPr>
      </w:pPr>
      <w:r w:rsidRPr="00785590">
        <w:rPr>
          <w:b/>
        </w:rPr>
        <w:t xml:space="preserve">I </w:t>
      </w:r>
      <w:r>
        <w:rPr>
          <w:b/>
        </w:rPr>
        <w:t xml:space="preserve">confirm that I </w:t>
      </w:r>
      <w:r w:rsidRPr="00785590">
        <w:rPr>
          <w:b/>
        </w:rPr>
        <w:t xml:space="preserve">have read and understand my responsibilities outlined in </w:t>
      </w:r>
      <w:r>
        <w:rPr>
          <w:b/>
        </w:rPr>
        <w:br/>
        <w:t>S</w:t>
      </w:r>
      <w:r w:rsidRPr="00785590">
        <w:rPr>
          <w:b/>
        </w:rPr>
        <w:t xml:space="preserve">ection </w:t>
      </w:r>
      <w:r w:rsidR="005A652F">
        <w:rPr>
          <w:b/>
        </w:rPr>
        <w:t>5</w:t>
      </w:r>
      <w:r w:rsidRPr="00785590">
        <w:rPr>
          <w:b/>
        </w:rPr>
        <w:t>.0</w:t>
      </w:r>
      <w:r>
        <w:rPr>
          <w:b/>
        </w:rPr>
        <w:t xml:space="preserve">: “Forensic Readiness”  </w:t>
      </w:r>
      <w:r w:rsidR="00B35E87">
        <w:rPr>
          <w:b/>
        </w:rPr>
        <w:t xml:space="preserve">                         </w:t>
      </w:r>
      <w:r w:rsidR="00B35E87">
        <w:rPr>
          <w:b/>
        </w:rPr>
        <w:t xml:space="preserve">   </w:t>
      </w:r>
      <w:r w:rsidR="00B35E87">
        <w:rPr>
          <w:b/>
        </w:rPr>
        <w:t xml:space="preserve">               </w:t>
      </w:r>
      <w:r w:rsidR="00B35E87">
        <w:rPr>
          <w:i/>
        </w:rPr>
        <w:t>Please initial</w:t>
      </w:r>
      <w:r w:rsidR="00B35E87">
        <w:t xml:space="preserve"> </w:t>
      </w:r>
      <w:r w:rsidR="00B35E87">
        <w:rPr>
          <w:b/>
          <w:sz w:val="32"/>
        </w:rPr>
        <w:t>[MR</w:t>
      </w:r>
      <w:r w:rsidR="00B35E87" w:rsidRPr="009F3A12">
        <w:rPr>
          <w:b/>
          <w:sz w:val="32"/>
        </w:rPr>
        <w:t>]</w:t>
      </w:r>
    </w:p>
    <w:p w14:paraId="28FC1D55" w14:textId="77777777" w:rsidR="00DF025F" w:rsidRPr="00842D6E" w:rsidRDefault="00DF025F" w:rsidP="00DF025F">
      <w:pPr>
        <w:rPr>
          <w:b/>
        </w:rPr>
      </w:pPr>
    </w:p>
    <w:p w14:paraId="28FC1D56" w14:textId="77777777" w:rsidR="001A0E44" w:rsidRDefault="001A0E44" w:rsidP="001A0E44">
      <w:pPr>
        <w:sectPr w:rsidR="001A0E44" w:rsidSect="00AA435A">
          <w:headerReference w:type="default" r:id="rId20"/>
          <w:footerReference w:type="even" r:id="rId21"/>
          <w:footerReference w:type="default" r:id="rId22"/>
          <w:pgSz w:w="11906" w:h="16838" w:code="9"/>
          <w:pgMar w:top="2667" w:right="1134" w:bottom="1135" w:left="1134" w:header="709" w:footer="567" w:gutter="0"/>
          <w:cols w:space="708"/>
          <w:docGrid w:linePitch="360"/>
        </w:sectPr>
      </w:pPr>
    </w:p>
    <w:p w14:paraId="28FC1D57" w14:textId="77777777" w:rsidR="001A0E44" w:rsidRPr="009B137C" w:rsidRDefault="00511897" w:rsidP="000D2147">
      <w:pPr>
        <w:pStyle w:val="Heading1"/>
      </w:pPr>
      <w:bookmarkStart w:id="148" w:name="_Appendix_1:_Data"/>
      <w:bookmarkStart w:id="149" w:name="_Toc451522817"/>
      <w:bookmarkEnd w:id="148"/>
      <w:r>
        <w:lastRenderedPageBreak/>
        <w:t xml:space="preserve">Appendix 1: </w:t>
      </w:r>
      <w:r w:rsidR="001A0E44" w:rsidRPr="009B137C">
        <w:t>Data Handling</w:t>
      </w:r>
      <w:r>
        <w:t xml:space="preserve"> </w:t>
      </w:r>
      <w:r w:rsidR="001A0E44" w:rsidRPr="009B137C">
        <w:t>Guidance</w:t>
      </w:r>
      <w:r w:rsidR="003324E1">
        <w:t>.</w:t>
      </w:r>
      <w:bookmarkEnd w:id="149"/>
    </w:p>
    <w:p w14:paraId="28FC1D58" w14:textId="2B60C7B0" w:rsidR="001A0E44" w:rsidRPr="001C726A" w:rsidRDefault="00226D90" w:rsidP="00511897">
      <w:pPr>
        <w:pStyle w:val="Heading2"/>
      </w:pPr>
      <w:bookmarkStart w:id="150" w:name="_Toc385431894"/>
      <w:bookmarkStart w:id="151" w:name="_Toc451522818"/>
      <w:r>
        <w:t>Portable devices</w:t>
      </w:r>
      <w:r w:rsidR="00FA4EC2">
        <w:t xml:space="preserve"> (CA supplied </w:t>
      </w:r>
      <w:r>
        <w:t>laptops, tablets and mobile phones</w:t>
      </w:r>
      <w:r w:rsidR="00FA4EC2">
        <w:t>)</w:t>
      </w:r>
      <w:r w:rsidR="003324E1">
        <w:t>.</w:t>
      </w:r>
      <w:bookmarkEnd w:id="150"/>
      <w:bookmarkEnd w:id="151"/>
      <w:r w:rsidR="001A0E44" w:rsidRPr="001C726A">
        <w:t xml:space="preserve"> </w:t>
      </w:r>
    </w:p>
    <w:p w14:paraId="28FC1D59" w14:textId="2E8FCACE" w:rsidR="004D6570" w:rsidRDefault="001A0E44" w:rsidP="002720E6">
      <w:pPr>
        <w:pStyle w:val="Paratext"/>
      </w:pPr>
      <w:r w:rsidRPr="00511897">
        <w:t>Encrypted laptop computers</w:t>
      </w:r>
      <w:r w:rsidR="00FA4EC2">
        <w:t xml:space="preserve"> and tablets</w:t>
      </w:r>
      <w:r w:rsidR="00511897">
        <w:t>,</w:t>
      </w:r>
      <w:r w:rsidRPr="00511897">
        <w:t xml:space="preserve"> </w:t>
      </w:r>
      <w:r w:rsidR="00511897">
        <w:t xml:space="preserve">as </w:t>
      </w:r>
      <w:r w:rsidRPr="00511897">
        <w:t>supplied by the Authority</w:t>
      </w:r>
      <w:r w:rsidR="00511897">
        <w:t xml:space="preserve"> to staff,</w:t>
      </w:r>
      <w:r w:rsidRPr="00511897">
        <w:t xml:space="preserve"> can be used to store and work upon classified information</w:t>
      </w:r>
      <w:r w:rsidR="00416D7B">
        <w:t xml:space="preserve"> when working offline</w:t>
      </w:r>
      <w:r w:rsidRPr="00511897">
        <w:t xml:space="preserve">. When working remotely, any business information should be stored </w:t>
      </w:r>
      <w:r w:rsidR="00416D7B">
        <w:t>in accordance with the records management policy</w:t>
      </w:r>
      <w:r w:rsidR="0035537A">
        <w:t>,</w:t>
      </w:r>
      <w:r w:rsidR="00416D7B">
        <w:t xml:space="preserve"> with guidance provided by the IAO</w:t>
      </w:r>
      <w:r w:rsidR="00FA4EC2">
        <w:t>.</w:t>
      </w:r>
    </w:p>
    <w:p w14:paraId="27416419" w14:textId="77777777" w:rsidR="00226D90" w:rsidRDefault="00226D90" w:rsidP="00226D90">
      <w:pPr>
        <w:pStyle w:val="Paratext"/>
      </w:pPr>
      <w:r>
        <w:t>The device must not be used by anyone other than the employee to whom they have been assigned.</w:t>
      </w:r>
    </w:p>
    <w:p w14:paraId="28FC1D5C" w14:textId="7F27D985" w:rsidR="004D6570" w:rsidRDefault="00226D90" w:rsidP="002720E6">
      <w:pPr>
        <w:pStyle w:val="Paratext"/>
      </w:pPr>
      <w:r>
        <w:t>Devices</w:t>
      </w:r>
      <w:r w:rsidR="001A0E44" w:rsidRPr="00511897">
        <w:t xml:space="preserve"> must be kept in a </w:t>
      </w:r>
      <w:r w:rsidR="0035537A">
        <w:t xml:space="preserve">secure </w:t>
      </w:r>
      <w:r w:rsidR="001A0E44" w:rsidRPr="00511897">
        <w:t xml:space="preserve">place </w:t>
      </w:r>
      <w:r w:rsidR="0035537A">
        <w:t>when unattended.</w:t>
      </w:r>
    </w:p>
    <w:p w14:paraId="28FC1D61" w14:textId="24F03B63" w:rsidR="001A0E44" w:rsidRDefault="001A0E44" w:rsidP="003324E1">
      <w:pPr>
        <w:pStyle w:val="Heading2"/>
      </w:pPr>
      <w:bookmarkStart w:id="152" w:name="_Toc385431896"/>
      <w:bookmarkStart w:id="153" w:name="_Toc451522820"/>
      <w:r w:rsidRPr="002D42DE">
        <w:t>Removabl</w:t>
      </w:r>
      <w:bookmarkEnd w:id="152"/>
      <w:bookmarkEnd w:id="153"/>
      <w:r w:rsidR="00226D90">
        <w:t>e media</w:t>
      </w:r>
    </w:p>
    <w:p w14:paraId="48BF86BA" w14:textId="2C17A359" w:rsidR="00226D90" w:rsidRDefault="00226D90" w:rsidP="002720E6">
      <w:pPr>
        <w:pStyle w:val="Paratext"/>
      </w:pPr>
      <w:r>
        <w:t>All removable media</w:t>
      </w:r>
      <w:r w:rsidR="009102E6">
        <w:t xml:space="preserve"> </w:t>
      </w:r>
      <w:r>
        <w:t xml:space="preserve">must be anti-virus scanned prior to being inserted into any Authority device, in line with the </w:t>
      </w:r>
      <w:hyperlink r:id="rId23" w:history="1">
        <w:r w:rsidRPr="009B6FDC">
          <w:rPr>
            <w:rStyle w:val="Hyperlink"/>
          </w:rPr>
          <w:t>ICT  User Policy</w:t>
        </w:r>
      </w:hyperlink>
      <w:r>
        <w:t>.</w:t>
      </w:r>
      <w:r w:rsidR="00A22602">
        <w:t xml:space="preserve"> CA issued iPhones must be anti-virus scanned if they have been connected to a non-Authority computer</w:t>
      </w:r>
      <w:r w:rsidR="000C1A64">
        <w:t xml:space="preserve"> before connecting to Authority devices.</w:t>
      </w:r>
    </w:p>
    <w:p w14:paraId="2EB762D1" w14:textId="4B48F3D8" w:rsidR="00226D90" w:rsidRDefault="00226D90" w:rsidP="002720E6">
      <w:pPr>
        <w:pStyle w:val="Paratext"/>
      </w:pPr>
      <w:r>
        <w:t xml:space="preserve">The transfer of data via USB memory stick, CD or DVD will need the permission of the IAO who will ensure that the data may be supplied. </w:t>
      </w:r>
      <w:r w:rsidRPr="00B21E86">
        <w:t>After gaining this</w:t>
      </w:r>
      <w:r>
        <w:t xml:space="preserve"> permission, the data can be written to USB memory stick/CD/DVD by following the guidance with regards to </w:t>
      </w:r>
      <w:hyperlink r:id="rId24" w:history="1">
        <w:r w:rsidRPr="00226D90">
          <w:rPr>
            <w:rStyle w:val="Hyperlink"/>
          </w:rPr>
          <w:t>using and encrypting removable media</w:t>
        </w:r>
      </w:hyperlink>
      <w:r>
        <w:t xml:space="preserve">. </w:t>
      </w:r>
    </w:p>
    <w:p w14:paraId="28FC1D62" w14:textId="40BCA928" w:rsidR="004D6570" w:rsidRDefault="00226D90" w:rsidP="00226D90">
      <w:pPr>
        <w:pStyle w:val="Paratext"/>
      </w:pPr>
      <w:r>
        <w:t xml:space="preserve">You should note that it is still permissible to copy data from USB memory stick/CD/DVD to the </w:t>
      </w:r>
      <w:r w:rsidRPr="00B21E86">
        <w:t xml:space="preserve">network or into Wisdom </w:t>
      </w:r>
      <w:r>
        <w:t xml:space="preserve">after appropriate anti-virus checking, in line with the </w:t>
      </w:r>
      <w:hyperlink r:id="rId25" w:history="1">
        <w:r w:rsidRPr="009B6FDC">
          <w:rPr>
            <w:rStyle w:val="Hyperlink"/>
          </w:rPr>
          <w:t>ICT  User Policy</w:t>
        </w:r>
      </w:hyperlink>
      <w:r>
        <w:t>.</w:t>
      </w:r>
    </w:p>
    <w:p w14:paraId="28FC1D65" w14:textId="49D5EB79" w:rsidR="004D6570" w:rsidRDefault="001A0E44" w:rsidP="002720E6">
      <w:pPr>
        <w:pStyle w:val="Paratext"/>
      </w:pPr>
      <w:r>
        <w:t xml:space="preserve">Any loss of </w:t>
      </w:r>
      <w:r w:rsidR="003324E1">
        <w:t xml:space="preserve">Authority </w:t>
      </w:r>
      <w:r w:rsidR="00226D90">
        <w:t>data on removable media</w:t>
      </w:r>
      <w:r>
        <w:t xml:space="preserve"> must be reported immediately to </w:t>
      </w:r>
      <w:r w:rsidR="003324E1">
        <w:t xml:space="preserve">the </w:t>
      </w:r>
      <w:r>
        <w:t xml:space="preserve">IAO and </w:t>
      </w:r>
      <w:r w:rsidR="00226D90">
        <w:t>an information security observation</w:t>
      </w:r>
      <w:r w:rsidR="00416D7B">
        <w:t xml:space="preserve"> should be logged immediately</w:t>
      </w:r>
      <w:r>
        <w:t>.</w:t>
      </w:r>
    </w:p>
    <w:p w14:paraId="2794289F" w14:textId="08A6C4F9" w:rsidR="00226D90" w:rsidRDefault="00226D90" w:rsidP="002720E6">
      <w:pPr>
        <w:pStyle w:val="Paratext"/>
      </w:pPr>
      <w:r>
        <w:t xml:space="preserve">Alternatively staff many make use of the Authority’s </w:t>
      </w:r>
      <w:r w:rsidR="009102E6">
        <w:t xml:space="preserve">approved </w:t>
      </w:r>
      <w:r>
        <w:t>online file sharing system by raising a change request.</w:t>
      </w:r>
    </w:p>
    <w:p w14:paraId="28FC1D6C" w14:textId="77777777" w:rsidR="001A0E44" w:rsidRDefault="001A0E44" w:rsidP="003324E1">
      <w:pPr>
        <w:pStyle w:val="Heading2"/>
      </w:pPr>
      <w:bookmarkStart w:id="154" w:name="_Toc385431898"/>
      <w:bookmarkStart w:id="155" w:name="_Toc451522822"/>
      <w:r w:rsidRPr="004518BD">
        <w:t>Home Computers</w:t>
      </w:r>
      <w:r w:rsidR="003324E1">
        <w:t>.</w:t>
      </w:r>
      <w:bookmarkEnd w:id="154"/>
      <w:bookmarkEnd w:id="155"/>
    </w:p>
    <w:p w14:paraId="28FC1D6D" w14:textId="77777777" w:rsidR="004D6570" w:rsidRDefault="00097CAD" w:rsidP="002720E6">
      <w:pPr>
        <w:pStyle w:val="Paratext"/>
      </w:pPr>
      <w:r>
        <w:t xml:space="preserve">The creation or storage of </w:t>
      </w:r>
      <w:r w:rsidR="00311FED">
        <w:t>any business</w:t>
      </w:r>
      <w:r>
        <w:t xml:space="preserve"> information on home computers is not allowed. Any business data held on home computers must be deleted.</w:t>
      </w:r>
    </w:p>
    <w:p w14:paraId="28FC1D6E" w14:textId="77777777" w:rsidR="001A0E44" w:rsidRPr="004518BD" w:rsidRDefault="001A0E44" w:rsidP="003324E1">
      <w:pPr>
        <w:pStyle w:val="Heading2"/>
      </w:pPr>
      <w:bookmarkStart w:id="156" w:name="_Toc385431899"/>
      <w:bookmarkStart w:id="157" w:name="_Toc451522823"/>
      <w:r w:rsidRPr="004518BD">
        <w:t>Working with Third Party</w:t>
      </w:r>
      <w:r w:rsidR="00097CAD">
        <w:t xml:space="preserve"> </w:t>
      </w:r>
      <w:r w:rsidRPr="004518BD">
        <w:t>Organisations</w:t>
      </w:r>
      <w:r w:rsidR="003324E1">
        <w:t>.</w:t>
      </w:r>
      <w:bookmarkEnd w:id="156"/>
      <w:bookmarkEnd w:id="157"/>
    </w:p>
    <w:p w14:paraId="28FC1D6F" w14:textId="77777777" w:rsidR="004D6570" w:rsidRDefault="001A0E44" w:rsidP="002720E6">
      <w:pPr>
        <w:pStyle w:val="Paratext"/>
      </w:pPr>
      <w:r>
        <w:t xml:space="preserve">It will be the responsibility of the IAO to ensure that all external parties required to use classified Authority information </w:t>
      </w:r>
      <w:r w:rsidR="00097CAD">
        <w:t>(</w:t>
      </w:r>
      <w:r>
        <w:t>in their capacity as contractors or consultants</w:t>
      </w:r>
      <w:r w:rsidR="00097CAD">
        <w:t>)</w:t>
      </w:r>
      <w:r>
        <w:t xml:space="preserve"> have been duly authorised and have signed </w:t>
      </w:r>
      <w:r w:rsidR="00D0740E">
        <w:t xml:space="preserve">this </w:t>
      </w:r>
      <w:r>
        <w:t xml:space="preserve">Information Risk </w:t>
      </w:r>
      <w:r>
        <w:lastRenderedPageBreak/>
        <w:t>Management Policy</w:t>
      </w:r>
      <w:r w:rsidR="009B6FDC">
        <w:t>,</w:t>
      </w:r>
      <w:r w:rsidR="00D0740E">
        <w:t xml:space="preserve"> in addition to the </w:t>
      </w:r>
      <w:hyperlink r:id="rId26" w:history="1">
        <w:r w:rsidR="00D0740E" w:rsidRPr="00D0740E">
          <w:rPr>
            <w:rStyle w:val="Hyperlink"/>
          </w:rPr>
          <w:t>Authority’s Use of CA Data by Third Parties agreement form</w:t>
        </w:r>
      </w:hyperlink>
      <w:r w:rsidR="00E14B37">
        <w:rPr>
          <w:rStyle w:val="Hyperlink"/>
        </w:rPr>
        <w:t>.</w:t>
      </w:r>
      <w:r w:rsidR="00E14B37">
        <w:t xml:space="preserve"> </w:t>
      </w:r>
      <w:r>
        <w:t>The IAO will keep a record in Wisdom to this effect.</w:t>
      </w:r>
    </w:p>
    <w:p w14:paraId="28FC1D70" w14:textId="77777777" w:rsidR="001A0E44" w:rsidRPr="005C6BF5" w:rsidRDefault="001A0E44" w:rsidP="003324E1">
      <w:pPr>
        <w:pStyle w:val="Heading2"/>
      </w:pPr>
      <w:bookmarkStart w:id="158" w:name="_Toc385431900"/>
      <w:bookmarkStart w:id="159" w:name="_Toc451522824"/>
      <w:r w:rsidRPr="005C6BF5">
        <w:t>Data Handling</w:t>
      </w:r>
      <w:r w:rsidR="003324E1">
        <w:t>.</w:t>
      </w:r>
      <w:bookmarkEnd w:id="158"/>
      <w:bookmarkEnd w:id="159"/>
    </w:p>
    <w:p w14:paraId="28FC1D71" w14:textId="77777777" w:rsidR="004D6570" w:rsidRDefault="001A0E44" w:rsidP="002720E6">
      <w:pPr>
        <w:pStyle w:val="Paratext"/>
      </w:pPr>
      <w:r>
        <w:t xml:space="preserve">Any requirement to provide large volumes of information to third parties other than outlined above must be with the </w:t>
      </w:r>
      <w:r w:rsidRPr="00B21E86">
        <w:t xml:space="preserve">prior agreement of the </w:t>
      </w:r>
      <w:r>
        <w:t xml:space="preserve">IAO </w:t>
      </w:r>
      <w:r w:rsidRPr="00B21E86">
        <w:t xml:space="preserve">who will ensure that </w:t>
      </w:r>
      <w:r>
        <w:t>there is a business requirement to do so</w:t>
      </w:r>
      <w:r w:rsidR="00416D7B">
        <w:t xml:space="preserve"> and that suitable data handling agreements are in place</w:t>
      </w:r>
      <w:r>
        <w:t>.</w:t>
      </w:r>
    </w:p>
    <w:p w14:paraId="28FC1D72" w14:textId="77777777" w:rsidR="004D6570" w:rsidRDefault="001A0E44" w:rsidP="002720E6">
      <w:pPr>
        <w:pStyle w:val="Paratext"/>
      </w:pPr>
      <w:r w:rsidRPr="0048600A">
        <w:t>The information will be copied to the media by ICT</w:t>
      </w:r>
      <w:r>
        <w:t xml:space="preserve"> after the </w:t>
      </w:r>
      <w:r w:rsidR="00416D7B">
        <w:t>authorisation of a formal ICT change request has</w:t>
      </w:r>
      <w:r w:rsidR="005561EA">
        <w:t xml:space="preserve"> been received for this activity.  </w:t>
      </w:r>
      <w:r>
        <w:t xml:space="preserve">ICT will provide the data in a suitably encrypted form with </w:t>
      </w:r>
      <w:r w:rsidR="005561EA">
        <w:t>guidance</w:t>
      </w:r>
      <w:r w:rsidRPr="00B21E86">
        <w:t xml:space="preserve"> on how the data must be handled and deleted after use by the</w:t>
      </w:r>
      <w:r w:rsidRPr="0048600A">
        <w:t xml:space="preserve"> third party.</w:t>
      </w:r>
    </w:p>
    <w:p w14:paraId="28FC1D73" w14:textId="77777777" w:rsidR="00B80099" w:rsidRDefault="001A0E44" w:rsidP="002720E6">
      <w:pPr>
        <w:pStyle w:val="Paratext"/>
      </w:pPr>
      <w:r>
        <w:t xml:space="preserve">Personal data must not be processed unless it is in full compliance with the </w:t>
      </w:r>
      <w:r w:rsidRPr="00B21E86">
        <w:t>D</w:t>
      </w:r>
      <w:r w:rsidR="00F358C7">
        <w:t xml:space="preserve">ata </w:t>
      </w:r>
      <w:r w:rsidRPr="00B21E86">
        <w:t>P</w:t>
      </w:r>
      <w:r w:rsidR="00F358C7">
        <w:t>rotection</w:t>
      </w:r>
      <w:r w:rsidRPr="00B21E86">
        <w:t xml:space="preserve"> Act</w:t>
      </w:r>
      <w:r w:rsidR="00F358C7">
        <w:t xml:space="preserve"> (DPA)</w:t>
      </w:r>
      <w:r w:rsidRPr="00B21E86">
        <w:t xml:space="preserve"> and with the express permission of the </w:t>
      </w:r>
      <w:r>
        <w:t>IAO</w:t>
      </w:r>
      <w:r w:rsidRPr="00B21E86">
        <w:t>, Director and</w:t>
      </w:r>
      <w:r w:rsidRPr="0048600A">
        <w:t xml:space="preserve"> the Authority</w:t>
      </w:r>
      <w:r w:rsidR="00F358C7">
        <w:t>’s</w:t>
      </w:r>
      <w:r w:rsidRPr="0048600A">
        <w:t xml:space="preserve"> Data Controller</w:t>
      </w:r>
      <w:r>
        <w:t xml:space="preserve"> (Head of ICT)</w:t>
      </w:r>
      <w:r w:rsidRPr="0048600A">
        <w:t>.</w:t>
      </w:r>
    </w:p>
    <w:p w14:paraId="28FC1D74" w14:textId="77777777" w:rsidR="00AD27CD" w:rsidRDefault="00AD27CD" w:rsidP="002720E6">
      <w:pPr>
        <w:pStyle w:val="Paratext"/>
      </w:pPr>
    </w:p>
    <w:p w14:paraId="28FC1D75" w14:textId="62243083" w:rsidR="001A0E44" w:rsidRPr="00AD27CD" w:rsidRDefault="001A0E44" w:rsidP="00AD27CD">
      <w:pPr>
        <w:rPr>
          <w:b/>
        </w:rPr>
      </w:pPr>
      <w:r w:rsidRPr="00AD27CD">
        <w:rPr>
          <w:b/>
        </w:rPr>
        <w:t xml:space="preserve">Anyone needing advice or further explanation should direct their enquiries to </w:t>
      </w:r>
      <w:r w:rsidR="00D23281">
        <w:rPr>
          <w:b/>
        </w:rPr>
        <w:t xml:space="preserve">your </w:t>
      </w:r>
      <w:r w:rsidR="00E14B37">
        <w:rPr>
          <w:b/>
        </w:rPr>
        <w:t xml:space="preserve">departmental </w:t>
      </w:r>
      <w:r w:rsidR="00FC0054" w:rsidRPr="00AD27CD">
        <w:rPr>
          <w:b/>
        </w:rPr>
        <w:t>IAO</w:t>
      </w:r>
      <w:r w:rsidR="00E14B37">
        <w:rPr>
          <w:b/>
        </w:rPr>
        <w:t xml:space="preserve">, </w:t>
      </w:r>
      <w:r w:rsidR="00697843">
        <w:rPr>
          <w:b/>
        </w:rPr>
        <w:t xml:space="preserve">the IA/BCP Manager, </w:t>
      </w:r>
      <w:r w:rsidR="00E14B37">
        <w:rPr>
          <w:b/>
        </w:rPr>
        <w:t>the</w:t>
      </w:r>
      <w:r w:rsidR="00FC0054" w:rsidRPr="00AD27CD">
        <w:rPr>
          <w:b/>
        </w:rPr>
        <w:t xml:space="preserve"> </w:t>
      </w:r>
      <w:r w:rsidR="00E14B37" w:rsidRPr="00AD27CD">
        <w:rPr>
          <w:b/>
        </w:rPr>
        <w:t xml:space="preserve">Head of ICT, </w:t>
      </w:r>
      <w:r w:rsidR="00FC0054" w:rsidRPr="00AD27CD">
        <w:rPr>
          <w:b/>
        </w:rPr>
        <w:t>or SIRO</w:t>
      </w:r>
      <w:r w:rsidRPr="00AD27CD">
        <w:rPr>
          <w:b/>
        </w:rPr>
        <w:t>.</w:t>
      </w:r>
    </w:p>
    <w:p w14:paraId="28FC1D76" w14:textId="77777777" w:rsidR="001A0E44" w:rsidRDefault="001A0E44" w:rsidP="001A0E44">
      <w:pPr>
        <w:sectPr w:rsidR="001A0E44" w:rsidSect="000B77B9">
          <w:headerReference w:type="even" r:id="rId27"/>
          <w:pgSz w:w="11906" w:h="16838" w:code="9"/>
          <w:pgMar w:top="1418" w:right="1134" w:bottom="851" w:left="1418" w:header="709" w:footer="567" w:gutter="0"/>
          <w:cols w:space="708"/>
          <w:docGrid w:linePitch="360"/>
        </w:sectPr>
      </w:pPr>
    </w:p>
    <w:p w14:paraId="28FC1D77" w14:textId="77777777" w:rsidR="001A0E44" w:rsidRPr="002E50D3" w:rsidRDefault="0017500D" w:rsidP="000D2147">
      <w:pPr>
        <w:pStyle w:val="Heading1"/>
      </w:pPr>
      <w:bookmarkStart w:id="160" w:name="_Appendix_2:_"/>
      <w:bookmarkStart w:id="161" w:name="_Toc451522825"/>
      <w:bookmarkEnd w:id="160"/>
      <w:r>
        <w:lastRenderedPageBreak/>
        <w:t xml:space="preserve">Appendix 2: </w:t>
      </w:r>
      <w:r w:rsidR="003324E1">
        <w:t xml:space="preserve"> </w:t>
      </w:r>
      <w:r w:rsidR="00091DC6">
        <w:t>Government Security Classifications.</w:t>
      </w:r>
      <w:bookmarkEnd w:id="161"/>
    </w:p>
    <w:p w14:paraId="28FC1D78" w14:textId="77777777" w:rsidR="009A5917" w:rsidRDefault="001A0E44" w:rsidP="001A0E44">
      <w:r>
        <w:t xml:space="preserve">The markings to be allocated to any asset, including information, will be determined primarily by reference to the practical consequences that are likely to result from the compromise of that asset or information.  </w:t>
      </w:r>
    </w:p>
    <w:p w14:paraId="28FC1D79" w14:textId="77777777" w:rsidR="009A5917" w:rsidRDefault="009A5917" w:rsidP="001A0E44">
      <w:r>
        <w:t>ALL information that HMG needs to collect, store, process, generate or share to deliver services and conduct government business has intrinsic value and requires an appropriate degree of protection.</w:t>
      </w:r>
    </w:p>
    <w:p w14:paraId="28FC1D7A" w14:textId="77777777" w:rsidR="009A5917" w:rsidRDefault="009A5917" w:rsidP="001A0E44">
      <w:r>
        <w:t>EVERYONE who works with government</w:t>
      </w:r>
      <w:r w:rsidR="00B7791E">
        <w:t xml:space="preserve"> information</w:t>
      </w:r>
      <w:r>
        <w:t xml:space="preserve"> (including staff, contractors and service providers) has a duty of confidentiality and a responsibility to safeguard any HMG information or data that they access, irrespective of whether it is marked or not.</w:t>
      </w:r>
    </w:p>
    <w:p w14:paraId="28FC1D7B" w14:textId="77777777" w:rsidR="001A0E44" w:rsidRDefault="001A0E44" w:rsidP="001A0E44">
      <w:r>
        <w:t xml:space="preserve">The </w:t>
      </w:r>
      <w:r w:rsidR="00E95B07">
        <w:t xml:space="preserve">three </w:t>
      </w:r>
      <w:r>
        <w:t>levels in the</w:t>
      </w:r>
      <w:r w:rsidR="00BD7AB0">
        <w:t xml:space="preserve"> current</w:t>
      </w:r>
      <w:r>
        <w:t xml:space="preserve"> protective marking system are </w:t>
      </w:r>
      <w:r w:rsidR="00E95B07">
        <w:t xml:space="preserve">OFFICIAL, SECRET </w:t>
      </w:r>
      <w:r w:rsidR="00B7791E">
        <w:t>and</w:t>
      </w:r>
      <w:r w:rsidR="00E95B07">
        <w:t xml:space="preserve"> TOP SECRET</w:t>
      </w:r>
      <w:r w:rsidR="00B37454">
        <w:t xml:space="preserve"> and are defined below. </w:t>
      </w:r>
      <w:r w:rsidR="00B37454">
        <w:br/>
      </w:r>
      <w:r w:rsidR="00B37454">
        <w:br/>
      </w:r>
      <w:r w:rsidR="00B37454">
        <w:rPr>
          <w:b/>
        </w:rPr>
        <w:t xml:space="preserve">Currently, all information </w:t>
      </w:r>
      <w:r w:rsidR="000D2147">
        <w:rPr>
          <w:b/>
        </w:rPr>
        <w:t xml:space="preserve">that is created, processed, generated, stored or shared within (or on behalf of) </w:t>
      </w:r>
      <w:r w:rsidR="00B37454">
        <w:rPr>
          <w:b/>
        </w:rPr>
        <w:t>TCA is classed as OFFICIAL.  If you are in any doubt or at any point you are in receipt of or are asked to handle SECRET or TOP SECRET information, then immediately contact the SIRO for guidance</w:t>
      </w:r>
    </w:p>
    <w:p w14:paraId="28FC1D7C" w14:textId="14857ADA" w:rsidR="006A433C" w:rsidRDefault="00B37454" w:rsidP="006A433C">
      <w:r>
        <w:rPr>
          <w:b/>
        </w:rPr>
        <w:br/>
      </w:r>
      <w:r w:rsidR="00ED7941">
        <w:rPr>
          <w:b/>
        </w:rPr>
        <w:t>OFFICIAL</w:t>
      </w:r>
      <w:r w:rsidR="009B6FDC">
        <w:rPr>
          <w:b/>
        </w:rPr>
        <w:t>:</w:t>
      </w:r>
      <w:r w:rsidR="00EC6807" w:rsidRPr="006A433C">
        <w:rPr>
          <w:b/>
        </w:rPr>
        <w:t xml:space="preserve">  </w:t>
      </w:r>
      <w:r w:rsidR="009B6FDC" w:rsidRPr="009B6FDC">
        <w:t>Represents</w:t>
      </w:r>
      <w:r w:rsidR="009B6FDC">
        <w:rPr>
          <w:b/>
        </w:rPr>
        <w:t xml:space="preserve"> </w:t>
      </w:r>
      <w:r w:rsidR="00EC6807" w:rsidRPr="00B7791E">
        <w:t>the majority of information that is created or processed by the public sector</w:t>
      </w:r>
      <w:r w:rsidR="00697843">
        <w:t xml:space="preserve"> and as such, OFFICIAL documents do not need to be marked</w:t>
      </w:r>
      <w:r w:rsidR="00EC6807" w:rsidRPr="00B7791E">
        <w:t>.  This includes routine business operations and services, some of which could have damaging consequences if lost, stolen or published in the media, but are not subject to a heightened risk profile.</w:t>
      </w:r>
      <w:r w:rsidR="00697843">
        <w:t xml:space="preserve">  .</w:t>
      </w:r>
      <w:r w:rsidR="00EC6807" w:rsidRPr="00B7791E">
        <w:br/>
      </w:r>
      <w:r w:rsidR="009A5917" w:rsidRPr="006A433C">
        <w:rPr>
          <w:b/>
        </w:rPr>
        <w:br/>
      </w:r>
      <w:r w:rsidR="00035029">
        <w:rPr>
          <w:b/>
        </w:rPr>
        <w:t>OFFICIAL - SENSITIVE</w:t>
      </w:r>
      <w:r w:rsidR="009A5917" w:rsidRPr="006A433C">
        <w:rPr>
          <w:b/>
        </w:rPr>
        <w:t xml:space="preserve">:  </w:t>
      </w:r>
      <w:r w:rsidR="009A5917">
        <w:t>Within the OFFICIAL classification, there is some information which is especially sensitive</w:t>
      </w:r>
      <w:r w:rsidR="006A433C">
        <w:t xml:space="preserve"> and extra care needs to be taken in handling it</w:t>
      </w:r>
      <w:r w:rsidR="009A5917">
        <w:t xml:space="preserve">.  </w:t>
      </w:r>
      <w:r w:rsidR="00B67235">
        <w:t xml:space="preserve">This </w:t>
      </w:r>
      <w:r w:rsidR="00AC4678">
        <w:t xml:space="preserve">SENSITIVE classification </w:t>
      </w:r>
      <w:r w:rsidR="00B67235">
        <w:t xml:space="preserve">should only be </w:t>
      </w:r>
      <w:r w:rsidR="00AC4678">
        <w:t xml:space="preserve">used </w:t>
      </w:r>
      <w:r w:rsidR="00B51053">
        <w:t xml:space="preserve">for information of a particularly sensitive nature and </w:t>
      </w:r>
      <w:r w:rsidR="00AC4678">
        <w:t>where</w:t>
      </w:r>
      <w:r w:rsidR="00B67235">
        <w:t xml:space="preserve"> there is a clear and justifiable requirement to reinforce the ‘need to know’.  </w:t>
      </w:r>
      <w:r w:rsidR="00AC4678">
        <w:t>The</w:t>
      </w:r>
      <w:r w:rsidR="009A5917">
        <w:t xml:space="preserve"> </w:t>
      </w:r>
      <w:r w:rsidR="006A433C">
        <w:t xml:space="preserve">information </w:t>
      </w:r>
      <w:r w:rsidR="009A5917">
        <w:t>should be marked</w:t>
      </w:r>
      <w:r w:rsidR="006A433C">
        <w:t xml:space="preserve"> as:</w:t>
      </w:r>
    </w:p>
    <w:p w14:paraId="28FC1D7D" w14:textId="77777777" w:rsidR="006500A0" w:rsidRDefault="006A433C" w:rsidP="00D4754F">
      <w:pPr>
        <w:ind w:left="720"/>
        <w:rPr>
          <w:b/>
          <w:bCs/>
          <w:i/>
          <w:color w:val="FF0000"/>
        </w:rPr>
      </w:pPr>
      <w:r w:rsidRPr="000D2147">
        <w:rPr>
          <w:b/>
        </w:rPr>
        <w:t>OFFICIAL – SENSITIVE</w:t>
      </w:r>
      <w:r w:rsidR="009B6FDC" w:rsidRPr="000D2147">
        <w:rPr>
          <w:b/>
        </w:rPr>
        <w:t>:</w:t>
      </w:r>
      <w:r>
        <w:t xml:space="preserve"> with the </w:t>
      </w:r>
      <w:r w:rsidRPr="009B6FDC">
        <w:rPr>
          <w:b/>
        </w:rPr>
        <w:t>option</w:t>
      </w:r>
      <w:r>
        <w:t xml:space="preserve"> to add a descriptor to identify the sensitivity </w:t>
      </w:r>
      <w:r w:rsidR="00D4754F">
        <w:t>of the document as shown below:</w:t>
      </w:r>
      <w:r>
        <w:br/>
      </w:r>
      <w:r>
        <w:br/>
      </w:r>
      <w:r w:rsidRPr="004543E9">
        <w:rPr>
          <w:b/>
        </w:rPr>
        <w:t xml:space="preserve">OFFICIAL – SENSITIVE:  </w:t>
      </w:r>
      <w:r w:rsidR="000D2147">
        <w:rPr>
          <w:b/>
        </w:rPr>
        <w:t>PERSONAL</w:t>
      </w:r>
      <w:r>
        <w:br/>
      </w:r>
      <w:r w:rsidRPr="00D4754F">
        <w:rPr>
          <w:i/>
        </w:rPr>
        <w:t>(to identify sensitive information relating to an individual or group)</w:t>
      </w:r>
      <w:r w:rsidRPr="00D4754F">
        <w:rPr>
          <w:i/>
        </w:rPr>
        <w:br/>
      </w:r>
      <w:r>
        <w:br/>
      </w:r>
      <w:r w:rsidRPr="004543E9">
        <w:rPr>
          <w:b/>
        </w:rPr>
        <w:lastRenderedPageBreak/>
        <w:t xml:space="preserve">OFFICIAL – SENSITIVE: </w:t>
      </w:r>
      <w:r w:rsidR="000D2147">
        <w:rPr>
          <w:b/>
        </w:rPr>
        <w:t>COMMERCIAL</w:t>
      </w:r>
      <w:r>
        <w:br/>
      </w:r>
      <w:r w:rsidRPr="00D4754F">
        <w:rPr>
          <w:i/>
        </w:rPr>
        <w:t>(to identify commercial or market sensitive data)</w:t>
      </w:r>
      <w:r w:rsidRPr="00D4754F">
        <w:rPr>
          <w:i/>
        </w:rPr>
        <w:br/>
      </w:r>
      <w:r>
        <w:br/>
      </w:r>
      <w:r w:rsidR="00B37454">
        <w:t>Any information marked as OFFICIAL – SENSITIVE (with or without the optional descriptor</w:t>
      </w:r>
      <w:r w:rsidR="004543E9">
        <w:t>s</w:t>
      </w:r>
      <w:r w:rsidR="00497538">
        <w:t>)</w:t>
      </w:r>
      <w:r w:rsidR="00B37454">
        <w:t xml:space="preserve"> </w:t>
      </w:r>
      <w:r w:rsidR="00B37454" w:rsidRPr="004543E9">
        <w:rPr>
          <w:b/>
        </w:rPr>
        <w:t>must</w:t>
      </w:r>
      <w:r w:rsidR="00B37454">
        <w:t xml:space="preserve"> include</w:t>
      </w:r>
      <w:r w:rsidR="00A33489">
        <w:t xml:space="preserve"> handling requirements detailin</w:t>
      </w:r>
      <w:r w:rsidR="00B37454">
        <w:t>g distribution and access requirements for this sensitive information</w:t>
      </w:r>
      <w:r w:rsidR="006500A0">
        <w:t>, the basic formula for which is as follows:</w:t>
      </w:r>
      <w:r w:rsidR="006500A0" w:rsidRPr="002E307E">
        <w:t xml:space="preserve">  </w:t>
      </w:r>
    </w:p>
    <w:p w14:paraId="28FC1D7E" w14:textId="77777777" w:rsidR="006500A0" w:rsidRPr="006500A0" w:rsidRDefault="006500A0" w:rsidP="00D4754F">
      <w:pPr>
        <w:pStyle w:val="ListParagraph"/>
        <w:numPr>
          <w:ilvl w:val="0"/>
          <w:numId w:val="16"/>
        </w:numPr>
        <w:rPr>
          <w:b/>
          <w:bCs/>
        </w:rPr>
      </w:pPr>
      <w:r w:rsidRPr="006500A0">
        <w:rPr>
          <w:b/>
          <w:bCs/>
        </w:rPr>
        <w:t>[ The reason that it is classified as it is ]</w:t>
      </w:r>
    </w:p>
    <w:p w14:paraId="28FC1D7F" w14:textId="77777777" w:rsidR="006500A0" w:rsidRPr="006500A0" w:rsidRDefault="006500A0" w:rsidP="00D4754F">
      <w:pPr>
        <w:pStyle w:val="ListParagraph"/>
        <w:numPr>
          <w:ilvl w:val="0"/>
          <w:numId w:val="16"/>
        </w:numPr>
        <w:rPr>
          <w:b/>
          <w:bCs/>
        </w:rPr>
      </w:pPr>
      <w:r w:rsidRPr="006500A0">
        <w:rPr>
          <w:b/>
          <w:bCs/>
        </w:rPr>
        <w:t>[ What you are allowed to do with this information ]</w:t>
      </w:r>
    </w:p>
    <w:p w14:paraId="28FC1D80" w14:textId="77777777" w:rsidR="006500A0" w:rsidRPr="006500A0" w:rsidRDefault="006500A0" w:rsidP="00D4754F">
      <w:pPr>
        <w:pStyle w:val="ListParagraph"/>
        <w:numPr>
          <w:ilvl w:val="0"/>
          <w:numId w:val="16"/>
        </w:numPr>
        <w:rPr>
          <w:b/>
          <w:bCs/>
        </w:rPr>
      </w:pPr>
      <w:r w:rsidRPr="006500A0">
        <w:rPr>
          <w:b/>
          <w:bCs/>
        </w:rPr>
        <w:t>[ What you need to do to ensure it is kept secure ]</w:t>
      </w:r>
    </w:p>
    <w:p w14:paraId="28FC1D81" w14:textId="77777777" w:rsidR="006500A0" w:rsidRDefault="006500A0" w:rsidP="00D4754F">
      <w:pPr>
        <w:ind w:left="720"/>
        <w:jc w:val="both"/>
        <w:rPr>
          <w:bCs/>
        </w:rPr>
      </w:pPr>
      <w:r>
        <w:rPr>
          <w:bCs/>
        </w:rPr>
        <w:t xml:space="preserve">The actual instructions will be dependent on the information to be protected.  If you require any advice, contact your line manager (IAO), HoD or SIRO. </w:t>
      </w:r>
    </w:p>
    <w:p w14:paraId="28FC1D82" w14:textId="77777777" w:rsidR="00EC6807" w:rsidRPr="004543E9" w:rsidRDefault="006500A0" w:rsidP="009B6FDC">
      <w:pPr>
        <w:ind w:left="720"/>
      </w:pPr>
      <w:r w:rsidRPr="00CF4428">
        <w:t xml:space="preserve">Please </w:t>
      </w:r>
      <w:r w:rsidR="00D4754F">
        <w:t>see</w:t>
      </w:r>
      <w:r w:rsidRPr="00CF4428">
        <w:t xml:space="preserve"> the </w:t>
      </w:r>
      <w:hyperlink r:id="rId28" w:history="1">
        <w:r w:rsidRPr="00703E35">
          <w:rPr>
            <w:rStyle w:val="Hyperlink"/>
          </w:rPr>
          <w:t>handling instructions document</w:t>
        </w:r>
      </w:hyperlink>
      <w:r w:rsidRPr="00CF4428">
        <w:t xml:space="preserve"> available from the staff Intranet for more detailed guidance and examples. </w:t>
      </w:r>
      <w:r w:rsidR="006A433C">
        <w:br/>
      </w:r>
      <w:r w:rsidR="009A5917">
        <w:t xml:space="preserve"> </w:t>
      </w:r>
    </w:p>
    <w:p w14:paraId="28FC1D83" w14:textId="6EACAC1E" w:rsidR="00EC6807" w:rsidRDefault="00EC6807" w:rsidP="001A0E44">
      <w:pPr>
        <w:rPr>
          <w:b/>
        </w:rPr>
      </w:pPr>
      <w:r>
        <w:rPr>
          <w:b/>
        </w:rPr>
        <w:t xml:space="preserve">SECRET: </w:t>
      </w:r>
      <w:r w:rsidR="00697843">
        <w:t xml:space="preserve">Not applicable to TCA.  </w:t>
      </w:r>
      <w:r w:rsidR="004543E9">
        <w:t>V</w:t>
      </w:r>
      <w:r w:rsidR="004543E9" w:rsidRPr="009738FB">
        <w:t xml:space="preserve">ery </w:t>
      </w:r>
      <w:r w:rsidRPr="009738FB">
        <w:t>sensitive information that justifies heightened protective measures to defend against determined and highly capable threat actors.  For example, where compromise could seriously damage military capabilities, international relations or the investigation of a serious crime.</w:t>
      </w:r>
      <w:r w:rsidR="009A5917">
        <w:br/>
      </w:r>
      <w:r w:rsidRPr="009738FB">
        <w:br/>
      </w:r>
      <w:r>
        <w:rPr>
          <w:b/>
        </w:rPr>
        <w:t xml:space="preserve">TOP SECRET: </w:t>
      </w:r>
      <w:r w:rsidR="00697843">
        <w:t xml:space="preserve">Not applicable to TCA.  </w:t>
      </w:r>
      <w:r w:rsidRPr="009738FB">
        <w:t>HMGs most sensitive information requiring the highest levels of protection from the most serious threats. For example, where compromise could cause widespread loss of life or else threaten the security or economic wellbeing of the country or friendly nations</w:t>
      </w:r>
    </w:p>
    <w:p w14:paraId="28FC1D84" w14:textId="77777777" w:rsidR="004543E9" w:rsidRDefault="00424863" w:rsidP="001A0E44">
      <w:r>
        <w:t xml:space="preserve">More detailed </w:t>
      </w:r>
      <w:hyperlink r:id="rId29" w:history="1">
        <w:r w:rsidR="00D4754F" w:rsidRPr="00424863">
          <w:rPr>
            <w:rStyle w:val="Hyperlink"/>
          </w:rPr>
          <w:t>Government Security Classification guidance</w:t>
        </w:r>
      </w:hyperlink>
      <w:r w:rsidR="00D4754F">
        <w:rPr>
          <w:rStyle w:val="Hyperlink"/>
        </w:rPr>
        <w:t xml:space="preserve"> </w:t>
      </w:r>
      <w:r w:rsidR="00D4754F">
        <w:t xml:space="preserve"> </w:t>
      </w:r>
      <w:r>
        <w:t>can be found in the Risk Management section of the CA intranet</w:t>
      </w:r>
      <w:r w:rsidR="00D4754F">
        <w:t>.</w:t>
      </w:r>
      <w:r>
        <w:t xml:space="preserve"> </w:t>
      </w:r>
    </w:p>
    <w:p w14:paraId="28FC1D85" w14:textId="77777777" w:rsidR="001A0E44" w:rsidRPr="00784190" w:rsidRDefault="001A0E44" w:rsidP="009A5917"/>
    <w:p w14:paraId="28FC1D86" w14:textId="77777777" w:rsidR="00497538" w:rsidRDefault="00497538">
      <w:pPr>
        <w:rPr>
          <w:rFonts w:eastAsiaTheme="majorEastAsia" w:cstheme="majorBidi"/>
          <w:b/>
          <w:bCs/>
          <w:color w:val="365F91" w:themeColor="accent1" w:themeShade="BF"/>
          <w:sz w:val="28"/>
          <w:szCs w:val="28"/>
          <w:lang w:eastAsia="en-GB"/>
        </w:rPr>
      </w:pPr>
      <w:bookmarkStart w:id="162" w:name="_Appendix_3:_Security"/>
      <w:bookmarkEnd w:id="162"/>
      <w:r>
        <w:br w:type="page"/>
      </w:r>
    </w:p>
    <w:p w14:paraId="28FC1D87" w14:textId="77777777" w:rsidR="001A0E44" w:rsidRPr="002732DF" w:rsidRDefault="001A0E44" w:rsidP="000D2147">
      <w:pPr>
        <w:pStyle w:val="Heading1"/>
      </w:pPr>
      <w:bookmarkStart w:id="163" w:name="_Toc451522826"/>
      <w:r w:rsidRPr="002732DF">
        <w:lastRenderedPageBreak/>
        <w:t xml:space="preserve">Appendix </w:t>
      </w:r>
      <w:r w:rsidR="003324E1">
        <w:t xml:space="preserve">3: </w:t>
      </w:r>
      <w:r w:rsidR="00091DC6">
        <w:t>Security Classification</w:t>
      </w:r>
      <w:r w:rsidR="00091DC6" w:rsidRPr="002732DF">
        <w:t xml:space="preserve"> </w:t>
      </w:r>
      <w:r w:rsidRPr="002732DF">
        <w:t xml:space="preserve">Handling </w:t>
      </w:r>
      <w:r w:rsidR="00091DC6">
        <w:t>Instructions.</w:t>
      </w:r>
      <w:bookmarkEnd w:id="163"/>
      <w:r w:rsidR="00091DC6">
        <w:t xml:space="preserve"> </w:t>
      </w:r>
    </w:p>
    <w:p w14:paraId="28FC1D88" w14:textId="77777777" w:rsidR="000F067E" w:rsidRPr="002732DF" w:rsidRDefault="000F067E" w:rsidP="001A0E44"/>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200"/>
      </w:tblGrid>
      <w:tr w:rsidR="00101C19" w:rsidRPr="00584FE5" w14:paraId="28FC1D8A" w14:textId="77777777" w:rsidTr="00AA24A7">
        <w:trPr>
          <w:cantSplit/>
          <w:tblHeader/>
          <w:jc w:val="center"/>
        </w:trPr>
        <w:tc>
          <w:tcPr>
            <w:tcW w:w="9360" w:type="dxa"/>
            <w:gridSpan w:val="2"/>
            <w:tcBorders>
              <w:bottom w:val="single" w:sz="4" w:space="0" w:color="auto"/>
            </w:tcBorders>
            <w:shd w:val="clear" w:color="auto" w:fill="C6D9F1" w:themeFill="text2" w:themeFillTint="33"/>
          </w:tcPr>
          <w:p w14:paraId="28FC1D89" w14:textId="77777777" w:rsidR="00101C19" w:rsidRPr="002732DF" w:rsidRDefault="00101C19" w:rsidP="000B77B9">
            <w:r w:rsidRPr="00E2464A">
              <w:rPr>
                <w:b/>
                <w:sz w:val="28"/>
              </w:rPr>
              <w:t>OFFICIAL</w:t>
            </w:r>
            <w:r w:rsidR="00B80099">
              <w:rPr>
                <w:b/>
                <w:sz w:val="28"/>
              </w:rPr>
              <w:t>.</w:t>
            </w:r>
          </w:p>
        </w:tc>
      </w:tr>
      <w:tr w:rsidR="001A0E44" w:rsidRPr="00584FE5" w14:paraId="28FC1D92" w14:textId="77777777" w:rsidTr="00AA24A7">
        <w:trPr>
          <w:cantSplit/>
          <w:jc w:val="center"/>
        </w:trPr>
        <w:tc>
          <w:tcPr>
            <w:tcW w:w="2160" w:type="dxa"/>
            <w:tcBorders>
              <w:top w:val="single" w:sz="4" w:space="0" w:color="auto"/>
            </w:tcBorders>
            <w:shd w:val="clear" w:color="auto" w:fill="C6D9F1" w:themeFill="text2" w:themeFillTint="33"/>
          </w:tcPr>
          <w:p w14:paraId="28FC1D8B" w14:textId="77777777" w:rsidR="001A0E44" w:rsidRPr="000F067E" w:rsidRDefault="004D6570" w:rsidP="000B77B9">
            <w:pPr>
              <w:rPr>
                <w:b/>
              </w:rPr>
            </w:pPr>
            <w:r w:rsidRPr="00A91B08">
              <w:rPr>
                <w:b/>
                <w:sz w:val="28"/>
              </w:rPr>
              <w:t>Impact</w:t>
            </w:r>
            <w:r w:rsidR="00D72FC2">
              <w:rPr>
                <w:b/>
                <w:sz w:val="28"/>
              </w:rPr>
              <w:t>.</w:t>
            </w:r>
          </w:p>
        </w:tc>
        <w:tc>
          <w:tcPr>
            <w:tcW w:w="7200" w:type="dxa"/>
            <w:tcBorders>
              <w:top w:val="single" w:sz="4" w:space="0" w:color="auto"/>
            </w:tcBorders>
          </w:tcPr>
          <w:p w14:paraId="28FC1D8C" w14:textId="77777777" w:rsidR="001A0E44" w:rsidRPr="002732DF" w:rsidRDefault="001A0E44" w:rsidP="000B77B9">
            <w:r w:rsidRPr="002732DF">
              <w:t xml:space="preserve">The compromise of assets marked </w:t>
            </w:r>
            <w:r w:rsidR="00F07608" w:rsidRPr="00935846">
              <w:rPr>
                <w:b/>
              </w:rPr>
              <w:t>OFFICIAL</w:t>
            </w:r>
            <w:r w:rsidR="008D595E">
              <w:t xml:space="preserve"> </w:t>
            </w:r>
            <w:r w:rsidR="00B04CB7">
              <w:t>may</w:t>
            </w:r>
            <w:r w:rsidR="008D595E">
              <w:t xml:space="preserve">:- </w:t>
            </w:r>
            <w:r w:rsidRPr="002732DF">
              <w:t xml:space="preserve">  </w:t>
            </w:r>
          </w:p>
          <w:p w14:paraId="28FC1D8D" w14:textId="77777777" w:rsidR="00101C19" w:rsidRDefault="00101C19" w:rsidP="00101C19">
            <w:pPr>
              <w:pStyle w:val="ListParagraph"/>
              <w:numPr>
                <w:ilvl w:val="0"/>
                <w:numId w:val="10"/>
              </w:numPr>
            </w:pPr>
            <w:r>
              <w:t xml:space="preserve">Have damaging consequences if lost, stolen or published in the media. </w:t>
            </w:r>
          </w:p>
          <w:p w14:paraId="28FC1D8E" w14:textId="77777777" w:rsidR="00935846" w:rsidRDefault="00101C19" w:rsidP="00935846">
            <w:pPr>
              <w:pStyle w:val="ListParagraph"/>
              <w:numPr>
                <w:ilvl w:val="0"/>
                <w:numId w:val="10"/>
              </w:numPr>
            </w:pPr>
            <w:r>
              <w:t>Cause distress to individuals or a group of people</w:t>
            </w:r>
            <w:r w:rsidR="00935846">
              <w:t>.</w:t>
            </w:r>
            <w:r w:rsidR="00935846" w:rsidRPr="002732DF">
              <w:t xml:space="preserve"> </w:t>
            </w:r>
          </w:p>
          <w:p w14:paraId="28FC1D8F" w14:textId="77777777" w:rsidR="00935846" w:rsidRDefault="00935846" w:rsidP="00E2464A">
            <w:pPr>
              <w:pStyle w:val="ListParagraph"/>
              <w:numPr>
                <w:ilvl w:val="0"/>
                <w:numId w:val="10"/>
              </w:numPr>
            </w:pPr>
            <w:r w:rsidRPr="002732DF">
              <w:t>Brea</w:t>
            </w:r>
            <w:r>
              <w:t>k</w:t>
            </w:r>
            <w:r w:rsidRPr="002732DF">
              <w:t xml:space="preserve"> undertakings to maintain the confidence of information provided by third parties</w:t>
            </w:r>
            <w:r>
              <w:t>.</w:t>
            </w:r>
          </w:p>
          <w:p w14:paraId="28FC1D90" w14:textId="77777777" w:rsidR="00935846" w:rsidRDefault="00E2464A" w:rsidP="00E2464A">
            <w:pPr>
              <w:pStyle w:val="ListParagraph"/>
              <w:numPr>
                <w:ilvl w:val="0"/>
                <w:numId w:val="10"/>
              </w:numPr>
            </w:pPr>
            <w:r w:rsidRPr="002732DF">
              <w:t>Breach statutory restrictions on the disclosure of information</w:t>
            </w:r>
            <w:r w:rsidR="00935846">
              <w:t>.</w:t>
            </w:r>
          </w:p>
          <w:p w14:paraId="28FC1D91" w14:textId="77777777" w:rsidR="008D595E" w:rsidRPr="002732DF" w:rsidRDefault="00E2464A" w:rsidP="00E2464A">
            <w:pPr>
              <w:pStyle w:val="ListParagraph"/>
              <w:numPr>
                <w:ilvl w:val="0"/>
                <w:numId w:val="10"/>
              </w:numPr>
            </w:pPr>
            <w:r>
              <w:t>Undermine the proper management of the public sector and its operations</w:t>
            </w:r>
            <w:r w:rsidR="00935846">
              <w:t>.</w:t>
            </w:r>
          </w:p>
        </w:tc>
      </w:tr>
      <w:tr w:rsidR="001A0E44" w:rsidRPr="00584FE5" w14:paraId="28FC1D95" w14:textId="77777777" w:rsidTr="00AA24A7">
        <w:trPr>
          <w:cantSplit/>
          <w:jc w:val="center"/>
        </w:trPr>
        <w:tc>
          <w:tcPr>
            <w:tcW w:w="2160" w:type="dxa"/>
            <w:tcBorders>
              <w:bottom w:val="single" w:sz="4" w:space="0" w:color="auto"/>
            </w:tcBorders>
            <w:shd w:val="clear" w:color="auto" w:fill="C6D9F1" w:themeFill="text2" w:themeFillTint="33"/>
          </w:tcPr>
          <w:p w14:paraId="28FC1D93" w14:textId="77777777" w:rsidR="001A0E44" w:rsidRPr="000F067E" w:rsidRDefault="004D6570" w:rsidP="000B77B9">
            <w:pPr>
              <w:rPr>
                <w:b/>
              </w:rPr>
            </w:pPr>
            <w:r w:rsidRPr="00A91B08">
              <w:rPr>
                <w:b/>
                <w:sz w:val="28"/>
              </w:rPr>
              <w:t>Examples</w:t>
            </w:r>
            <w:r w:rsidR="00D72FC2">
              <w:rPr>
                <w:b/>
                <w:sz w:val="28"/>
              </w:rPr>
              <w:t>.</w:t>
            </w:r>
          </w:p>
        </w:tc>
        <w:tc>
          <w:tcPr>
            <w:tcW w:w="7200" w:type="dxa"/>
            <w:tcBorders>
              <w:bottom w:val="single" w:sz="4" w:space="0" w:color="auto"/>
            </w:tcBorders>
          </w:tcPr>
          <w:p w14:paraId="28FC1D94" w14:textId="77777777" w:rsidR="001A0E44" w:rsidRPr="00584FE5" w:rsidRDefault="008D595E" w:rsidP="000B77B9">
            <w:pPr>
              <w:rPr>
                <w:sz w:val="20"/>
                <w:szCs w:val="20"/>
              </w:rPr>
            </w:pPr>
            <w:r>
              <w:t>All routine, day-to-day public sector business including policy development, service delivery, legal advice, personal data, contracts, statistics, case file and administrative data</w:t>
            </w:r>
          </w:p>
        </w:tc>
      </w:tr>
      <w:tr w:rsidR="00101C19" w:rsidRPr="00584FE5" w14:paraId="28FC1D97" w14:textId="77777777" w:rsidTr="00AA24A7">
        <w:trPr>
          <w:cantSplit/>
          <w:jc w:val="center"/>
        </w:trPr>
        <w:tc>
          <w:tcPr>
            <w:tcW w:w="9360" w:type="dxa"/>
            <w:gridSpan w:val="2"/>
            <w:tcBorders>
              <w:top w:val="single" w:sz="4" w:space="0" w:color="auto"/>
            </w:tcBorders>
            <w:shd w:val="clear" w:color="auto" w:fill="C6D9F1" w:themeFill="text2" w:themeFillTint="33"/>
          </w:tcPr>
          <w:p w14:paraId="28FC1D96" w14:textId="77777777" w:rsidR="00101C19" w:rsidRPr="00584FE5" w:rsidRDefault="00101C19" w:rsidP="000B77B9">
            <w:r w:rsidRPr="00A91B08">
              <w:rPr>
                <w:b/>
                <w:sz w:val="28"/>
              </w:rPr>
              <w:t>Handling</w:t>
            </w:r>
            <w:r w:rsidR="00B80099">
              <w:rPr>
                <w:b/>
                <w:sz w:val="28"/>
              </w:rPr>
              <w:t xml:space="preserve"> Instructions</w:t>
            </w:r>
            <w:r w:rsidR="009000E2">
              <w:rPr>
                <w:b/>
              </w:rPr>
              <w:t>:</w:t>
            </w:r>
          </w:p>
        </w:tc>
      </w:tr>
      <w:tr w:rsidR="001A0E44" w:rsidRPr="00584FE5" w14:paraId="28FC1D9A" w14:textId="77777777" w:rsidTr="00AA24A7">
        <w:trPr>
          <w:cantSplit/>
          <w:jc w:val="center"/>
        </w:trPr>
        <w:tc>
          <w:tcPr>
            <w:tcW w:w="2160" w:type="dxa"/>
            <w:shd w:val="clear" w:color="auto" w:fill="92D050"/>
          </w:tcPr>
          <w:p w14:paraId="28FC1D98" w14:textId="77777777" w:rsidR="001A0E44" w:rsidRPr="002732DF" w:rsidRDefault="001A0E44" w:rsidP="00A91B08">
            <w:pPr>
              <w:ind w:left="343"/>
            </w:pPr>
            <w:r w:rsidRPr="00A91B08">
              <w:rPr>
                <w:b/>
              </w:rPr>
              <w:t>Marking</w:t>
            </w:r>
            <w:r w:rsidR="00A91B08">
              <w:t xml:space="preserve"> </w:t>
            </w:r>
            <w:r w:rsidR="00A91B08">
              <w:br/>
              <w:t>of all materials (paper,</w:t>
            </w:r>
            <w:r w:rsidR="00A91B08">
              <w:br/>
              <w:t>electronic, digital)</w:t>
            </w:r>
          </w:p>
        </w:tc>
        <w:tc>
          <w:tcPr>
            <w:tcW w:w="7200" w:type="dxa"/>
          </w:tcPr>
          <w:p w14:paraId="28FC1D99" w14:textId="77777777" w:rsidR="001A0E44" w:rsidRPr="002732DF" w:rsidRDefault="00A91B08" w:rsidP="00A91B08">
            <w:r>
              <w:rPr>
                <w:b/>
              </w:rPr>
              <w:t xml:space="preserve">There is no requirement to mark routine OFFICIAL information </w:t>
            </w:r>
            <w:r w:rsidRPr="00A91B08">
              <w:t>(</w:t>
            </w:r>
            <w:r>
              <w:t xml:space="preserve">unless it is </w:t>
            </w:r>
            <w:r w:rsidRPr="00A91B08">
              <w:rPr>
                <w:b/>
              </w:rPr>
              <w:t>OFFICIAL-SENSITIVE</w:t>
            </w:r>
            <w:r>
              <w:t>, guidance detailed below).</w:t>
            </w:r>
            <w:r>
              <w:rPr>
                <w:b/>
              </w:rPr>
              <w:br/>
            </w:r>
            <w:r>
              <w:rPr>
                <w:b/>
              </w:rPr>
              <w:br/>
            </w:r>
            <w:r w:rsidR="00982F61" w:rsidRPr="009000E2">
              <w:rPr>
                <w:b/>
              </w:rPr>
              <w:t>Document</w:t>
            </w:r>
            <w:r>
              <w:rPr>
                <w:b/>
              </w:rPr>
              <w:t>s</w:t>
            </w:r>
            <w:r w:rsidR="00982F61" w:rsidRPr="009000E2">
              <w:rPr>
                <w:b/>
              </w:rPr>
              <w:t xml:space="preserve">: </w:t>
            </w:r>
            <w:r w:rsidR="001A0E44" w:rsidRPr="002732DF">
              <w:t>Print in bold</w:t>
            </w:r>
            <w:r>
              <w:t>,</w:t>
            </w:r>
            <w:r w:rsidR="001A0E44" w:rsidRPr="002732DF">
              <w:t xml:space="preserve"> capitals, same size as body text, centre top and bottom of each page (header/footer</w:t>
            </w:r>
            <w:r>
              <w:t>).</w:t>
            </w:r>
            <w:r w:rsidR="00497538">
              <w:br/>
            </w:r>
            <w:r w:rsidR="00982F61">
              <w:br/>
            </w:r>
            <w:r w:rsidR="00982F61" w:rsidRPr="00A91B08">
              <w:rPr>
                <w:b/>
              </w:rPr>
              <w:t>E-mail</w:t>
            </w:r>
            <w:r>
              <w:rPr>
                <w:b/>
              </w:rPr>
              <w:t>s</w:t>
            </w:r>
            <w:r w:rsidR="00982F61" w:rsidRPr="00A91B08">
              <w:rPr>
                <w:b/>
              </w:rPr>
              <w:t>:</w:t>
            </w:r>
            <w:r w:rsidR="00982F61">
              <w:t xml:space="preserve"> Within the subject </w:t>
            </w:r>
            <w:r w:rsidR="00A33489">
              <w:t>header and body of the e-mail</w:t>
            </w:r>
          </w:p>
        </w:tc>
      </w:tr>
      <w:tr w:rsidR="001A0E44" w:rsidRPr="00584FE5" w14:paraId="28FC1D9D" w14:textId="77777777" w:rsidTr="00AA24A7">
        <w:trPr>
          <w:cantSplit/>
          <w:jc w:val="center"/>
        </w:trPr>
        <w:tc>
          <w:tcPr>
            <w:tcW w:w="2160" w:type="dxa"/>
            <w:shd w:val="clear" w:color="auto" w:fill="92D050"/>
          </w:tcPr>
          <w:p w14:paraId="28FC1D9B" w14:textId="77777777" w:rsidR="001A0E44" w:rsidRPr="00A91B08" w:rsidRDefault="001A0E44" w:rsidP="009000E2">
            <w:pPr>
              <w:ind w:left="343"/>
              <w:rPr>
                <w:b/>
              </w:rPr>
            </w:pPr>
            <w:r w:rsidRPr="00A91B08">
              <w:rPr>
                <w:b/>
              </w:rPr>
              <w:t>Storage</w:t>
            </w:r>
          </w:p>
        </w:tc>
        <w:tc>
          <w:tcPr>
            <w:tcW w:w="7200" w:type="dxa"/>
          </w:tcPr>
          <w:p w14:paraId="28FC1D9C" w14:textId="77777777" w:rsidR="001A0E44" w:rsidRPr="002732DF" w:rsidRDefault="001A0E44" w:rsidP="000B77B9">
            <w:r w:rsidRPr="002732DF">
              <w:t xml:space="preserve">Physically protect by one barrier within a secure building, e.g. a locked </w:t>
            </w:r>
            <w:r w:rsidR="00136887">
              <w:t xml:space="preserve">drawer, </w:t>
            </w:r>
            <w:r w:rsidRPr="002732DF">
              <w:t>container</w:t>
            </w:r>
            <w:r w:rsidR="00136887">
              <w:t xml:space="preserve"> or filing cabinet</w:t>
            </w:r>
            <w:r w:rsidRPr="002732DF">
              <w:t>.</w:t>
            </w:r>
          </w:p>
        </w:tc>
      </w:tr>
      <w:tr w:rsidR="001A0E44" w:rsidRPr="00584FE5" w14:paraId="28FC1DA1" w14:textId="77777777" w:rsidTr="00AA24A7">
        <w:trPr>
          <w:cantSplit/>
          <w:jc w:val="center"/>
        </w:trPr>
        <w:tc>
          <w:tcPr>
            <w:tcW w:w="2160" w:type="dxa"/>
            <w:shd w:val="clear" w:color="auto" w:fill="92D050"/>
          </w:tcPr>
          <w:p w14:paraId="28FC1D9E" w14:textId="77777777" w:rsidR="001A0E44" w:rsidRPr="002732DF" w:rsidRDefault="001A0E44" w:rsidP="009000E2">
            <w:pPr>
              <w:ind w:left="343"/>
            </w:pPr>
            <w:r w:rsidRPr="00A91B08">
              <w:rPr>
                <w:b/>
              </w:rPr>
              <w:t>Disposa</w:t>
            </w:r>
            <w:r w:rsidRPr="00AA24A7">
              <w:rPr>
                <w:b/>
              </w:rPr>
              <w:t>l of papers</w:t>
            </w:r>
          </w:p>
        </w:tc>
        <w:tc>
          <w:tcPr>
            <w:tcW w:w="7200" w:type="dxa"/>
          </w:tcPr>
          <w:p w14:paraId="28FC1D9F" w14:textId="77777777" w:rsidR="001A0E44" w:rsidRDefault="00FA3FC5" w:rsidP="00AA24A7">
            <w:r w:rsidRPr="002732DF">
              <w:t xml:space="preserve">Use </w:t>
            </w:r>
            <w:r w:rsidR="00AA24A7">
              <w:t xml:space="preserve">the </w:t>
            </w:r>
            <w:r w:rsidRPr="002732DF">
              <w:t xml:space="preserve">shredder </w:t>
            </w:r>
            <w:r w:rsidR="00A91B08">
              <w:t>located in the Print Room</w:t>
            </w:r>
            <w:r w:rsidR="00AA24A7">
              <w:t>,</w:t>
            </w:r>
            <w:r w:rsidR="00A91B08">
              <w:t xml:space="preserve"> or </w:t>
            </w:r>
            <w:r w:rsidRPr="002732DF">
              <w:t>place in recycle bin</w:t>
            </w:r>
            <w:r w:rsidR="00A91B08">
              <w:t xml:space="preserve"> as you </w:t>
            </w:r>
            <w:r w:rsidR="00AA24A7">
              <w:t>consider</w:t>
            </w:r>
            <w:r w:rsidR="00A91B08">
              <w:t xml:space="preserve"> </w:t>
            </w:r>
            <w:r w:rsidR="00AA24A7">
              <w:t xml:space="preserve">appropriate, </w:t>
            </w:r>
            <w:r w:rsidR="00A91B08">
              <w:t>given the document contents</w:t>
            </w:r>
            <w:r w:rsidRPr="002732DF">
              <w:t>.</w:t>
            </w:r>
          </w:p>
          <w:p w14:paraId="28FC1DA0" w14:textId="77777777" w:rsidR="005561EA" w:rsidRPr="002732DF" w:rsidRDefault="005561EA" w:rsidP="00AA24A7"/>
        </w:tc>
      </w:tr>
      <w:tr w:rsidR="00B80099" w:rsidRPr="00584FE5" w14:paraId="28FC1DA3" w14:textId="77777777" w:rsidTr="006E5AA3">
        <w:trPr>
          <w:cantSplit/>
          <w:jc w:val="center"/>
        </w:trPr>
        <w:tc>
          <w:tcPr>
            <w:tcW w:w="9360" w:type="dxa"/>
            <w:gridSpan w:val="2"/>
            <w:tcBorders>
              <w:top w:val="single" w:sz="4" w:space="0" w:color="auto"/>
            </w:tcBorders>
            <w:shd w:val="clear" w:color="auto" w:fill="C6D9F1" w:themeFill="text2" w:themeFillTint="33"/>
          </w:tcPr>
          <w:p w14:paraId="28FC1DA2" w14:textId="77777777" w:rsidR="00B80099" w:rsidRPr="00584FE5" w:rsidRDefault="00B80099" w:rsidP="006E5AA3">
            <w:r w:rsidRPr="00A91B08">
              <w:rPr>
                <w:b/>
                <w:sz w:val="28"/>
              </w:rPr>
              <w:lastRenderedPageBreak/>
              <w:t>Handling</w:t>
            </w:r>
            <w:r>
              <w:rPr>
                <w:b/>
                <w:sz w:val="28"/>
              </w:rPr>
              <w:t xml:space="preserve"> Instructions</w:t>
            </w:r>
            <w:r>
              <w:rPr>
                <w:b/>
              </w:rPr>
              <w:t>:</w:t>
            </w:r>
          </w:p>
        </w:tc>
      </w:tr>
      <w:tr w:rsidR="001A0E44" w:rsidRPr="00584FE5" w14:paraId="28FC1DA7" w14:textId="77777777" w:rsidTr="00AA24A7">
        <w:trPr>
          <w:cantSplit/>
          <w:jc w:val="center"/>
        </w:trPr>
        <w:tc>
          <w:tcPr>
            <w:tcW w:w="2160" w:type="dxa"/>
            <w:shd w:val="clear" w:color="auto" w:fill="92D050"/>
          </w:tcPr>
          <w:p w14:paraId="28FC1DA4" w14:textId="77777777" w:rsidR="001A0E44" w:rsidRPr="00AA24A7" w:rsidRDefault="001A0E44" w:rsidP="009000E2">
            <w:pPr>
              <w:ind w:left="343"/>
              <w:rPr>
                <w:b/>
              </w:rPr>
            </w:pPr>
            <w:r w:rsidRPr="00AA24A7">
              <w:rPr>
                <w:b/>
              </w:rPr>
              <w:t>Disposal</w:t>
            </w:r>
            <w:r w:rsidR="00AA24A7">
              <w:rPr>
                <w:b/>
              </w:rPr>
              <w:t xml:space="preserve"> </w:t>
            </w:r>
            <w:r w:rsidRPr="00AA24A7">
              <w:rPr>
                <w:b/>
              </w:rPr>
              <w:t>/</w:t>
            </w:r>
            <w:r w:rsidR="00AA24A7">
              <w:rPr>
                <w:b/>
              </w:rPr>
              <w:t xml:space="preserve"> </w:t>
            </w:r>
            <w:r w:rsidR="00AA24A7">
              <w:rPr>
                <w:b/>
              </w:rPr>
              <w:br/>
            </w:r>
            <w:r w:rsidRPr="00AA24A7">
              <w:rPr>
                <w:b/>
              </w:rPr>
              <w:t>re-use of magnetic media</w:t>
            </w:r>
          </w:p>
        </w:tc>
        <w:tc>
          <w:tcPr>
            <w:tcW w:w="7200" w:type="dxa"/>
          </w:tcPr>
          <w:p w14:paraId="28FC1DA5" w14:textId="77777777" w:rsidR="00AA24A7" w:rsidRDefault="00AA24A7" w:rsidP="000B77B9">
            <w:r>
              <w:t>Data must not be stored, accessed or processed on any digital media not supplied by TCA.</w:t>
            </w:r>
          </w:p>
          <w:p w14:paraId="28FC1DA6" w14:textId="77777777" w:rsidR="001A0E44" w:rsidRPr="002732DF" w:rsidRDefault="00AA24A7" w:rsidP="00AA24A7">
            <w:r>
              <w:t>For the re-use such media, d</w:t>
            </w:r>
            <w:r w:rsidR="001A0E44" w:rsidRPr="002732DF">
              <w:t xml:space="preserve">elete contents and re-use within </w:t>
            </w:r>
            <w:r>
              <w:t>T</w:t>
            </w:r>
            <w:r w:rsidR="001A0E44" w:rsidRPr="002732DF">
              <w:t>CA only.  ICT must deal with disposal and destruction</w:t>
            </w:r>
            <w:r>
              <w:t xml:space="preserve"> of media.</w:t>
            </w:r>
          </w:p>
        </w:tc>
      </w:tr>
      <w:tr w:rsidR="001A0E44" w:rsidRPr="00584FE5" w14:paraId="28FC1DAA" w14:textId="77777777" w:rsidTr="00AA24A7">
        <w:trPr>
          <w:cantSplit/>
          <w:jc w:val="center"/>
        </w:trPr>
        <w:tc>
          <w:tcPr>
            <w:tcW w:w="2160" w:type="dxa"/>
            <w:shd w:val="clear" w:color="auto" w:fill="92D050"/>
          </w:tcPr>
          <w:p w14:paraId="28FC1DA8" w14:textId="77777777" w:rsidR="001A0E44" w:rsidRPr="00AA24A7" w:rsidRDefault="001A0E44" w:rsidP="009000E2">
            <w:pPr>
              <w:ind w:left="343"/>
              <w:rPr>
                <w:b/>
              </w:rPr>
            </w:pPr>
            <w:r w:rsidRPr="00AA24A7">
              <w:rPr>
                <w:b/>
              </w:rPr>
              <w:t>Internal distribution</w:t>
            </w:r>
          </w:p>
        </w:tc>
        <w:tc>
          <w:tcPr>
            <w:tcW w:w="7200" w:type="dxa"/>
          </w:tcPr>
          <w:p w14:paraId="28FC1DA9" w14:textId="77777777" w:rsidR="001A0E44" w:rsidRPr="002732DF" w:rsidRDefault="001A0E44" w:rsidP="00497538">
            <w:r w:rsidRPr="002732DF">
              <w:t>Permi</w:t>
            </w:r>
            <w:r>
              <w:t>tted in a sealed envelope</w:t>
            </w:r>
            <w:r w:rsidR="00AA24A7">
              <w:t>.</w:t>
            </w:r>
            <w:r w:rsidRPr="002732DF">
              <w:t xml:space="preserve"> </w:t>
            </w:r>
          </w:p>
        </w:tc>
      </w:tr>
      <w:tr w:rsidR="001A0E44" w:rsidRPr="00584FE5" w14:paraId="28FC1DAE" w14:textId="77777777" w:rsidTr="00AA24A7">
        <w:trPr>
          <w:cantSplit/>
          <w:jc w:val="center"/>
        </w:trPr>
        <w:tc>
          <w:tcPr>
            <w:tcW w:w="2160" w:type="dxa"/>
            <w:shd w:val="clear" w:color="auto" w:fill="92D050"/>
          </w:tcPr>
          <w:p w14:paraId="28FC1DAB" w14:textId="77777777" w:rsidR="001A0E44" w:rsidRPr="00AA24A7" w:rsidRDefault="001A0E44" w:rsidP="009000E2">
            <w:pPr>
              <w:ind w:left="343"/>
              <w:rPr>
                <w:b/>
              </w:rPr>
            </w:pPr>
            <w:r w:rsidRPr="00AA24A7">
              <w:rPr>
                <w:b/>
              </w:rPr>
              <w:t>Postage</w:t>
            </w:r>
          </w:p>
        </w:tc>
        <w:tc>
          <w:tcPr>
            <w:tcW w:w="7200" w:type="dxa"/>
          </w:tcPr>
          <w:p w14:paraId="28FC1DAC" w14:textId="77777777" w:rsidR="001A0E44" w:rsidRDefault="001A0E44" w:rsidP="00AA24A7">
            <w:r w:rsidRPr="002732DF">
              <w:t xml:space="preserve">If recipient has a "business need" to see information, mail in a sealed envelope, by post, after confirming correct full postal address including post code.  </w:t>
            </w:r>
            <w:r w:rsidR="00497538">
              <w:br/>
            </w:r>
            <w:r w:rsidR="00497538">
              <w:br/>
            </w:r>
            <w:r w:rsidRPr="00AA24A7">
              <w:rPr>
                <w:b/>
              </w:rPr>
              <w:t xml:space="preserve">No protective marking </w:t>
            </w:r>
            <w:r w:rsidR="00AA24A7">
              <w:rPr>
                <w:b/>
              </w:rPr>
              <w:t>should</w:t>
            </w:r>
            <w:r w:rsidRPr="00AA24A7">
              <w:rPr>
                <w:b/>
              </w:rPr>
              <w:t xml:space="preserve"> </w:t>
            </w:r>
            <w:r w:rsidR="00AA24A7">
              <w:rPr>
                <w:b/>
              </w:rPr>
              <w:t xml:space="preserve">appear </w:t>
            </w:r>
            <w:r w:rsidRPr="00AA24A7">
              <w:rPr>
                <w:b/>
              </w:rPr>
              <w:t>on envelope</w:t>
            </w:r>
            <w:r w:rsidR="00D23281">
              <w:rPr>
                <w:b/>
              </w:rPr>
              <w:t>s</w:t>
            </w:r>
            <w:r w:rsidRPr="002732DF">
              <w:t>.</w:t>
            </w:r>
          </w:p>
          <w:p w14:paraId="28FC1DAD" w14:textId="77777777" w:rsidR="00AA24A7" w:rsidRPr="002732DF" w:rsidRDefault="00AA24A7" w:rsidP="00AA24A7">
            <w:r>
              <w:t xml:space="preserve">Seek authorisation from IAO if </w:t>
            </w:r>
            <w:r w:rsidR="00C84FCB">
              <w:t>moving a significant amount of information.</w:t>
            </w:r>
          </w:p>
        </w:tc>
      </w:tr>
      <w:tr w:rsidR="001A0E44" w:rsidRPr="00584FE5" w14:paraId="28FC1DB1" w14:textId="77777777" w:rsidTr="00AA24A7">
        <w:trPr>
          <w:cantSplit/>
          <w:jc w:val="center"/>
        </w:trPr>
        <w:tc>
          <w:tcPr>
            <w:tcW w:w="2160" w:type="dxa"/>
            <w:shd w:val="clear" w:color="auto" w:fill="92D050"/>
          </w:tcPr>
          <w:p w14:paraId="28FC1DAF" w14:textId="77777777" w:rsidR="001A0E44" w:rsidRPr="00C84FCB" w:rsidRDefault="001A0E44" w:rsidP="009000E2">
            <w:pPr>
              <w:ind w:left="343"/>
              <w:rPr>
                <w:b/>
              </w:rPr>
            </w:pPr>
            <w:r w:rsidRPr="00C84FCB">
              <w:rPr>
                <w:b/>
              </w:rPr>
              <w:t xml:space="preserve">Discussion by telephone </w:t>
            </w:r>
            <w:r w:rsidRPr="00C84FCB">
              <w:t>(landline or mobile)</w:t>
            </w:r>
          </w:p>
        </w:tc>
        <w:tc>
          <w:tcPr>
            <w:tcW w:w="7200" w:type="dxa"/>
          </w:tcPr>
          <w:p w14:paraId="28FC1DB0" w14:textId="77777777" w:rsidR="001A0E44" w:rsidRPr="002732DF" w:rsidRDefault="00136887" w:rsidP="00C84FCB">
            <w:r>
              <w:t>No restrictions, but always confirm who you are talking to</w:t>
            </w:r>
            <w:r w:rsidR="00C84FCB">
              <w:t>; never respond to cold caller requests for information</w:t>
            </w:r>
            <w:r w:rsidR="00BC1DFB">
              <w:t xml:space="preserve">. </w:t>
            </w:r>
            <w:r>
              <w:t xml:space="preserve"> </w:t>
            </w:r>
          </w:p>
        </w:tc>
      </w:tr>
      <w:tr w:rsidR="001A0E44" w:rsidRPr="00584FE5" w14:paraId="28FC1DB4" w14:textId="77777777" w:rsidTr="00AA24A7">
        <w:trPr>
          <w:cantSplit/>
          <w:jc w:val="center"/>
        </w:trPr>
        <w:tc>
          <w:tcPr>
            <w:tcW w:w="2160" w:type="dxa"/>
            <w:shd w:val="clear" w:color="auto" w:fill="92D050"/>
          </w:tcPr>
          <w:p w14:paraId="28FC1DB2" w14:textId="77777777" w:rsidR="001A0E44" w:rsidRPr="00C84FCB" w:rsidRDefault="001A0E44" w:rsidP="009000E2">
            <w:pPr>
              <w:ind w:left="343"/>
              <w:rPr>
                <w:b/>
              </w:rPr>
            </w:pPr>
            <w:r w:rsidRPr="00C84FCB">
              <w:rPr>
                <w:b/>
              </w:rPr>
              <w:t>Storage in WISDOM and BIW</w:t>
            </w:r>
          </w:p>
        </w:tc>
        <w:tc>
          <w:tcPr>
            <w:tcW w:w="7200" w:type="dxa"/>
          </w:tcPr>
          <w:p w14:paraId="28FC1DB3" w14:textId="77777777" w:rsidR="001A0E44" w:rsidRPr="002732DF" w:rsidRDefault="001A0E44" w:rsidP="000B77B9">
            <w:r w:rsidRPr="002732DF">
              <w:t>Permitted with appropriate markings and access controls</w:t>
            </w:r>
            <w:r w:rsidR="00C84FCB">
              <w:t>.</w:t>
            </w:r>
          </w:p>
        </w:tc>
      </w:tr>
      <w:tr w:rsidR="001A0E44" w:rsidRPr="00584FE5" w14:paraId="28FC1DB7" w14:textId="77777777" w:rsidTr="00AA24A7">
        <w:trPr>
          <w:cantSplit/>
          <w:jc w:val="center"/>
        </w:trPr>
        <w:tc>
          <w:tcPr>
            <w:tcW w:w="2160" w:type="dxa"/>
            <w:tcBorders>
              <w:bottom w:val="single" w:sz="4" w:space="0" w:color="auto"/>
            </w:tcBorders>
            <w:shd w:val="clear" w:color="auto" w:fill="92D050"/>
          </w:tcPr>
          <w:p w14:paraId="28FC1DB5" w14:textId="77777777" w:rsidR="001A0E44" w:rsidRPr="00C84FCB" w:rsidRDefault="001A0E44" w:rsidP="009000E2">
            <w:pPr>
              <w:ind w:left="343"/>
              <w:rPr>
                <w:b/>
              </w:rPr>
            </w:pPr>
            <w:r w:rsidRPr="00C84FCB">
              <w:rPr>
                <w:b/>
              </w:rPr>
              <w:t xml:space="preserve">Email </w:t>
            </w:r>
          </w:p>
        </w:tc>
        <w:tc>
          <w:tcPr>
            <w:tcW w:w="7200" w:type="dxa"/>
          </w:tcPr>
          <w:p w14:paraId="28FC1DB6" w14:textId="77777777" w:rsidR="001A0E44" w:rsidRPr="002732DF" w:rsidRDefault="00B36E99" w:rsidP="00C84FCB">
            <w:r>
              <w:t xml:space="preserve">No restrictions but should be limited </w:t>
            </w:r>
            <w:r w:rsidR="00C84FCB">
              <w:t>to</w:t>
            </w:r>
            <w:r>
              <w:t xml:space="preserve"> a ‘need to know’ basis</w:t>
            </w:r>
            <w:r w:rsidR="00C84FCB">
              <w:t>.</w:t>
            </w:r>
          </w:p>
        </w:tc>
      </w:tr>
      <w:tr w:rsidR="001A0E44" w:rsidRPr="00584FE5" w14:paraId="28FC1DBA" w14:textId="77777777" w:rsidTr="00C84FCB">
        <w:trPr>
          <w:cantSplit/>
          <w:jc w:val="center"/>
        </w:trPr>
        <w:tc>
          <w:tcPr>
            <w:tcW w:w="2160" w:type="dxa"/>
            <w:shd w:val="clear" w:color="auto" w:fill="92D050"/>
          </w:tcPr>
          <w:p w14:paraId="28FC1DB8" w14:textId="77777777" w:rsidR="001A0E44" w:rsidRPr="00C84FCB" w:rsidRDefault="001A0E44" w:rsidP="009000E2">
            <w:pPr>
              <w:ind w:left="343"/>
              <w:rPr>
                <w:b/>
              </w:rPr>
            </w:pPr>
            <w:r w:rsidRPr="00C84FCB">
              <w:rPr>
                <w:b/>
              </w:rPr>
              <w:t>Fax</w:t>
            </w:r>
          </w:p>
        </w:tc>
        <w:tc>
          <w:tcPr>
            <w:tcW w:w="7200" w:type="dxa"/>
          </w:tcPr>
          <w:p w14:paraId="28FC1DB9" w14:textId="77777777" w:rsidR="001A0E44" w:rsidRPr="002732DF" w:rsidRDefault="001A0E44" w:rsidP="000B77B9">
            <w:r w:rsidRPr="002732DF">
              <w:t>N</w:t>
            </w:r>
            <w:r w:rsidR="00136887">
              <w:t>o restrictions</w:t>
            </w:r>
            <w:r w:rsidR="00B36E99">
              <w:t xml:space="preserve"> but confirm the recipient</w:t>
            </w:r>
            <w:r w:rsidR="00C84FCB">
              <w:t>’</w:t>
            </w:r>
            <w:r w:rsidR="00B36E99">
              <w:t>s fax number</w:t>
            </w:r>
            <w:r w:rsidR="00C84FCB">
              <w:t>.</w:t>
            </w:r>
          </w:p>
        </w:tc>
      </w:tr>
      <w:tr w:rsidR="001A0E44" w:rsidRPr="00584FE5" w14:paraId="28FC1DBF" w14:textId="77777777" w:rsidTr="00AA24A7">
        <w:trPr>
          <w:cantSplit/>
          <w:jc w:val="center"/>
        </w:trPr>
        <w:tc>
          <w:tcPr>
            <w:tcW w:w="2160" w:type="dxa"/>
            <w:shd w:val="clear" w:color="auto" w:fill="92D050"/>
          </w:tcPr>
          <w:p w14:paraId="28FC1DBB" w14:textId="77777777" w:rsidR="001A0E44" w:rsidRPr="00C84FCB" w:rsidRDefault="001A0E44" w:rsidP="009000E2">
            <w:pPr>
              <w:ind w:left="343"/>
              <w:rPr>
                <w:b/>
              </w:rPr>
            </w:pPr>
            <w:r w:rsidRPr="00C84FCB">
              <w:rPr>
                <w:b/>
              </w:rPr>
              <w:t>Photocopying</w:t>
            </w:r>
          </w:p>
        </w:tc>
        <w:tc>
          <w:tcPr>
            <w:tcW w:w="7200" w:type="dxa"/>
          </w:tcPr>
          <w:p w14:paraId="28FC1DBC" w14:textId="77777777" w:rsidR="001A0E44" w:rsidRDefault="001A0E44" w:rsidP="000B77B9">
            <w:r w:rsidRPr="002732DF">
              <w:t>Permitted but only make as many copies as you need.</w:t>
            </w:r>
          </w:p>
          <w:p w14:paraId="28FC1DBD" w14:textId="77777777" w:rsidR="00B80099" w:rsidRDefault="00B80099" w:rsidP="000B77B9"/>
          <w:p w14:paraId="28FC1DBE" w14:textId="77777777" w:rsidR="00B80099" w:rsidRPr="002732DF" w:rsidRDefault="00B80099" w:rsidP="000B77B9"/>
        </w:tc>
      </w:tr>
      <w:tr w:rsidR="00B80099" w:rsidRPr="00584FE5" w14:paraId="28FC1DC1" w14:textId="77777777" w:rsidTr="006E5AA3">
        <w:trPr>
          <w:cantSplit/>
          <w:jc w:val="center"/>
        </w:trPr>
        <w:tc>
          <w:tcPr>
            <w:tcW w:w="9360" w:type="dxa"/>
            <w:gridSpan w:val="2"/>
            <w:tcBorders>
              <w:top w:val="single" w:sz="4" w:space="0" w:color="auto"/>
            </w:tcBorders>
            <w:shd w:val="clear" w:color="auto" w:fill="C6D9F1" w:themeFill="text2" w:themeFillTint="33"/>
          </w:tcPr>
          <w:p w14:paraId="28FC1DC0" w14:textId="77777777" w:rsidR="00B80099" w:rsidRPr="00584FE5" w:rsidRDefault="00B80099" w:rsidP="006E5AA3">
            <w:r w:rsidRPr="00A91B08">
              <w:rPr>
                <w:b/>
                <w:sz w:val="28"/>
              </w:rPr>
              <w:t>Handling</w:t>
            </w:r>
            <w:r>
              <w:rPr>
                <w:b/>
                <w:sz w:val="28"/>
              </w:rPr>
              <w:t xml:space="preserve"> Instructions</w:t>
            </w:r>
            <w:r>
              <w:rPr>
                <w:b/>
              </w:rPr>
              <w:t>:</w:t>
            </w:r>
          </w:p>
        </w:tc>
      </w:tr>
      <w:tr w:rsidR="001A0E44" w:rsidRPr="00584FE5" w14:paraId="28FC1DC8" w14:textId="77777777" w:rsidTr="00AA24A7">
        <w:trPr>
          <w:cantSplit/>
          <w:jc w:val="center"/>
        </w:trPr>
        <w:tc>
          <w:tcPr>
            <w:tcW w:w="2160" w:type="dxa"/>
            <w:shd w:val="clear" w:color="auto" w:fill="92D050"/>
          </w:tcPr>
          <w:p w14:paraId="28FC1DC2" w14:textId="77777777" w:rsidR="001A0E44" w:rsidRPr="00C84FCB" w:rsidRDefault="001A0E44" w:rsidP="009000E2">
            <w:pPr>
              <w:ind w:left="343"/>
              <w:rPr>
                <w:b/>
              </w:rPr>
            </w:pPr>
            <w:r w:rsidRPr="00C84FCB">
              <w:rPr>
                <w:b/>
              </w:rPr>
              <w:lastRenderedPageBreak/>
              <w:t>Working at home or when travelling</w:t>
            </w:r>
          </w:p>
        </w:tc>
        <w:tc>
          <w:tcPr>
            <w:tcW w:w="7200" w:type="dxa"/>
          </w:tcPr>
          <w:p w14:paraId="28FC1DC3" w14:textId="77777777" w:rsidR="00C84FCB" w:rsidRDefault="00B36E99" w:rsidP="00C84FCB">
            <w:r>
              <w:t>Permit</w:t>
            </w:r>
            <w:r w:rsidR="00C84FCB">
              <w:t>ted with the following caveats:</w:t>
            </w:r>
          </w:p>
          <w:p w14:paraId="28FC1DC4" w14:textId="77777777" w:rsidR="00C84FCB" w:rsidRDefault="00C84FCB" w:rsidP="00C84FCB">
            <w:pPr>
              <w:pStyle w:val="ListParagraph"/>
              <w:numPr>
                <w:ilvl w:val="0"/>
                <w:numId w:val="12"/>
              </w:numPr>
            </w:pPr>
            <w:r>
              <w:t xml:space="preserve">Laptops and removable media </w:t>
            </w:r>
            <w:r w:rsidRPr="00C84FCB">
              <w:rPr>
                <w:b/>
              </w:rPr>
              <w:t>must</w:t>
            </w:r>
            <w:r>
              <w:t xml:space="preserve"> be encrypted.</w:t>
            </w:r>
          </w:p>
          <w:p w14:paraId="28FC1DC5" w14:textId="77777777" w:rsidR="00C84FCB" w:rsidRDefault="00C84FCB" w:rsidP="00C84FCB">
            <w:pPr>
              <w:pStyle w:val="ListParagraph"/>
              <w:numPr>
                <w:ilvl w:val="0"/>
                <w:numId w:val="12"/>
              </w:numPr>
            </w:pPr>
            <w:r>
              <w:t>Information must not be e-mailed to or from home e-mail accounts</w:t>
            </w:r>
            <w:r w:rsidR="00BD4768">
              <w:t>,</w:t>
            </w:r>
            <w:r>
              <w:t xml:space="preserve"> or held in personal data stores</w:t>
            </w:r>
            <w:r w:rsidR="00BD4768">
              <w:t>.</w:t>
            </w:r>
          </w:p>
          <w:p w14:paraId="28FC1DC6" w14:textId="77777777" w:rsidR="00C84FCB" w:rsidRDefault="00C84FCB" w:rsidP="00C84FCB">
            <w:pPr>
              <w:pStyle w:val="ListParagraph"/>
              <w:numPr>
                <w:ilvl w:val="0"/>
                <w:numId w:val="12"/>
              </w:numPr>
            </w:pPr>
            <w:r>
              <w:t>Papers/portable media to be kept out of sight</w:t>
            </w:r>
            <w:r w:rsidR="00BD4768">
              <w:t>.</w:t>
            </w:r>
          </w:p>
          <w:p w14:paraId="28FC1DC7" w14:textId="77777777" w:rsidR="001A0E44" w:rsidRPr="002732DF" w:rsidRDefault="00C84FCB" w:rsidP="000B77B9">
            <w:pPr>
              <w:pStyle w:val="ListParagraph"/>
              <w:numPr>
                <w:ilvl w:val="0"/>
                <w:numId w:val="12"/>
              </w:numPr>
            </w:pPr>
            <w:r>
              <w:t>Care must be taken to ensure that information cannot be inadvertently overlooked</w:t>
            </w:r>
            <w:r w:rsidR="00BD4768">
              <w:t>.</w:t>
            </w:r>
          </w:p>
        </w:tc>
      </w:tr>
    </w:tbl>
    <w:p w14:paraId="28FC1DC9" w14:textId="77777777" w:rsidR="000F067E" w:rsidRPr="00857FE5" w:rsidRDefault="00B80099" w:rsidP="000F067E">
      <w:pPr>
        <w:rPr>
          <w:b/>
        </w:rPr>
      </w:pPr>
      <w:r>
        <w:rPr>
          <w:b/>
        </w:rPr>
        <w:br/>
      </w:r>
      <w:r w:rsidR="000F067E" w:rsidRPr="00857FE5">
        <w:rPr>
          <w:b/>
        </w:rPr>
        <w:t>Key</w:t>
      </w:r>
      <w:r w:rsidR="000F067E">
        <w:rPr>
          <w:b/>
        </w:rPr>
        <w:t>:</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127"/>
      </w:tblGrid>
      <w:tr w:rsidR="00BD4768" w:rsidRPr="00E962AD" w14:paraId="28FC1DCC" w14:textId="77777777" w:rsidTr="004157AD">
        <w:tc>
          <w:tcPr>
            <w:tcW w:w="2127" w:type="dxa"/>
            <w:shd w:val="clear" w:color="auto" w:fill="92D050"/>
          </w:tcPr>
          <w:p w14:paraId="28FC1DCA" w14:textId="77777777" w:rsidR="00BD4768" w:rsidRPr="00935846" w:rsidRDefault="00BD4768" w:rsidP="009000E2">
            <w:pPr>
              <w:ind w:left="-250" w:firstLine="250"/>
              <w:rPr>
                <w:b/>
              </w:rPr>
            </w:pPr>
            <w:r w:rsidRPr="00935846">
              <w:rPr>
                <w:b/>
              </w:rPr>
              <w:t>Allowed</w:t>
            </w:r>
          </w:p>
        </w:tc>
        <w:tc>
          <w:tcPr>
            <w:tcW w:w="2127" w:type="dxa"/>
            <w:shd w:val="clear" w:color="auto" w:fill="FFC000"/>
          </w:tcPr>
          <w:p w14:paraId="28FC1DCB" w14:textId="77777777" w:rsidR="00BD4768" w:rsidRPr="00935846" w:rsidRDefault="00BD4768" w:rsidP="00037E6F">
            <w:pPr>
              <w:rPr>
                <w:b/>
              </w:rPr>
            </w:pPr>
            <w:r w:rsidRPr="00935846">
              <w:rPr>
                <w:b/>
              </w:rPr>
              <w:t>Allowed with caution</w:t>
            </w:r>
          </w:p>
        </w:tc>
      </w:tr>
    </w:tbl>
    <w:p w14:paraId="28FC1DCD" w14:textId="77777777" w:rsidR="00D72FC2" w:rsidRPr="002732DF" w:rsidRDefault="00D72FC2" w:rsidP="001A0E44"/>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200"/>
      </w:tblGrid>
      <w:tr w:rsidR="008D11EC" w:rsidRPr="00584FE5" w14:paraId="28FC1DCF" w14:textId="77777777" w:rsidTr="002720E6">
        <w:trPr>
          <w:cantSplit/>
          <w:tblHeader/>
          <w:jc w:val="center"/>
        </w:trPr>
        <w:tc>
          <w:tcPr>
            <w:tcW w:w="9360" w:type="dxa"/>
            <w:gridSpan w:val="2"/>
            <w:tcBorders>
              <w:bottom w:val="nil"/>
            </w:tcBorders>
            <w:shd w:val="clear" w:color="auto" w:fill="C6D9F1" w:themeFill="text2" w:themeFillTint="33"/>
          </w:tcPr>
          <w:p w14:paraId="28FC1DCE" w14:textId="77777777" w:rsidR="008D11EC" w:rsidRPr="00584FE5" w:rsidRDefault="008D11EC" w:rsidP="000B77B9">
            <w:r w:rsidRPr="008D11EC">
              <w:rPr>
                <w:b/>
                <w:sz w:val="28"/>
              </w:rPr>
              <w:t>OFFICIAL – SENSITIVE.</w:t>
            </w:r>
          </w:p>
        </w:tc>
      </w:tr>
      <w:tr w:rsidR="001A0E44" w:rsidRPr="00584FE5" w14:paraId="28FC1DD2" w14:textId="77777777" w:rsidTr="002720E6">
        <w:trPr>
          <w:cantSplit/>
          <w:tblHeader/>
          <w:jc w:val="center"/>
        </w:trPr>
        <w:tc>
          <w:tcPr>
            <w:tcW w:w="2160" w:type="dxa"/>
            <w:shd w:val="clear" w:color="auto" w:fill="C6D9F1" w:themeFill="text2" w:themeFillTint="33"/>
          </w:tcPr>
          <w:p w14:paraId="28FC1DD0" w14:textId="77777777" w:rsidR="001A0E44" w:rsidRPr="000F067E" w:rsidRDefault="004D6570" w:rsidP="000B77B9">
            <w:pPr>
              <w:rPr>
                <w:b/>
              </w:rPr>
            </w:pPr>
            <w:r w:rsidRPr="008D11EC">
              <w:rPr>
                <w:b/>
                <w:sz w:val="28"/>
              </w:rPr>
              <w:t>Impact</w:t>
            </w:r>
            <w:r w:rsidR="00D72FC2">
              <w:rPr>
                <w:b/>
                <w:sz w:val="28"/>
              </w:rPr>
              <w:t>.</w:t>
            </w:r>
          </w:p>
        </w:tc>
        <w:tc>
          <w:tcPr>
            <w:tcW w:w="7200" w:type="dxa"/>
          </w:tcPr>
          <w:p w14:paraId="28FC1DD1" w14:textId="77777777" w:rsidR="001A0E44" w:rsidRPr="00B51053" w:rsidRDefault="00BB3775" w:rsidP="000B77B9">
            <w:r>
              <w:t>In addition to the impacts listed</w:t>
            </w:r>
            <w:r w:rsidR="00122931">
              <w:t xml:space="preserve"> for OFFICIAL in the table above,</w:t>
            </w:r>
            <w:r w:rsidR="00D72FC2">
              <w:t xml:space="preserve"> </w:t>
            </w:r>
            <w:r>
              <w:t>t</w:t>
            </w:r>
            <w:r w:rsidR="001A0E44" w:rsidRPr="002732DF">
              <w:t xml:space="preserve">he compromise of assets marked </w:t>
            </w:r>
            <w:r>
              <w:t>OFFICIAL – SENSITIVE</w:t>
            </w:r>
            <w:r w:rsidR="001A0E44" w:rsidRPr="002732DF">
              <w:t xml:space="preserve"> would be likely to</w:t>
            </w:r>
            <w:r w:rsidR="00122931">
              <w:t xml:space="preserve"> cause a greater level of damage or distress due to the sensitive nature of the information</w:t>
            </w:r>
            <w:r w:rsidR="00D72FC2">
              <w:t>.</w:t>
            </w:r>
          </w:p>
        </w:tc>
      </w:tr>
      <w:tr w:rsidR="001A0E44" w:rsidRPr="00584FE5" w14:paraId="28FC1DD9" w14:textId="77777777" w:rsidTr="002720E6">
        <w:trPr>
          <w:cantSplit/>
          <w:tblHeader/>
          <w:jc w:val="center"/>
        </w:trPr>
        <w:tc>
          <w:tcPr>
            <w:tcW w:w="2160" w:type="dxa"/>
            <w:tcBorders>
              <w:bottom w:val="single" w:sz="4" w:space="0" w:color="auto"/>
            </w:tcBorders>
            <w:shd w:val="clear" w:color="auto" w:fill="C6D9F1" w:themeFill="text2" w:themeFillTint="33"/>
          </w:tcPr>
          <w:p w14:paraId="28FC1DD3" w14:textId="77777777" w:rsidR="001A0E44" w:rsidRPr="000F067E" w:rsidRDefault="004D6570" w:rsidP="000B77B9">
            <w:pPr>
              <w:rPr>
                <w:b/>
              </w:rPr>
            </w:pPr>
            <w:r w:rsidRPr="00D72FC2">
              <w:rPr>
                <w:b/>
                <w:sz w:val="28"/>
              </w:rPr>
              <w:t>Examples</w:t>
            </w:r>
            <w:r w:rsidR="007E75F9">
              <w:rPr>
                <w:b/>
                <w:sz w:val="28"/>
              </w:rPr>
              <w:t>.</w:t>
            </w:r>
          </w:p>
        </w:tc>
        <w:tc>
          <w:tcPr>
            <w:tcW w:w="7200" w:type="dxa"/>
            <w:tcBorders>
              <w:bottom w:val="single" w:sz="4" w:space="0" w:color="auto"/>
            </w:tcBorders>
          </w:tcPr>
          <w:p w14:paraId="28FC1DD4" w14:textId="77777777" w:rsidR="00B51053" w:rsidRDefault="00B51053" w:rsidP="000B77B9">
            <w:r>
              <w:t xml:space="preserve">Our most sensitive corporate or operational information, policy development and advice to ministers on contentious/very sensitive areas.  </w:t>
            </w:r>
          </w:p>
          <w:p w14:paraId="28FC1DD5" w14:textId="77777777" w:rsidR="00B51053" w:rsidRDefault="00693F5C" w:rsidP="00B51053">
            <w:pPr>
              <w:pStyle w:val="ListParagraph"/>
              <w:numPr>
                <w:ilvl w:val="0"/>
                <w:numId w:val="13"/>
              </w:numPr>
            </w:pPr>
            <w:r>
              <w:t>Sensitive personal data, such as medical records and salary information</w:t>
            </w:r>
            <w:r w:rsidR="00B51053">
              <w:t>.</w:t>
            </w:r>
          </w:p>
          <w:p w14:paraId="28FC1DD6" w14:textId="77777777" w:rsidR="00B51053" w:rsidRDefault="00693F5C" w:rsidP="000B77B9">
            <w:pPr>
              <w:pStyle w:val="ListParagraph"/>
              <w:numPr>
                <w:ilvl w:val="0"/>
                <w:numId w:val="13"/>
              </w:numPr>
            </w:pPr>
            <w:r>
              <w:t>Information about investigations and civil or criminal proceedings that could prejudice court cases</w:t>
            </w:r>
            <w:r w:rsidR="00B51053">
              <w:t>.</w:t>
            </w:r>
          </w:p>
          <w:p w14:paraId="28FC1DD7" w14:textId="77777777" w:rsidR="001A0E44" w:rsidRPr="002720E6" w:rsidRDefault="00693F5C" w:rsidP="00B51053">
            <w:pPr>
              <w:pStyle w:val="ListParagraph"/>
              <w:numPr>
                <w:ilvl w:val="0"/>
                <w:numId w:val="13"/>
              </w:numPr>
              <w:rPr>
                <w:sz w:val="20"/>
                <w:szCs w:val="20"/>
              </w:rPr>
            </w:pPr>
            <w:r>
              <w:t>Security information such as security reports and vulnerabilities</w:t>
            </w:r>
          </w:p>
          <w:p w14:paraId="28FC1DD8" w14:textId="1B51011A" w:rsidR="002720E6" w:rsidRPr="002720E6" w:rsidRDefault="00AA435A" w:rsidP="002720E6">
            <w:pPr>
              <w:rPr>
                <w:sz w:val="20"/>
                <w:szCs w:val="20"/>
              </w:rPr>
            </w:pPr>
            <w:r>
              <w:rPr>
                <w:sz w:val="20"/>
                <w:szCs w:val="20"/>
              </w:rPr>
              <w:br/>
            </w:r>
            <w:r>
              <w:rPr>
                <w:sz w:val="20"/>
                <w:szCs w:val="20"/>
              </w:rPr>
              <w:br/>
            </w:r>
          </w:p>
        </w:tc>
      </w:tr>
      <w:tr w:rsidR="002720E6" w:rsidRPr="00584FE5" w14:paraId="28FC1DDB" w14:textId="77777777" w:rsidTr="006E5AA3">
        <w:trPr>
          <w:cantSplit/>
          <w:tblHeader/>
          <w:jc w:val="center"/>
        </w:trPr>
        <w:tc>
          <w:tcPr>
            <w:tcW w:w="9360" w:type="dxa"/>
            <w:gridSpan w:val="2"/>
            <w:tcBorders>
              <w:bottom w:val="nil"/>
            </w:tcBorders>
            <w:shd w:val="clear" w:color="auto" w:fill="C6D9F1" w:themeFill="text2" w:themeFillTint="33"/>
          </w:tcPr>
          <w:p w14:paraId="28FC1DDA" w14:textId="77777777" w:rsidR="002720E6" w:rsidRPr="00584FE5" w:rsidRDefault="002720E6" w:rsidP="006E5AA3">
            <w:r w:rsidRPr="008D11EC">
              <w:rPr>
                <w:b/>
                <w:sz w:val="28"/>
              </w:rPr>
              <w:lastRenderedPageBreak/>
              <w:t>OFFICIAL – SENSITIVE.</w:t>
            </w:r>
          </w:p>
        </w:tc>
      </w:tr>
      <w:tr w:rsidR="00D72FC2" w:rsidRPr="00584FE5" w14:paraId="28FC1DDD" w14:textId="77777777" w:rsidTr="002720E6">
        <w:trPr>
          <w:cantSplit/>
          <w:tblHeader/>
          <w:jc w:val="center"/>
        </w:trPr>
        <w:tc>
          <w:tcPr>
            <w:tcW w:w="9360" w:type="dxa"/>
            <w:gridSpan w:val="2"/>
            <w:tcBorders>
              <w:top w:val="single" w:sz="4" w:space="0" w:color="auto"/>
              <w:bottom w:val="nil"/>
            </w:tcBorders>
            <w:shd w:val="clear" w:color="auto" w:fill="C6D9F1" w:themeFill="text2" w:themeFillTint="33"/>
          </w:tcPr>
          <w:p w14:paraId="28FC1DDC" w14:textId="77777777" w:rsidR="00D72FC2" w:rsidRPr="00584FE5" w:rsidRDefault="00D72FC2" w:rsidP="000B77B9">
            <w:r w:rsidRPr="00D72FC2">
              <w:rPr>
                <w:b/>
                <w:sz w:val="28"/>
              </w:rPr>
              <w:t>Handling</w:t>
            </w:r>
            <w:r>
              <w:rPr>
                <w:b/>
                <w:sz w:val="28"/>
              </w:rPr>
              <w:t>:</w:t>
            </w:r>
          </w:p>
        </w:tc>
      </w:tr>
      <w:tr w:rsidR="001A0E44" w:rsidRPr="00584FE5" w14:paraId="28FC1DE2" w14:textId="77777777" w:rsidTr="002720E6">
        <w:trPr>
          <w:cantSplit/>
          <w:tblHeader/>
          <w:jc w:val="center"/>
        </w:trPr>
        <w:tc>
          <w:tcPr>
            <w:tcW w:w="2160" w:type="dxa"/>
            <w:shd w:val="clear" w:color="auto" w:fill="92D050"/>
          </w:tcPr>
          <w:p w14:paraId="28FC1DDE" w14:textId="77777777" w:rsidR="001A0E44" w:rsidRPr="00460D76" w:rsidRDefault="001A0E44" w:rsidP="000B77B9">
            <w:pPr>
              <w:rPr>
                <w:b/>
              </w:rPr>
            </w:pPr>
            <w:r w:rsidRPr="00460D76">
              <w:rPr>
                <w:b/>
              </w:rPr>
              <w:t>Marking</w:t>
            </w:r>
          </w:p>
        </w:tc>
        <w:tc>
          <w:tcPr>
            <w:tcW w:w="7200" w:type="dxa"/>
          </w:tcPr>
          <w:p w14:paraId="28FC1DDF" w14:textId="77777777" w:rsidR="001A0E44" w:rsidRDefault="00982F61" w:rsidP="000B77B9">
            <w:r w:rsidRPr="00460D76">
              <w:rPr>
                <w:b/>
              </w:rPr>
              <w:t>Document</w:t>
            </w:r>
            <w:r w:rsidR="00460D76">
              <w:rPr>
                <w:b/>
              </w:rPr>
              <w:t>s</w:t>
            </w:r>
            <w:r w:rsidRPr="00460D76">
              <w:rPr>
                <w:b/>
              </w:rPr>
              <w:t>:</w:t>
            </w:r>
            <w:r>
              <w:t xml:space="preserve">  </w:t>
            </w:r>
            <w:r w:rsidR="001A0E44" w:rsidRPr="002732DF">
              <w:t>Print in bold capitals, same size as body text, centre top and bottom of each page (header/footer)</w:t>
            </w:r>
            <w:r w:rsidR="006F0D60">
              <w:br/>
            </w:r>
            <w:r w:rsidR="00497538">
              <w:br/>
            </w:r>
            <w:r w:rsidRPr="00460D76">
              <w:rPr>
                <w:b/>
              </w:rPr>
              <w:t>E-mail</w:t>
            </w:r>
            <w:r w:rsidR="00460D76">
              <w:rPr>
                <w:b/>
              </w:rPr>
              <w:t>s</w:t>
            </w:r>
            <w:r w:rsidRPr="00460D76">
              <w:rPr>
                <w:b/>
              </w:rPr>
              <w:t>:</w:t>
            </w:r>
            <w:r>
              <w:t xml:space="preserve">  </w:t>
            </w:r>
            <w:r w:rsidR="00460D76">
              <w:t>W</w:t>
            </w:r>
            <w:r w:rsidR="00A33489">
              <w:t>ithin the subject header and body of the e-mail</w:t>
            </w:r>
            <w:r w:rsidR="00460D76">
              <w:t>.</w:t>
            </w:r>
            <w:r>
              <w:br/>
            </w:r>
            <w:r>
              <w:br/>
              <w:t>Add a Descriptor if appropriate</w:t>
            </w:r>
            <w:r w:rsidR="00460D76">
              <w:t>,</w:t>
            </w:r>
            <w:r>
              <w:t xml:space="preserve"> which must be either ‘</w:t>
            </w:r>
            <w:r w:rsidR="00460D76" w:rsidRPr="00460D76">
              <w:rPr>
                <w:b/>
              </w:rPr>
              <w:t>COMMERCIAL</w:t>
            </w:r>
            <w:r w:rsidR="00460D76">
              <w:t>’</w:t>
            </w:r>
            <w:r>
              <w:t xml:space="preserve"> or ‘</w:t>
            </w:r>
            <w:r w:rsidR="00460D76" w:rsidRPr="00460D76">
              <w:rPr>
                <w:b/>
              </w:rPr>
              <w:t>PERSONAL</w:t>
            </w:r>
            <w:r w:rsidR="00460D76">
              <w:t>’</w:t>
            </w:r>
          </w:p>
          <w:p w14:paraId="28FC1DE0" w14:textId="77777777" w:rsidR="00982F61" w:rsidRDefault="00982F61" w:rsidP="000B77B9">
            <w:r>
              <w:t xml:space="preserve">Handling requirements </w:t>
            </w:r>
            <w:r w:rsidRPr="00460D76">
              <w:rPr>
                <w:b/>
              </w:rPr>
              <w:t>must</w:t>
            </w:r>
            <w:r>
              <w:t xml:space="preserve"> be included </w:t>
            </w:r>
            <w:r w:rsidR="00A33489">
              <w:t>in the body of</w:t>
            </w:r>
            <w:r>
              <w:t xml:space="preserve"> either the document or the e-mail detailing the distribution and access restrictions</w:t>
            </w:r>
            <w:r w:rsidR="00460D76">
              <w:t>.</w:t>
            </w:r>
          </w:p>
          <w:p w14:paraId="28FC1DE1" w14:textId="77777777" w:rsidR="00460D76" w:rsidRPr="002732DF" w:rsidRDefault="006D6671" w:rsidP="00460D76">
            <w:pPr>
              <w:pStyle w:val="ListParagraph"/>
              <w:numPr>
                <w:ilvl w:val="0"/>
                <w:numId w:val="14"/>
              </w:numPr>
            </w:pPr>
            <w:hyperlink r:id="rId30" w:history="1">
              <w:r w:rsidR="00460D76" w:rsidRPr="00460D76">
                <w:rPr>
                  <w:rStyle w:val="Hyperlink"/>
                </w:rPr>
                <w:t>See GSC Handling Instructions for examples</w:t>
              </w:r>
            </w:hyperlink>
            <w:r w:rsidR="00460D76">
              <w:t>.</w:t>
            </w:r>
          </w:p>
        </w:tc>
      </w:tr>
      <w:tr w:rsidR="001A0E44" w:rsidRPr="00584FE5" w14:paraId="28FC1DE5" w14:textId="77777777" w:rsidTr="002720E6">
        <w:trPr>
          <w:cantSplit/>
          <w:tblHeader/>
          <w:jc w:val="center"/>
        </w:trPr>
        <w:tc>
          <w:tcPr>
            <w:tcW w:w="2160" w:type="dxa"/>
            <w:shd w:val="clear" w:color="auto" w:fill="92D050"/>
          </w:tcPr>
          <w:p w14:paraId="28FC1DE3" w14:textId="77777777" w:rsidR="001A0E44" w:rsidRPr="00460D76" w:rsidRDefault="001A0E44" w:rsidP="000B77B9">
            <w:pPr>
              <w:rPr>
                <w:b/>
              </w:rPr>
            </w:pPr>
            <w:r w:rsidRPr="00460D76">
              <w:rPr>
                <w:b/>
              </w:rPr>
              <w:t>Storage</w:t>
            </w:r>
          </w:p>
        </w:tc>
        <w:tc>
          <w:tcPr>
            <w:tcW w:w="7200" w:type="dxa"/>
          </w:tcPr>
          <w:p w14:paraId="28FC1DE4" w14:textId="77777777" w:rsidR="001A0E44" w:rsidRPr="002732DF" w:rsidRDefault="001A0E44" w:rsidP="000B77B9">
            <w:r w:rsidRPr="002732DF">
              <w:t>Physically protect by one barrier within a secure building, e.g. a locked</w:t>
            </w:r>
            <w:r w:rsidR="00982F61">
              <w:t xml:space="preserve"> drawer</w:t>
            </w:r>
            <w:r w:rsidR="00460D76">
              <w:t xml:space="preserve">, </w:t>
            </w:r>
            <w:r w:rsidR="00460D76" w:rsidRPr="002732DF">
              <w:t>container</w:t>
            </w:r>
            <w:r w:rsidR="00982F61">
              <w:t xml:space="preserve"> or filing cabinet</w:t>
            </w:r>
            <w:r w:rsidR="00460D76">
              <w:t>.</w:t>
            </w:r>
          </w:p>
        </w:tc>
      </w:tr>
      <w:tr w:rsidR="00460D76" w:rsidRPr="00584FE5" w14:paraId="28FC1DE8" w14:textId="77777777" w:rsidTr="002720E6">
        <w:trPr>
          <w:cantSplit/>
          <w:tblHeader/>
          <w:jc w:val="center"/>
        </w:trPr>
        <w:tc>
          <w:tcPr>
            <w:tcW w:w="2160" w:type="dxa"/>
            <w:shd w:val="clear" w:color="auto" w:fill="92D050"/>
          </w:tcPr>
          <w:p w14:paraId="28FC1DE6" w14:textId="77777777" w:rsidR="00460D76" w:rsidRPr="00460D76" w:rsidRDefault="00460D76" w:rsidP="000B77B9">
            <w:pPr>
              <w:rPr>
                <w:b/>
              </w:rPr>
            </w:pPr>
            <w:r w:rsidRPr="00460D76">
              <w:rPr>
                <w:b/>
              </w:rPr>
              <w:t>Disposal of papers</w:t>
            </w:r>
          </w:p>
        </w:tc>
        <w:tc>
          <w:tcPr>
            <w:tcW w:w="7200" w:type="dxa"/>
          </w:tcPr>
          <w:p w14:paraId="28FC1DE7" w14:textId="77777777" w:rsidR="00460D76" w:rsidRPr="002732DF" w:rsidRDefault="00460D76" w:rsidP="00460D76">
            <w:r>
              <w:t>Dispose with care - u</w:t>
            </w:r>
            <w:r w:rsidRPr="002732DF">
              <w:t xml:space="preserve">se </w:t>
            </w:r>
            <w:r>
              <w:t xml:space="preserve">the </w:t>
            </w:r>
            <w:r w:rsidRPr="002732DF">
              <w:t xml:space="preserve">shredder </w:t>
            </w:r>
            <w:r>
              <w:t>located in the Print Room</w:t>
            </w:r>
            <w:r w:rsidRPr="002732DF">
              <w:t>.</w:t>
            </w:r>
          </w:p>
        </w:tc>
      </w:tr>
      <w:tr w:rsidR="001A0E44" w:rsidRPr="00584FE5" w14:paraId="28FC1DEB" w14:textId="77777777" w:rsidTr="002720E6">
        <w:trPr>
          <w:cantSplit/>
          <w:tblHeader/>
          <w:jc w:val="center"/>
        </w:trPr>
        <w:tc>
          <w:tcPr>
            <w:tcW w:w="2160" w:type="dxa"/>
            <w:shd w:val="clear" w:color="auto" w:fill="92D050"/>
          </w:tcPr>
          <w:p w14:paraId="28FC1DE9" w14:textId="77777777" w:rsidR="001A0E44" w:rsidRPr="00460D76" w:rsidRDefault="001A0E44" w:rsidP="000B77B9">
            <w:pPr>
              <w:rPr>
                <w:b/>
              </w:rPr>
            </w:pPr>
            <w:r w:rsidRPr="00460D76">
              <w:rPr>
                <w:b/>
              </w:rPr>
              <w:t>Disposal/re-use of magnetic media</w:t>
            </w:r>
          </w:p>
        </w:tc>
        <w:tc>
          <w:tcPr>
            <w:tcW w:w="7200" w:type="dxa"/>
          </w:tcPr>
          <w:p w14:paraId="28FC1DEA" w14:textId="77777777" w:rsidR="001A0E44" w:rsidRPr="002732DF" w:rsidRDefault="001A0E44" w:rsidP="000B77B9">
            <w:r w:rsidRPr="002732DF">
              <w:t>Delete contents and re-use within CA only.  ICT must deal with disposal and destruction</w:t>
            </w:r>
            <w:r w:rsidR="00460D76">
              <w:t>.</w:t>
            </w:r>
            <w:r w:rsidRPr="002732DF">
              <w:t xml:space="preserve"> </w:t>
            </w:r>
          </w:p>
        </w:tc>
      </w:tr>
      <w:tr w:rsidR="001A0E44" w:rsidRPr="00584FE5" w14:paraId="28FC1DF2" w14:textId="77777777" w:rsidTr="002720E6">
        <w:trPr>
          <w:cantSplit/>
          <w:tblHeader/>
          <w:jc w:val="center"/>
        </w:trPr>
        <w:tc>
          <w:tcPr>
            <w:tcW w:w="2160" w:type="dxa"/>
            <w:shd w:val="clear" w:color="auto" w:fill="92D050"/>
          </w:tcPr>
          <w:p w14:paraId="28FC1DEC" w14:textId="77777777" w:rsidR="001A0E44" w:rsidRPr="00460D76" w:rsidRDefault="001A0E44" w:rsidP="000B77B9">
            <w:pPr>
              <w:rPr>
                <w:b/>
              </w:rPr>
            </w:pPr>
            <w:r w:rsidRPr="00460D76">
              <w:rPr>
                <w:b/>
              </w:rPr>
              <w:t>Internal distribution</w:t>
            </w:r>
          </w:p>
        </w:tc>
        <w:tc>
          <w:tcPr>
            <w:tcW w:w="7200" w:type="dxa"/>
          </w:tcPr>
          <w:p w14:paraId="28FC1DED" w14:textId="77777777" w:rsidR="000D18F1" w:rsidRDefault="001A0E44" w:rsidP="006F0D60">
            <w:r w:rsidRPr="002732DF">
              <w:t>To recipient by email, sealed envelope, through internal post, or deliver by hand.</w:t>
            </w:r>
            <w:r w:rsidR="006F0D60">
              <w:t xml:space="preserve">  </w:t>
            </w:r>
            <w:r w:rsidR="000D18F1">
              <w:t xml:space="preserve">When moving assets by hand or internal post, follow OFFICIAL handling instructions </w:t>
            </w:r>
            <w:r w:rsidR="000D18F1" w:rsidRPr="000D18F1">
              <w:rPr>
                <w:b/>
              </w:rPr>
              <w:t>in addition to</w:t>
            </w:r>
            <w:r w:rsidR="000D18F1">
              <w:t xml:space="preserve"> using a nondescript container/envelope - write the classificati</w:t>
            </w:r>
            <w:r w:rsidR="006F0D60">
              <w:t>on on the inner envelope only.</w:t>
            </w:r>
          </w:p>
          <w:p w14:paraId="28FC1DEE" w14:textId="77777777" w:rsidR="006F0D60" w:rsidRDefault="006F0D60" w:rsidP="006F0D60"/>
          <w:p w14:paraId="28FC1DEF" w14:textId="77777777" w:rsidR="006F0D60" w:rsidRDefault="006F0D60" w:rsidP="006F0D60"/>
          <w:p w14:paraId="28FC1DF0" w14:textId="77777777" w:rsidR="006F0D60" w:rsidRDefault="006F0D60" w:rsidP="006F0D60"/>
          <w:p w14:paraId="28FC1DF1" w14:textId="77777777" w:rsidR="006F0D60" w:rsidRPr="002732DF" w:rsidRDefault="006F0D60" w:rsidP="006F0D60"/>
        </w:tc>
      </w:tr>
      <w:tr w:rsidR="000D18F1" w:rsidRPr="00584FE5" w14:paraId="28FC1DF4" w14:textId="77777777" w:rsidTr="002720E6">
        <w:trPr>
          <w:cantSplit/>
          <w:tblHeader/>
          <w:jc w:val="center"/>
        </w:trPr>
        <w:tc>
          <w:tcPr>
            <w:tcW w:w="9360" w:type="dxa"/>
            <w:gridSpan w:val="2"/>
            <w:tcBorders>
              <w:bottom w:val="nil"/>
            </w:tcBorders>
            <w:shd w:val="clear" w:color="auto" w:fill="C6D9F1" w:themeFill="text2" w:themeFillTint="33"/>
          </w:tcPr>
          <w:p w14:paraId="28FC1DF3" w14:textId="77777777" w:rsidR="000D18F1" w:rsidRPr="00584FE5" w:rsidRDefault="000D18F1" w:rsidP="00004252">
            <w:r w:rsidRPr="008D11EC">
              <w:rPr>
                <w:b/>
                <w:sz w:val="28"/>
              </w:rPr>
              <w:lastRenderedPageBreak/>
              <w:t>OFFICIAL – SENSITIVE.</w:t>
            </w:r>
          </w:p>
        </w:tc>
      </w:tr>
      <w:tr w:rsidR="00EA41E3" w:rsidRPr="00584FE5" w14:paraId="28FC1DF6" w14:textId="77777777" w:rsidTr="002720E6">
        <w:trPr>
          <w:cantSplit/>
          <w:tblHeader/>
          <w:jc w:val="center"/>
        </w:trPr>
        <w:tc>
          <w:tcPr>
            <w:tcW w:w="9360" w:type="dxa"/>
            <w:gridSpan w:val="2"/>
            <w:tcBorders>
              <w:top w:val="single" w:sz="4" w:space="0" w:color="auto"/>
              <w:bottom w:val="nil"/>
            </w:tcBorders>
            <w:shd w:val="clear" w:color="auto" w:fill="C6D9F1" w:themeFill="text2" w:themeFillTint="33"/>
          </w:tcPr>
          <w:p w14:paraId="28FC1DF5" w14:textId="77777777" w:rsidR="00EA41E3" w:rsidRPr="00584FE5" w:rsidRDefault="00EA41E3" w:rsidP="00004252">
            <w:r w:rsidRPr="00D72FC2">
              <w:rPr>
                <w:b/>
                <w:sz w:val="28"/>
              </w:rPr>
              <w:t>Handling</w:t>
            </w:r>
            <w:r>
              <w:rPr>
                <w:b/>
                <w:sz w:val="28"/>
              </w:rPr>
              <w:t>:</w:t>
            </w:r>
          </w:p>
        </w:tc>
      </w:tr>
      <w:tr w:rsidR="001A0E44" w:rsidRPr="00584FE5" w14:paraId="28FC1DF9" w14:textId="77777777" w:rsidTr="002720E6">
        <w:trPr>
          <w:cantSplit/>
          <w:tblHeader/>
          <w:jc w:val="center"/>
        </w:trPr>
        <w:tc>
          <w:tcPr>
            <w:tcW w:w="2160" w:type="dxa"/>
            <w:tcBorders>
              <w:bottom w:val="nil"/>
            </w:tcBorders>
            <w:shd w:val="clear" w:color="auto" w:fill="92D050"/>
          </w:tcPr>
          <w:p w14:paraId="28FC1DF7" w14:textId="77777777" w:rsidR="001A0E44" w:rsidRPr="000D18F1" w:rsidRDefault="001A0E44" w:rsidP="000B77B9">
            <w:pPr>
              <w:rPr>
                <w:b/>
              </w:rPr>
            </w:pPr>
            <w:r w:rsidRPr="000D18F1">
              <w:rPr>
                <w:b/>
              </w:rPr>
              <w:t>Postage</w:t>
            </w:r>
          </w:p>
        </w:tc>
        <w:tc>
          <w:tcPr>
            <w:tcW w:w="7200" w:type="dxa"/>
          </w:tcPr>
          <w:p w14:paraId="28FC1DF8" w14:textId="77777777" w:rsidR="001A0E44" w:rsidRPr="002732DF" w:rsidRDefault="00532F90" w:rsidP="000B77B9">
            <w:r>
              <w:t>Use a single, unused envelope (with no classification marking)</w:t>
            </w:r>
            <w:r w:rsidR="00705935">
              <w:t xml:space="preserve"> and i</w:t>
            </w:r>
            <w:r>
              <w:t>nclude return address on the back of the envelope</w:t>
            </w:r>
            <w:r w:rsidR="00705935">
              <w:t>.</w:t>
            </w:r>
            <w:r w:rsidR="00497538">
              <w:br/>
            </w:r>
            <w:r>
              <w:br/>
              <w:t>Consider using a double envelope and writing the classification on the inner envelope only</w:t>
            </w:r>
            <w:r w:rsidR="00705935">
              <w:t>.</w:t>
            </w:r>
            <w:r w:rsidR="00497538">
              <w:br/>
            </w:r>
            <w:r>
              <w:br/>
              <w:t>Consider using Royal Mail next day tracked delivery service or a reputable commercial courier’s ‘track and trace’ service</w:t>
            </w:r>
            <w:r w:rsidR="00705935">
              <w:t>.</w:t>
            </w:r>
            <w:r w:rsidR="00497538">
              <w:br/>
            </w:r>
            <w:r w:rsidR="00BC1DFB">
              <w:br/>
              <w:t>Confirm</w:t>
            </w:r>
            <w:r w:rsidR="00497538">
              <w:t xml:space="preserve"> the </w:t>
            </w:r>
            <w:r w:rsidR="00705935">
              <w:t>recipient’s</w:t>
            </w:r>
            <w:r w:rsidR="00BC1DFB">
              <w:t xml:space="preserve"> full postal address including post code before despatch</w:t>
            </w:r>
            <w:r w:rsidR="00705935">
              <w:t>.</w:t>
            </w:r>
          </w:p>
        </w:tc>
      </w:tr>
      <w:tr w:rsidR="001A0E44" w:rsidRPr="00584FE5" w14:paraId="28FC1DFD" w14:textId="77777777" w:rsidTr="002720E6">
        <w:trPr>
          <w:cantSplit/>
          <w:tblHeader/>
          <w:jc w:val="center"/>
        </w:trPr>
        <w:tc>
          <w:tcPr>
            <w:tcW w:w="2160" w:type="dxa"/>
            <w:tcBorders>
              <w:bottom w:val="single" w:sz="4" w:space="0" w:color="auto"/>
            </w:tcBorders>
            <w:shd w:val="clear" w:color="auto" w:fill="FFC000"/>
          </w:tcPr>
          <w:p w14:paraId="28FC1DFA" w14:textId="77777777" w:rsidR="001A0E44" w:rsidRPr="004157AD" w:rsidRDefault="001A0E44" w:rsidP="000B77B9">
            <w:pPr>
              <w:rPr>
                <w:b/>
              </w:rPr>
            </w:pPr>
            <w:r w:rsidRPr="004157AD">
              <w:rPr>
                <w:b/>
              </w:rPr>
              <w:t>Discussion by telephone or video conference</w:t>
            </w:r>
          </w:p>
        </w:tc>
        <w:tc>
          <w:tcPr>
            <w:tcW w:w="7200" w:type="dxa"/>
          </w:tcPr>
          <w:p w14:paraId="28FC1DFB" w14:textId="77777777" w:rsidR="001A0E44" w:rsidRDefault="00BC1DFB" w:rsidP="00497538">
            <w:r>
              <w:t xml:space="preserve">No restrictions, but always confirm who you are talking to and keep details to a minimum. </w:t>
            </w:r>
            <w:r w:rsidR="00497538">
              <w:br/>
            </w:r>
            <w:r w:rsidR="00497538">
              <w:br/>
            </w:r>
            <w:r>
              <w:t>Note that t</w:t>
            </w:r>
            <w:r w:rsidR="001A0E44" w:rsidRPr="002732DF">
              <w:t>elephony systems should not be assumed to be secure</w:t>
            </w:r>
            <w:r>
              <w:t xml:space="preserve">. </w:t>
            </w:r>
            <w:r w:rsidR="001A0E44" w:rsidRPr="002732DF">
              <w:t xml:space="preserve"> </w:t>
            </w:r>
          </w:p>
          <w:p w14:paraId="28FC1DFC" w14:textId="77777777" w:rsidR="00EA41E3" w:rsidRPr="002732DF" w:rsidRDefault="00EA41E3" w:rsidP="00497538">
            <w:r>
              <w:t>Details of sensitive material should be kept to an absolute minimum.</w:t>
            </w:r>
          </w:p>
        </w:tc>
      </w:tr>
      <w:tr w:rsidR="001A0E44" w:rsidRPr="00584FE5" w14:paraId="28FC1E00" w14:textId="77777777" w:rsidTr="002720E6">
        <w:trPr>
          <w:cantSplit/>
          <w:tblHeader/>
          <w:jc w:val="center"/>
        </w:trPr>
        <w:tc>
          <w:tcPr>
            <w:tcW w:w="2160" w:type="dxa"/>
            <w:tcBorders>
              <w:top w:val="nil"/>
            </w:tcBorders>
            <w:shd w:val="clear" w:color="auto" w:fill="92D050"/>
          </w:tcPr>
          <w:p w14:paraId="28FC1DFE" w14:textId="77777777" w:rsidR="001A0E44" w:rsidRPr="004157AD" w:rsidRDefault="001A0E44" w:rsidP="000B77B9">
            <w:pPr>
              <w:rPr>
                <w:b/>
              </w:rPr>
            </w:pPr>
            <w:r w:rsidRPr="004157AD">
              <w:rPr>
                <w:b/>
              </w:rPr>
              <w:t xml:space="preserve">Storage </w:t>
            </w:r>
            <w:r w:rsidR="004157AD" w:rsidRPr="004157AD">
              <w:rPr>
                <w:b/>
              </w:rPr>
              <w:t xml:space="preserve">in </w:t>
            </w:r>
            <w:r w:rsidRPr="004157AD">
              <w:rPr>
                <w:b/>
              </w:rPr>
              <w:t>WISDOM</w:t>
            </w:r>
          </w:p>
        </w:tc>
        <w:tc>
          <w:tcPr>
            <w:tcW w:w="7200" w:type="dxa"/>
          </w:tcPr>
          <w:p w14:paraId="28FC1DFF" w14:textId="77777777" w:rsidR="001A0E44" w:rsidRPr="002732DF" w:rsidRDefault="001A0E44" w:rsidP="000B77B9">
            <w:r w:rsidRPr="002732DF">
              <w:t>Permitted with appropriate markings and access controls</w:t>
            </w:r>
          </w:p>
        </w:tc>
      </w:tr>
      <w:tr w:rsidR="001A0E44" w:rsidRPr="00584FE5" w14:paraId="28FC1E04" w14:textId="77777777" w:rsidTr="002720E6">
        <w:trPr>
          <w:cantSplit/>
          <w:tblHeader/>
          <w:jc w:val="center"/>
        </w:trPr>
        <w:tc>
          <w:tcPr>
            <w:tcW w:w="2160" w:type="dxa"/>
            <w:tcBorders>
              <w:bottom w:val="single" w:sz="4" w:space="0" w:color="auto"/>
            </w:tcBorders>
            <w:shd w:val="clear" w:color="auto" w:fill="FFC000"/>
          </w:tcPr>
          <w:p w14:paraId="28FC1E01" w14:textId="77777777" w:rsidR="001A0E44" w:rsidRPr="004157AD" w:rsidRDefault="001A0E44" w:rsidP="000B77B9">
            <w:pPr>
              <w:rPr>
                <w:b/>
              </w:rPr>
            </w:pPr>
            <w:r w:rsidRPr="004157AD">
              <w:rPr>
                <w:b/>
              </w:rPr>
              <w:t>Email</w:t>
            </w:r>
          </w:p>
        </w:tc>
        <w:tc>
          <w:tcPr>
            <w:tcW w:w="7200" w:type="dxa"/>
          </w:tcPr>
          <w:p w14:paraId="28FC1E02" w14:textId="77777777" w:rsidR="00EA41E3" w:rsidRDefault="00BC1DFB" w:rsidP="004157AD">
            <w:r>
              <w:t xml:space="preserve">Information </w:t>
            </w:r>
            <w:r w:rsidRPr="004157AD">
              <w:rPr>
                <w:b/>
              </w:rPr>
              <w:t>must</w:t>
            </w:r>
            <w:r>
              <w:t xml:space="preserve"> be encrypted if sending externally</w:t>
            </w:r>
            <w:r w:rsidR="004157AD">
              <w:t xml:space="preserve"> using 7-ZIP or WinZip.</w:t>
            </w:r>
            <w:r w:rsidR="00497538">
              <w:br/>
            </w:r>
            <w:r>
              <w:br/>
              <w:t xml:space="preserve">Information may be sent unencrypted internally, </w:t>
            </w:r>
            <w:r w:rsidR="00E66A2F">
              <w:t>but you should assess the risk of it being intercepted and exposed</w:t>
            </w:r>
            <w:r w:rsidR="004157AD">
              <w:t>.</w:t>
            </w:r>
            <w:r w:rsidR="00497538">
              <w:br/>
            </w:r>
            <w:r w:rsidR="00E66A2F">
              <w:br/>
              <w:t>Consider whether the e-mail could be forwarded on outside of TCA and, i</w:t>
            </w:r>
            <w:r w:rsidR="00EA41E3">
              <w:t xml:space="preserve">f so, it should be encrypted. </w:t>
            </w:r>
          </w:p>
          <w:p w14:paraId="28FC1E03" w14:textId="0DA3F7CC" w:rsidR="00EA41E3" w:rsidRPr="002732DF" w:rsidRDefault="00AA435A" w:rsidP="004157AD">
            <w:r>
              <w:br/>
            </w:r>
          </w:p>
        </w:tc>
      </w:tr>
      <w:tr w:rsidR="006F0D60" w:rsidRPr="00584FE5" w14:paraId="28FC1E06" w14:textId="77777777" w:rsidTr="00FD249F">
        <w:trPr>
          <w:cantSplit/>
          <w:tblHeader/>
          <w:jc w:val="center"/>
        </w:trPr>
        <w:tc>
          <w:tcPr>
            <w:tcW w:w="9360" w:type="dxa"/>
            <w:gridSpan w:val="2"/>
            <w:tcBorders>
              <w:bottom w:val="nil"/>
            </w:tcBorders>
            <w:shd w:val="clear" w:color="auto" w:fill="C6D9F1" w:themeFill="text2" w:themeFillTint="33"/>
          </w:tcPr>
          <w:p w14:paraId="28FC1E05" w14:textId="77777777" w:rsidR="006F0D60" w:rsidRPr="00584FE5" w:rsidRDefault="006F0D60" w:rsidP="00FD249F">
            <w:r w:rsidRPr="008D11EC">
              <w:rPr>
                <w:b/>
                <w:sz w:val="28"/>
              </w:rPr>
              <w:lastRenderedPageBreak/>
              <w:t>OFFICIAL – SENSITIVE.</w:t>
            </w:r>
          </w:p>
        </w:tc>
      </w:tr>
      <w:tr w:rsidR="006F0D60" w:rsidRPr="00584FE5" w14:paraId="28FC1E08" w14:textId="77777777" w:rsidTr="00FD249F">
        <w:trPr>
          <w:cantSplit/>
          <w:tblHeader/>
          <w:jc w:val="center"/>
        </w:trPr>
        <w:tc>
          <w:tcPr>
            <w:tcW w:w="9360" w:type="dxa"/>
            <w:gridSpan w:val="2"/>
            <w:tcBorders>
              <w:top w:val="single" w:sz="4" w:space="0" w:color="auto"/>
              <w:bottom w:val="nil"/>
            </w:tcBorders>
            <w:shd w:val="clear" w:color="auto" w:fill="C6D9F1" w:themeFill="text2" w:themeFillTint="33"/>
          </w:tcPr>
          <w:p w14:paraId="28FC1E07" w14:textId="77777777" w:rsidR="006F0D60" w:rsidRPr="00584FE5" w:rsidRDefault="006F0D60" w:rsidP="00FD249F">
            <w:r w:rsidRPr="00D72FC2">
              <w:rPr>
                <w:b/>
                <w:sz w:val="28"/>
              </w:rPr>
              <w:t>Handling</w:t>
            </w:r>
            <w:r>
              <w:rPr>
                <w:b/>
                <w:sz w:val="28"/>
              </w:rPr>
              <w:t>:</w:t>
            </w:r>
          </w:p>
        </w:tc>
      </w:tr>
      <w:tr w:rsidR="001A0E44" w:rsidRPr="00584FE5" w14:paraId="28FC1E0B" w14:textId="77777777" w:rsidTr="002720E6">
        <w:trPr>
          <w:cantSplit/>
          <w:tblHeader/>
          <w:jc w:val="center"/>
        </w:trPr>
        <w:tc>
          <w:tcPr>
            <w:tcW w:w="2160" w:type="dxa"/>
            <w:tcBorders>
              <w:bottom w:val="single" w:sz="4" w:space="0" w:color="auto"/>
            </w:tcBorders>
            <w:shd w:val="clear" w:color="auto" w:fill="FFC000"/>
          </w:tcPr>
          <w:p w14:paraId="28FC1E09" w14:textId="77777777" w:rsidR="001A0E44" w:rsidRPr="00EA41E3" w:rsidRDefault="001A0E44" w:rsidP="000B77B9">
            <w:pPr>
              <w:rPr>
                <w:b/>
              </w:rPr>
            </w:pPr>
            <w:r w:rsidRPr="00EA41E3">
              <w:rPr>
                <w:b/>
              </w:rPr>
              <w:t>Fax</w:t>
            </w:r>
          </w:p>
        </w:tc>
        <w:tc>
          <w:tcPr>
            <w:tcW w:w="7200" w:type="dxa"/>
            <w:tcBorders>
              <w:bottom w:val="single" w:sz="4" w:space="0" w:color="auto"/>
            </w:tcBorders>
          </w:tcPr>
          <w:p w14:paraId="28FC1E0A" w14:textId="77777777" w:rsidR="001A0E44" w:rsidRPr="002732DF" w:rsidRDefault="00E66A2F" w:rsidP="000B77B9">
            <w:r>
              <w:t>Keep information to be faxed to a minimum</w:t>
            </w:r>
            <w:r w:rsidR="00EA41E3">
              <w:t>.</w:t>
            </w:r>
            <w:r w:rsidR="00497538">
              <w:br/>
            </w:r>
            <w:r>
              <w:br/>
              <w:t>Confirm the recipient</w:t>
            </w:r>
            <w:r w:rsidR="00A33489">
              <w:t>’s fax number</w:t>
            </w:r>
            <w:r w:rsidR="00EA41E3">
              <w:t>.</w:t>
            </w:r>
            <w:r w:rsidR="00497538">
              <w:br/>
            </w:r>
            <w:r w:rsidR="00A33489">
              <w:br/>
              <w:t>E</w:t>
            </w:r>
            <w:r>
              <w:t>nsure recipient is waiting to receive the fax</w:t>
            </w:r>
            <w:r w:rsidR="00EA41E3">
              <w:t>.</w:t>
            </w:r>
          </w:p>
        </w:tc>
      </w:tr>
      <w:tr w:rsidR="001A0E44" w:rsidRPr="00584FE5" w14:paraId="28FC1E0E" w14:textId="77777777" w:rsidTr="002720E6">
        <w:trPr>
          <w:cantSplit/>
          <w:tblHeader/>
          <w:jc w:val="center"/>
        </w:trPr>
        <w:tc>
          <w:tcPr>
            <w:tcW w:w="2160" w:type="dxa"/>
            <w:tcBorders>
              <w:top w:val="single" w:sz="4" w:space="0" w:color="auto"/>
            </w:tcBorders>
            <w:shd w:val="clear" w:color="auto" w:fill="92D050"/>
          </w:tcPr>
          <w:p w14:paraId="28FC1E0C" w14:textId="77777777" w:rsidR="001A0E44" w:rsidRPr="00EA41E3" w:rsidRDefault="001A0E44" w:rsidP="000B77B9">
            <w:pPr>
              <w:rPr>
                <w:b/>
              </w:rPr>
            </w:pPr>
            <w:r w:rsidRPr="00EA41E3">
              <w:rPr>
                <w:b/>
              </w:rPr>
              <w:t>Photocopying</w:t>
            </w:r>
          </w:p>
        </w:tc>
        <w:tc>
          <w:tcPr>
            <w:tcW w:w="7200" w:type="dxa"/>
            <w:tcBorders>
              <w:top w:val="single" w:sz="4" w:space="0" w:color="auto"/>
            </w:tcBorders>
          </w:tcPr>
          <w:p w14:paraId="28FC1E0D" w14:textId="77777777" w:rsidR="001A0E44" w:rsidRPr="002732DF" w:rsidRDefault="001A0E44" w:rsidP="000B77B9">
            <w:r w:rsidRPr="002732DF">
              <w:t>Permitted but only make as many copies as you need and control their circulation.</w:t>
            </w:r>
          </w:p>
        </w:tc>
      </w:tr>
      <w:tr w:rsidR="001A0E44" w:rsidRPr="00584FE5" w14:paraId="28FC1E14" w14:textId="77777777" w:rsidTr="002720E6">
        <w:trPr>
          <w:cantSplit/>
          <w:tblHeader/>
          <w:jc w:val="center"/>
        </w:trPr>
        <w:tc>
          <w:tcPr>
            <w:tcW w:w="2160" w:type="dxa"/>
            <w:shd w:val="clear" w:color="auto" w:fill="FFC000"/>
          </w:tcPr>
          <w:p w14:paraId="28FC1E0F" w14:textId="77777777" w:rsidR="001A0E44" w:rsidRPr="00EA41E3" w:rsidRDefault="001A0E44" w:rsidP="000B77B9">
            <w:pPr>
              <w:rPr>
                <w:b/>
              </w:rPr>
            </w:pPr>
            <w:r w:rsidRPr="00EA41E3">
              <w:rPr>
                <w:b/>
              </w:rPr>
              <w:t>Working at home or when travelling</w:t>
            </w:r>
          </w:p>
        </w:tc>
        <w:tc>
          <w:tcPr>
            <w:tcW w:w="7200" w:type="dxa"/>
          </w:tcPr>
          <w:p w14:paraId="28FC1E10" w14:textId="77777777" w:rsidR="00E66A2F" w:rsidRDefault="00E66A2F" w:rsidP="00E66A2F">
            <w:r>
              <w:t xml:space="preserve">In addition to those conditions for OFFICIAL , the following apply when dealing with </w:t>
            </w:r>
            <w:r w:rsidRPr="00EA41E3">
              <w:rPr>
                <w:b/>
              </w:rPr>
              <w:t>OFFICIAL – SENSITIVE</w:t>
            </w:r>
            <w:r>
              <w:t xml:space="preserve"> information</w:t>
            </w:r>
            <w:r w:rsidR="00EA41E3">
              <w:t>:</w:t>
            </w:r>
          </w:p>
          <w:p w14:paraId="28FC1E11" w14:textId="77777777" w:rsidR="00EA41E3" w:rsidRDefault="00EA41E3" w:rsidP="00E66A2F">
            <w:pPr>
              <w:pStyle w:val="ListParagraph"/>
              <w:numPr>
                <w:ilvl w:val="0"/>
                <w:numId w:val="14"/>
              </w:numPr>
            </w:pPr>
            <w:r>
              <w:t xml:space="preserve">Information should not be opened or worked on whilst travelling or in public areas. </w:t>
            </w:r>
          </w:p>
          <w:p w14:paraId="28FC1E12" w14:textId="77777777" w:rsidR="00EA41E3" w:rsidRDefault="00EA41E3" w:rsidP="00E66A2F">
            <w:pPr>
              <w:pStyle w:val="ListParagraph"/>
              <w:numPr>
                <w:ilvl w:val="0"/>
                <w:numId w:val="14"/>
              </w:numPr>
            </w:pPr>
            <w:r>
              <w:t xml:space="preserve">Papers/laptops/portable media must never be left unattended. </w:t>
            </w:r>
          </w:p>
          <w:p w14:paraId="28FC1E13" w14:textId="77777777" w:rsidR="001A0E44" w:rsidRPr="00584FE5" w:rsidRDefault="00EA41E3" w:rsidP="00EA41E3">
            <w:pPr>
              <w:rPr>
                <w:sz w:val="20"/>
                <w:szCs w:val="20"/>
              </w:rPr>
            </w:pPr>
            <w:r>
              <w:t>If working from home, papers must be stored in a locked drawer/cabinet.</w:t>
            </w:r>
          </w:p>
        </w:tc>
      </w:tr>
    </w:tbl>
    <w:p w14:paraId="28FC1E15" w14:textId="77777777" w:rsidR="000F067E" w:rsidRPr="00857FE5" w:rsidRDefault="00B80099" w:rsidP="000F067E">
      <w:pPr>
        <w:rPr>
          <w:b/>
        </w:rPr>
      </w:pPr>
      <w:r>
        <w:rPr>
          <w:b/>
        </w:rPr>
        <w:br/>
      </w:r>
      <w:r w:rsidR="000F067E" w:rsidRPr="00857FE5">
        <w:rPr>
          <w:b/>
        </w:rPr>
        <w:t>Key</w:t>
      </w:r>
      <w:r w:rsidR="000F067E">
        <w:rPr>
          <w: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127"/>
      </w:tblGrid>
      <w:tr w:rsidR="00BD4768" w:rsidRPr="00E962AD" w14:paraId="28FC1E18" w14:textId="77777777" w:rsidTr="00EA41E3">
        <w:tc>
          <w:tcPr>
            <w:tcW w:w="2127" w:type="dxa"/>
            <w:shd w:val="clear" w:color="auto" w:fill="92D050"/>
          </w:tcPr>
          <w:p w14:paraId="28FC1E16" w14:textId="77777777" w:rsidR="00BD4768" w:rsidRPr="002732DF" w:rsidRDefault="00BD4768" w:rsidP="00037E6F">
            <w:r w:rsidRPr="002732DF">
              <w:t>Allowed</w:t>
            </w:r>
          </w:p>
        </w:tc>
        <w:tc>
          <w:tcPr>
            <w:tcW w:w="2127" w:type="dxa"/>
            <w:shd w:val="clear" w:color="auto" w:fill="FFC000"/>
          </w:tcPr>
          <w:p w14:paraId="28FC1E17" w14:textId="77777777" w:rsidR="00BD4768" w:rsidRPr="002732DF" w:rsidRDefault="00BD4768" w:rsidP="00037E6F">
            <w:r w:rsidRPr="002732DF">
              <w:t>Allowed with caution</w:t>
            </w:r>
          </w:p>
        </w:tc>
      </w:tr>
    </w:tbl>
    <w:p w14:paraId="28FC1E19" w14:textId="77777777" w:rsidR="001A0E44" w:rsidRPr="002732DF" w:rsidRDefault="001A0E44" w:rsidP="001A0E44"/>
    <w:p w14:paraId="28FC1E1A" w14:textId="77777777" w:rsidR="006F0D60" w:rsidRDefault="006F0D60">
      <w:pPr>
        <w:rPr>
          <w:rFonts w:eastAsiaTheme="majorEastAsia" w:cstheme="majorBidi"/>
          <w:b/>
          <w:bCs/>
          <w:color w:val="365F91" w:themeColor="accent1" w:themeShade="BF"/>
          <w:sz w:val="28"/>
          <w:szCs w:val="28"/>
          <w:lang w:eastAsia="en-GB"/>
        </w:rPr>
      </w:pPr>
      <w:bookmarkStart w:id="164" w:name="_Appendix_4:_Information"/>
      <w:bookmarkEnd w:id="164"/>
      <w:r>
        <w:br w:type="page"/>
      </w:r>
    </w:p>
    <w:p w14:paraId="28FC1E1B" w14:textId="77777777" w:rsidR="001A0E44" w:rsidRPr="00857FE5" w:rsidRDefault="00857FE5" w:rsidP="000D2147">
      <w:pPr>
        <w:pStyle w:val="Heading1"/>
      </w:pPr>
      <w:bookmarkStart w:id="165" w:name="_Toc451522827"/>
      <w:r>
        <w:lastRenderedPageBreak/>
        <w:t xml:space="preserve">Appendix </w:t>
      </w:r>
      <w:r w:rsidR="00732B0B">
        <w:t>4</w:t>
      </w:r>
      <w:r>
        <w:t xml:space="preserve">: </w:t>
      </w:r>
      <w:r w:rsidR="001A0E44" w:rsidRPr="00857FE5">
        <w:t xml:space="preserve">Information Risk Management </w:t>
      </w:r>
      <w:r>
        <w:t>–</w:t>
      </w:r>
      <w:r w:rsidR="001A0E44" w:rsidRPr="00857FE5">
        <w:t xml:space="preserve"> WISDOM</w:t>
      </w:r>
      <w:r>
        <w:t>.</w:t>
      </w:r>
      <w:bookmarkEnd w:id="165"/>
      <w:r w:rsidR="001A0E44" w:rsidRPr="00857FE5">
        <w:t xml:space="preserve"> </w:t>
      </w:r>
    </w:p>
    <w:p w14:paraId="28FC1E1C" w14:textId="77777777" w:rsidR="001A0E44" w:rsidRPr="00857FE5" w:rsidRDefault="001A0E44" w:rsidP="00857FE5">
      <w:pPr>
        <w:pStyle w:val="Heading2"/>
        <w:rPr>
          <w:rFonts w:eastAsiaTheme="minorHAnsi" w:cs="Arial"/>
          <w:b w:val="0"/>
          <w:bCs w:val="0"/>
          <w:color w:val="auto"/>
          <w:sz w:val="24"/>
          <w:szCs w:val="24"/>
        </w:rPr>
      </w:pPr>
      <w:bookmarkStart w:id="166" w:name="_Toc384993367"/>
      <w:bookmarkStart w:id="167" w:name="_Toc384994799"/>
      <w:bookmarkStart w:id="168" w:name="_Toc385431904"/>
      <w:bookmarkStart w:id="169" w:name="_Toc385492007"/>
      <w:bookmarkStart w:id="170" w:name="_Toc451522828"/>
      <w:r w:rsidRPr="00857FE5">
        <w:rPr>
          <w:rStyle w:val="ParatextChar"/>
        </w:rPr>
        <w:t>WISDOM Security Classification</w:t>
      </w:r>
      <w:r w:rsidR="00A23667">
        <w:rPr>
          <w:rStyle w:val="ParatextChar"/>
        </w:rPr>
        <w:t>s.</w:t>
      </w:r>
      <w:bookmarkEnd w:id="166"/>
      <w:bookmarkEnd w:id="167"/>
      <w:bookmarkEnd w:id="168"/>
      <w:bookmarkEnd w:id="169"/>
      <w:bookmarkEnd w:id="170"/>
      <w:r w:rsidRPr="00857FE5">
        <w:rPr>
          <w:rFonts w:eastAsiaTheme="minorHAnsi" w:cs="Arial"/>
          <w:b w:val="0"/>
          <w:bCs w:val="0"/>
          <w:color w:val="auto"/>
          <w:sz w:val="24"/>
          <w:szCs w:val="24"/>
        </w:rPr>
        <w:t xml:space="preserve"> </w:t>
      </w:r>
    </w:p>
    <w:p w14:paraId="28FC1E1D" w14:textId="77777777" w:rsidR="004D6570" w:rsidRDefault="001A0E44" w:rsidP="002720E6">
      <w:pPr>
        <w:pStyle w:val="Paratext"/>
      </w:pPr>
      <w:r w:rsidRPr="002D0F6D">
        <w:t xml:space="preserve">Following consultation with Directors and Line Managers, security classifications have been applied to the system. Wisdom is configured so that classifications applied in the file plan at class and folder level are cascaded to documents registered into those folders. </w:t>
      </w:r>
    </w:p>
    <w:p w14:paraId="28FC1E1E" w14:textId="77777777" w:rsidR="004D6570" w:rsidRDefault="001A0E44" w:rsidP="002720E6">
      <w:pPr>
        <w:pStyle w:val="Paratext"/>
      </w:pPr>
      <w:r w:rsidRPr="002D0F6D">
        <w:t xml:space="preserve">How to create and handle </w:t>
      </w:r>
      <w:r w:rsidR="007665AD">
        <w:t>OFFICIAL</w:t>
      </w:r>
      <w:r w:rsidRPr="002D0F6D">
        <w:t xml:space="preserve"> information </w:t>
      </w:r>
      <w:r w:rsidR="00361957">
        <w:t xml:space="preserve">in Wisdom </w:t>
      </w:r>
      <w:r w:rsidRPr="002D0F6D">
        <w:t>is explained below.</w:t>
      </w:r>
    </w:p>
    <w:p w14:paraId="28FC1E1F" w14:textId="77777777" w:rsidR="001A0E44" w:rsidRPr="00857FE5" w:rsidRDefault="001A0E44" w:rsidP="00857FE5">
      <w:pPr>
        <w:pStyle w:val="Heading2"/>
        <w:rPr>
          <w:rStyle w:val="ParatextChar"/>
        </w:rPr>
      </w:pPr>
      <w:bookmarkStart w:id="171" w:name="_Toc384993368"/>
      <w:bookmarkStart w:id="172" w:name="_Toc384994800"/>
      <w:bookmarkStart w:id="173" w:name="_Toc385431905"/>
      <w:bookmarkStart w:id="174" w:name="_Toc385492008"/>
      <w:bookmarkStart w:id="175" w:name="_Toc451522829"/>
      <w:r w:rsidRPr="00857FE5">
        <w:rPr>
          <w:rStyle w:val="ParatextChar"/>
        </w:rPr>
        <w:t>WISDOM Responsibilities</w:t>
      </w:r>
      <w:r w:rsidR="00A23667">
        <w:rPr>
          <w:rStyle w:val="ParatextChar"/>
        </w:rPr>
        <w:t>.</w:t>
      </w:r>
      <w:bookmarkEnd w:id="171"/>
      <w:bookmarkEnd w:id="172"/>
      <w:bookmarkEnd w:id="173"/>
      <w:bookmarkEnd w:id="174"/>
      <w:bookmarkEnd w:id="175"/>
      <w:r w:rsidRPr="00857FE5">
        <w:rPr>
          <w:rStyle w:val="ParatextChar"/>
        </w:rPr>
        <w:t xml:space="preserve"> </w:t>
      </w:r>
    </w:p>
    <w:p w14:paraId="28FC1E20" w14:textId="77777777" w:rsidR="004D6570" w:rsidRDefault="001A0E44" w:rsidP="000C1A64">
      <w:pPr>
        <w:pStyle w:val="Heading3"/>
        <w:ind w:left="0" w:firstLine="720"/>
      </w:pPr>
      <w:bookmarkStart w:id="176" w:name="_Toc384993369"/>
      <w:bookmarkStart w:id="177" w:name="_Toc384994801"/>
      <w:bookmarkStart w:id="178" w:name="_Toc384995294"/>
      <w:bookmarkStart w:id="179" w:name="_Toc385431906"/>
      <w:bookmarkStart w:id="180" w:name="_Toc385492009"/>
      <w:bookmarkStart w:id="181" w:name="_Toc451522830"/>
      <w:r w:rsidRPr="00857FE5">
        <w:t>IAO’s (Line Managers)</w:t>
      </w:r>
      <w:r w:rsidR="00A23667">
        <w:t>:</w:t>
      </w:r>
      <w:bookmarkEnd w:id="176"/>
      <w:bookmarkEnd w:id="177"/>
      <w:bookmarkEnd w:id="178"/>
      <w:bookmarkEnd w:id="179"/>
      <w:bookmarkEnd w:id="180"/>
      <w:bookmarkEnd w:id="181"/>
    </w:p>
    <w:p w14:paraId="28FC1E21" w14:textId="77777777" w:rsidR="004D6570" w:rsidRDefault="00A23667" w:rsidP="002720E6">
      <w:pPr>
        <w:pStyle w:val="Paratext"/>
      </w:pPr>
      <w:r>
        <w:t>R</w:t>
      </w:r>
      <w:r w:rsidR="001A0E44" w:rsidRPr="002D0F6D">
        <w:t>esponsible for defining the records classifications within their own business area and agreeing them with their Director</w:t>
      </w:r>
      <w:r w:rsidR="00A9549D">
        <w:t xml:space="preserve"> and HoD</w:t>
      </w:r>
      <w:r w:rsidR="001A0E44" w:rsidRPr="002D0F6D">
        <w:t xml:space="preserve">. Line Managers must ensure that their staff understand and comply with the requirements for records classification. </w:t>
      </w:r>
    </w:p>
    <w:p w14:paraId="28FC1E22" w14:textId="77777777" w:rsidR="004D6570" w:rsidRDefault="001A0E44" w:rsidP="000C1A64">
      <w:pPr>
        <w:pStyle w:val="Heading3"/>
        <w:ind w:left="0" w:firstLine="720"/>
      </w:pPr>
      <w:bookmarkStart w:id="182" w:name="_Toc384993370"/>
      <w:bookmarkStart w:id="183" w:name="_Toc384994802"/>
      <w:bookmarkStart w:id="184" w:name="_Toc384995295"/>
      <w:bookmarkStart w:id="185" w:name="_Toc385431907"/>
      <w:bookmarkStart w:id="186" w:name="_Toc385492010"/>
      <w:bookmarkStart w:id="187" w:name="_Toc451522831"/>
      <w:r w:rsidRPr="00857FE5">
        <w:t>WISDOM Departmental Records Administrators (DRA</w:t>
      </w:r>
      <w:r w:rsidR="00BE1FF4">
        <w:t>s</w:t>
      </w:r>
      <w:r w:rsidRPr="00857FE5">
        <w:t>)</w:t>
      </w:r>
      <w:r w:rsidR="00A23667">
        <w:t>:</w:t>
      </w:r>
      <w:bookmarkEnd w:id="182"/>
      <w:bookmarkEnd w:id="183"/>
      <w:bookmarkEnd w:id="184"/>
      <w:bookmarkEnd w:id="185"/>
      <w:bookmarkEnd w:id="186"/>
      <w:bookmarkEnd w:id="187"/>
      <w:r w:rsidRPr="00857FE5">
        <w:t xml:space="preserve"> </w:t>
      </w:r>
    </w:p>
    <w:p w14:paraId="28FC1E23" w14:textId="77777777" w:rsidR="004D6570" w:rsidRDefault="00A9549D" w:rsidP="002720E6">
      <w:pPr>
        <w:pStyle w:val="Paratext"/>
      </w:pPr>
      <w:r>
        <w:t>R</w:t>
      </w:r>
      <w:r w:rsidR="001A0E44" w:rsidRPr="002D0F6D">
        <w:t>esponsible for mai</w:t>
      </w:r>
      <w:r w:rsidR="001A0E44">
        <w:t xml:space="preserve">ntaining the file plan for their </w:t>
      </w:r>
      <w:r w:rsidR="001A0E44" w:rsidRPr="002D0F6D">
        <w:t xml:space="preserve">business area. New security classification settings should only be applied following discussion and agreement with Line Managers. </w:t>
      </w:r>
    </w:p>
    <w:p w14:paraId="28FC1E24" w14:textId="77777777" w:rsidR="004D6570" w:rsidRDefault="001A0E44" w:rsidP="000C1A64">
      <w:pPr>
        <w:pStyle w:val="Heading3"/>
        <w:ind w:left="0" w:firstLine="720"/>
      </w:pPr>
      <w:bookmarkStart w:id="188" w:name="_Toc384993371"/>
      <w:bookmarkStart w:id="189" w:name="_Toc384994803"/>
      <w:bookmarkStart w:id="190" w:name="_Toc384995296"/>
      <w:bookmarkStart w:id="191" w:name="_Toc385431908"/>
      <w:bookmarkStart w:id="192" w:name="_Toc385492011"/>
      <w:bookmarkStart w:id="193" w:name="_Toc451522832"/>
      <w:r w:rsidRPr="00857FE5">
        <w:t>WISDOM Users</w:t>
      </w:r>
      <w:r w:rsidR="00A9549D">
        <w:t>:</w:t>
      </w:r>
      <w:bookmarkEnd w:id="188"/>
      <w:bookmarkEnd w:id="189"/>
      <w:bookmarkEnd w:id="190"/>
      <w:bookmarkEnd w:id="191"/>
      <w:bookmarkEnd w:id="192"/>
      <w:bookmarkEnd w:id="193"/>
      <w:r w:rsidRPr="00857FE5">
        <w:t xml:space="preserve"> </w:t>
      </w:r>
    </w:p>
    <w:p w14:paraId="28FC1E25" w14:textId="77777777" w:rsidR="004D6570" w:rsidRDefault="00BE1FF4" w:rsidP="002720E6">
      <w:pPr>
        <w:pStyle w:val="Paratext"/>
      </w:pPr>
      <w:r>
        <w:t>All staff ar</w:t>
      </w:r>
      <w:r w:rsidR="001A0E44" w:rsidRPr="002D0F6D">
        <w:t>e</w:t>
      </w:r>
      <w:r>
        <w:t xml:space="preserve"> re</w:t>
      </w:r>
      <w:r w:rsidR="001A0E44" w:rsidRPr="002D0F6D">
        <w:t>sponsible for registering business related documents</w:t>
      </w:r>
      <w:r>
        <w:t xml:space="preserve"> and records</w:t>
      </w:r>
      <w:r w:rsidR="001A0E44" w:rsidRPr="002D0F6D">
        <w:t xml:space="preserve"> </w:t>
      </w:r>
      <w:r w:rsidR="00A9549D" w:rsidRPr="002D0F6D">
        <w:t xml:space="preserve">into the Wisdom file plan </w:t>
      </w:r>
      <w:r w:rsidR="00A9549D">
        <w:t xml:space="preserve">in accordance with the </w:t>
      </w:r>
      <w:hyperlink r:id="rId31" w:history="1">
        <w:r w:rsidR="00A9549D">
          <w:rPr>
            <w:rStyle w:val="Hyperlink"/>
          </w:rPr>
          <w:t xml:space="preserve">Handling and Security of Paper and Electronic Records </w:t>
        </w:r>
        <w:r w:rsidR="00A9549D" w:rsidRPr="00A9549D">
          <w:rPr>
            <w:rStyle w:val="Hyperlink"/>
          </w:rPr>
          <w:t>Policy</w:t>
        </w:r>
      </w:hyperlink>
      <w:r w:rsidR="00A9549D">
        <w:t xml:space="preserve">, </w:t>
      </w:r>
      <w:r w:rsidR="001A0E44" w:rsidRPr="002D0F6D">
        <w:t>with the appropriate security classification applied by the DRA. Any issues should, in the first instance, be raised with the DRA who in turn will resolve with the Line Manager</w:t>
      </w:r>
      <w:r>
        <w:t>/IAO</w:t>
      </w:r>
      <w:r w:rsidR="001A0E44" w:rsidRPr="002D0F6D">
        <w:t xml:space="preserve">. </w:t>
      </w:r>
    </w:p>
    <w:p w14:paraId="28FC1E26" w14:textId="77777777" w:rsidR="001A0E44" w:rsidRDefault="001A0E44" w:rsidP="000D2147">
      <w:pPr>
        <w:pStyle w:val="Heading1"/>
      </w:pPr>
      <w:r>
        <w:br w:type="page"/>
      </w:r>
      <w:bookmarkStart w:id="194" w:name="_Toc451522833"/>
      <w:r w:rsidR="00857FE5">
        <w:lastRenderedPageBreak/>
        <w:t xml:space="preserve">Appendix </w:t>
      </w:r>
      <w:r w:rsidR="00732B0B">
        <w:t>5</w:t>
      </w:r>
      <w:r w:rsidR="00857FE5">
        <w:t xml:space="preserve">: </w:t>
      </w:r>
      <w:r>
        <w:t>Sign Off Sheet</w:t>
      </w:r>
      <w:bookmarkStart w:id="195" w:name="_GoBack"/>
      <w:bookmarkEnd w:id="194"/>
      <w:bookmarkEnd w:id="195"/>
    </w:p>
    <w:p w14:paraId="28FC1E27" w14:textId="77777777" w:rsidR="001A0E44" w:rsidRDefault="001A0E44" w:rsidP="001A0E44"/>
    <w:p w14:paraId="28FC1E28" w14:textId="77777777" w:rsidR="001A0E44" w:rsidRPr="0059688D" w:rsidRDefault="001A0E44" w:rsidP="001A0E44">
      <w:pPr>
        <w:rPr>
          <w:b/>
        </w:rPr>
      </w:pPr>
      <w:r w:rsidRPr="00857FE5">
        <w:rPr>
          <w:b/>
        </w:rPr>
        <w:t>This sign off sheet relates to the Coal Authority Information Risk Management Policy.</w:t>
      </w:r>
      <w:r w:rsidR="0059688D">
        <w:rPr>
          <w:b/>
        </w:rPr>
        <w:t xml:space="preserve">  </w:t>
      </w:r>
    </w:p>
    <w:p w14:paraId="28FC1E29" w14:textId="77777777" w:rsidR="00857FE5" w:rsidRDefault="001A0E44" w:rsidP="001A0E44">
      <w:pPr>
        <w:pStyle w:val="ListParagraph"/>
        <w:numPr>
          <w:ilvl w:val="0"/>
          <w:numId w:val="6"/>
        </w:numPr>
      </w:pPr>
      <w:r>
        <w:t xml:space="preserve">Should you have any enquiries, please contact </w:t>
      </w:r>
      <w:r w:rsidR="00857FE5">
        <w:t xml:space="preserve">Paul Frammingham </w:t>
      </w:r>
      <w:r w:rsidR="0059688D">
        <w:t xml:space="preserve">(SIRO) </w:t>
      </w:r>
      <w:r>
        <w:t xml:space="preserve">on extension </w:t>
      </w:r>
      <w:r w:rsidR="00857FE5">
        <w:t>386</w:t>
      </w:r>
      <w:r>
        <w:t xml:space="preserve"> (01623 637</w:t>
      </w:r>
      <w:r w:rsidR="00857FE5">
        <w:t>386</w:t>
      </w:r>
      <w:r>
        <w:t>).</w:t>
      </w:r>
    </w:p>
    <w:p w14:paraId="28FC1E2A" w14:textId="77777777" w:rsidR="00857FE5" w:rsidRDefault="001A0E44" w:rsidP="001A0E44">
      <w:pPr>
        <w:pStyle w:val="ListParagraph"/>
        <w:numPr>
          <w:ilvl w:val="0"/>
          <w:numId w:val="6"/>
        </w:numPr>
      </w:pPr>
      <w:r>
        <w:t xml:space="preserve">This form </w:t>
      </w:r>
      <w:r w:rsidRPr="00857FE5">
        <w:rPr>
          <w:b/>
        </w:rPr>
        <w:t>must</w:t>
      </w:r>
      <w:r>
        <w:t xml:space="preserve"> be signed and returned to the Coal Authority HR Department or </w:t>
      </w:r>
      <w:r w:rsidR="00857FE5">
        <w:t>the Coal Authority m</w:t>
      </w:r>
      <w:r>
        <w:t xml:space="preserve">anager who sent it to you (for external consultants).  </w:t>
      </w:r>
    </w:p>
    <w:p w14:paraId="28FC1E2B" w14:textId="77777777" w:rsidR="001A0E44" w:rsidRDefault="001A0E44" w:rsidP="001A0E44">
      <w:pPr>
        <w:pStyle w:val="ListParagraph"/>
        <w:numPr>
          <w:ilvl w:val="0"/>
          <w:numId w:val="6"/>
        </w:numPr>
      </w:pPr>
      <w:r>
        <w:t>You should keep a copy of the form</w:t>
      </w:r>
      <w:r w:rsidR="00857FE5">
        <w:t xml:space="preserve"> and policy</w:t>
      </w:r>
      <w:r>
        <w:t xml:space="preserve"> for your own records.</w:t>
      </w:r>
    </w:p>
    <w:p w14:paraId="28FC1E2C" w14:textId="77777777" w:rsidR="001A0E44" w:rsidRDefault="001A0E44" w:rsidP="001A0E44"/>
    <w:p w14:paraId="28FC1E2D" w14:textId="77777777" w:rsidR="001A0E44" w:rsidRPr="00857FE5" w:rsidRDefault="00C33510" w:rsidP="001A0E44">
      <w:pPr>
        <w:rPr>
          <w:b/>
        </w:rPr>
      </w:pPr>
      <w:r>
        <w:rPr>
          <w:b/>
          <w:szCs w:val="20"/>
        </w:rPr>
        <w:t xml:space="preserve">I acknowledge receipt of and agree to comply with the document entitled: </w:t>
      </w:r>
      <w:r w:rsidR="001A0E44" w:rsidRPr="00857FE5">
        <w:rPr>
          <w:b/>
        </w:rPr>
        <w:t xml:space="preserve"> ‘Information Risk Management Policy’</w:t>
      </w:r>
    </w:p>
    <w:p w14:paraId="28FC1E2E" w14:textId="77777777" w:rsidR="001A0E44" w:rsidRDefault="001A0E44" w:rsidP="001A0E44"/>
    <w:p w14:paraId="28FC1E2F" w14:textId="12FB4467" w:rsidR="001A0E44" w:rsidRDefault="001A0E44" w:rsidP="001A0E44">
      <w:r>
        <w:t>Signatur</w:t>
      </w:r>
      <w:r w:rsidR="00857FE5">
        <w:t>e…………………………………………………Date……</w:t>
      </w:r>
      <w:r w:rsidR="00B35E87">
        <w:t>03/12/2019</w:t>
      </w:r>
      <w:r w:rsidR="00857FE5">
        <w:t>……………</w:t>
      </w:r>
    </w:p>
    <w:p w14:paraId="28FC1E30" w14:textId="77777777" w:rsidR="001A0E44" w:rsidRDefault="001A0E44" w:rsidP="001A0E44"/>
    <w:p w14:paraId="28FC1E31" w14:textId="0C68F918" w:rsidR="001A0E44" w:rsidRPr="00C976B6" w:rsidRDefault="00857FE5" w:rsidP="001A0E44">
      <w:r>
        <w:t>Print Name (block capitals p</w:t>
      </w:r>
      <w:r w:rsidR="001A0E44">
        <w:t>lease)</w:t>
      </w:r>
      <w:r>
        <w:br/>
      </w:r>
      <w:r>
        <w:br/>
      </w:r>
      <w:r w:rsidR="00B35E87">
        <w:t>MYLENE RECEVEUR</w:t>
      </w:r>
      <w:r w:rsidR="001A0E44">
        <w:t>………………………………..</w:t>
      </w:r>
    </w:p>
    <w:p w14:paraId="28FC1E32" w14:textId="0A8C0AD1" w:rsidR="0096444B" w:rsidRDefault="0096444B">
      <w:pPr>
        <w:rPr>
          <w:rFonts w:eastAsiaTheme="majorEastAsia" w:cstheme="majorBidi"/>
          <w:b/>
          <w:bCs/>
          <w:color w:val="365F91" w:themeColor="accent1" w:themeShade="BF"/>
          <w:sz w:val="28"/>
          <w:szCs w:val="28"/>
          <w:lang w:eastAsia="en-GB"/>
        </w:rPr>
      </w:pPr>
      <w:r>
        <w:br w:type="page"/>
      </w:r>
    </w:p>
    <w:p w14:paraId="255E9E62" w14:textId="77777777" w:rsidR="0096444B" w:rsidRPr="004E50B7" w:rsidRDefault="0096444B" w:rsidP="0096444B">
      <w:pPr>
        <w:pStyle w:val="Heading1"/>
      </w:pPr>
      <w:bookmarkStart w:id="196" w:name="_Toc451522775"/>
      <w:r>
        <w:lastRenderedPageBreak/>
        <w:t>DOCUMENT</w:t>
      </w:r>
      <w:r w:rsidRPr="004E50B7">
        <w:t xml:space="preserve"> </w:t>
      </w:r>
      <w:r>
        <w:t>CONTROL:</w:t>
      </w:r>
      <w:bookmarkEnd w:id="196"/>
    </w:p>
    <w:p w14:paraId="39EEE028" w14:textId="77777777" w:rsidR="0096444B" w:rsidRDefault="0096444B" w:rsidP="0096444B">
      <w:pPr>
        <w:ind w:left="2160" w:hanging="2160"/>
      </w:pPr>
      <w:r w:rsidRPr="00811188">
        <w:rPr>
          <w:b/>
        </w:rPr>
        <w:t>Document Title:</w:t>
      </w:r>
      <w:r w:rsidRPr="004E50B7">
        <w:tab/>
      </w:r>
      <w:sdt>
        <w:sdtPr>
          <w:alias w:val="Title"/>
          <w:id w:val="23491142"/>
          <w:dataBinding w:prefixMappings="xmlns:ns0='http://purl.org/dc/elements/1.1/' xmlns:ns1='http://schemas.openxmlformats.org/package/2006/metadata/core-properties' " w:xpath="/ns1:coreProperties[1]/ns0:title[1]" w:storeItemID="{6C3C8BC8-F283-45AE-878A-BAB7291924A1}"/>
          <w:text/>
        </w:sdtPr>
        <w:sdtEndPr/>
        <w:sdtContent>
          <w:r>
            <w:t>Information Risk Management Policy 310513</w:t>
          </w:r>
        </w:sdtContent>
      </w:sdt>
    </w:p>
    <w:p w14:paraId="1C1A2E1C" w14:textId="36EC5FE5" w:rsidR="0096444B" w:rsidRDefault="0096444B" w:rsidP="0096444B">
      <w:pPr>
        <w:ind w:left="2160" w:hanging="2160"/>
      </w:pPr>
      <w:r w:rsidRPr="00811188">
        <w:rPr>
          <w:b/>
        </w:rPr>
        <w:t>Current Version:</w:t>
      </w:r>
      <w:r w:rsidRPr="004E50B7">
        <w:tab/>
        <w:t xml:space="preserve"> </w:t>
      </w:r>
      <w:r>
        <w:t>v3.</w:t>
      </w:r>
      <w:r w:rsidR="00843DD8">
        <w:t>3</w:t>
      </w:r>
    </w:p>
    <w:p w14:paraId="336797E7" w14:textId="77777777" w:rsidR="0096444B" w:rsidRPr="0025447D" w:rsidRDefault="0096444B" w:rsidP="0096444B">
      <w:pPr>
        <w:ind w:left="2160" w:hanging="2160"/>
      </w:pPr>
      <w:r w:rsidRPr="00811188">
        <w:rPr>
          <w:b/>
        </w:rPr>
        <w:t xml:space="preserve">Author/ Owner:  </w:t>
      </w:r>
      <w:r w:rsidRPr="00811188">
        <w:rPr>
          <w:b/>
        </w:rPr>
        <w:tab/>
      </w:r>
      <w:r>
        <w:t>Paul Frammingham</w:t>
      </w:r>
      <w:r w:rsidRPr="00811188">
        <w:rPr>
          <w:b/>
        </w:rPr>
        <w:tab/>
      </w:r>
    </w:p>
    <w:p w14:paraId="283B4772" w14:textId="77777777" w:rsidR="0096444B" w:rsidRPr="004E50B7" w:rsidRDefault="0096444B" w:rsidP="0096444B">
      <w:pPr>
        <w:spacing w:line="-240" w:lineRule="auto"/>
      </w:pPr>
      <w:r w:rsidRPr="00811188">
        <w:rPr>
          <w:b/>
        </w:rPr>
        <w:t>Wisdom Ref:</w:t>
      </w:r>
      <w:r w:rsidRPr="00811188">
        <w:rPr>
          <w:b/>
        </w:rPr>
        <w:tab/>
      </w:r>
      <w:r>
        <w:rPr>
          <w:rStyle w:val="normal2"/>
        </w:rPr>
        <w:t>003226121</w:t>
      </w:r>
      <w:r>
        <w:t xml:space="preserve"> (</w:t>
      </w:r>
      <w:hyperlink r:id="rId32" w:history="1">
        <w:r w:rsidRPr="00AE6F88">
          <w:rPr>
            <w:rStyle w:val="Hyperlink"/>
          </w:rPr>
          <w:t>CA00/16/1</w:t>
        </w:r>
      </w:hyperlink>
      <w:r>
        <w:t>)</w:t>
      </w:r>
    </w:p>
    <w:p w14:paraId="0530A1AE" w14:textId="77777777" w:rsidR="0096444B" w:rsidRPr="004E50B7" w:rsidRDefault="0096444B" w:rsidP="0096444B">
      <w:pPr>
        <w:pStyle w:val="Heading2"/>
      </w:pPr>
      <w:bookmarkStart w:id="197" w:name="_Toc357781731"/>
      <w:bookmarkStart w:id="198" w:name="_Toc357781847"/>
      <w:bookmarkStart w:id="199" w:name="_Toc358104921"/>
      <w:bookmarkStart w:id="200" w:name="_Toc359331737"/>
      <w:bookmarkStart w:id="201" w:name="_Toc384904834"/>
      <w:bookmarkStart w:id="202" w:name="_Toc384993065"/>
      <w:bookmarkStart w:id="203" w:name="_Toc384993317"/>
      <w:bookmarkStart w:id="204" w:name="_Toc384994749"/>
      <w:bookmarkStart w:id="205" w:name="_Toc384995243"/>
      <w:bookmarkStart w:id="206" w:name="_Toc385431857"/>
      <w:bookmarkStart w:id="207" w:name="_Toc385491960"/>
      <w:bookmarkStart w:id="208" w:name="_Toc451522776"/>
      <w:r>
        <w:t>Approved By:</w:t>
      </w:r>
      <w:bookmarkEnd w:id="197"/>
      <w:bookmarkEnd w:id="198"/>
      <w:bookmarkEnd w:id="199"/>
      <w:bookmarkEnd w:id="200"/>
      <w:bookmarkEnd w:id="201"/>
      <w:bookmarkEnd w:id="202"/>
      <w:bookmarkEnd w:id="203"/>
      <w:bookmarkEnd w:id="204"/>
      <w:bookmarkEnd w:id="205"/>
      <w:bookmarkEnd w:id="206"/>
      <w:bookmarkEnd w:id="207"/>
      <w:bookmarkEnd w:id="208"/>
    </w:p>
    <w:tbl>
      <w:tblPr>
        <w:tblW w:w="9214"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2134"/>
        <w:gridCol w:w="5379"/>
        <w:gridCol w:w="1701"/>
      </w:tblGrid>
      <w:tr w:rsidR="00843DD8" w:rsidRPr="00566517" w14:paraId="4A6865DE" w14:textId="77777777" w:rsidTr="00843DD8">
        <w:trPr>
          <w:trHeight w:val="80"/>
          <w:tblHeader/>
        </w:trPr>
        <w:tc>
          <w:tcPr>
            <w:tcW w:w="2134" w:type="dxa"/>
            <w:shd w:val="clear" w:color="auto" w:fill="F2F2F2" w:themeFill="background1" w:themeFillShade="F2"/>
          </w:tcPr>
          <w:p w14:paraId="35B74BB4" w14:textId="77777777" w:rsidR="00843DD8" w:rsidRPr="00566517" w:rsidRDefault="00843DD8" w:rsidP="0096444B">
            <w:pPr>
              <w:rPr>
                <w:b/>
              </w:rPr>
            </w:pPr>
            <w:r w:rsidRPr="00566517">
              <w:rPr>
                <w:b/>
              </w:rPr>
              <w:t>Name</w:t>
            </w:r>
          </w:p>
        </w:tc>
        <w:tc>
          <w:tcPr>
            <w:tcW w:w="5379" w:type="dxa"/>
            <w:shd w:val="clear" w:color="auto" w:fill="F2F2F2" w:themeFill="background1" w:themeFillShade="F2"/>
          </w:tcPr>
          <w:p w14:paraId="53E01AC5" w14:textId="77777777" w:rsidR="00843DD8" w:rsidRPr="00566517" w:rsidRDefault="00843DD8" w:rsidP="0096444B">
            <w:pPr>
              <w:rPr>
                <w:b/>
              </w:rPr>
            </w:pPr>
            <w:r w:rsidRPr="00566517">
              <w:rPr>
                <w:b/>
              </w:rPr>
              <w:t>Role/Responsibility</w:t>
            </w:r>
          </w:p>
        </w:tc>
        <w:tc>
          <w:tcPr>
            <w:tcW w:w="1701" w:type="dxa"/>
            <w:shd w:val="clear" w:color="auto" w:fill="F2F2F2" w:themeFill="background1" w:themeFillShade="F2"/>
          </w:tcPr>
          <w:p w14:paraId="7A9893BB" w14:textId="77777777" w:rsidR="00843DD8" w:rsidRPr="00566517" w:rsidRDefault="00843DD8" w:rsidP="0096444B">
            <w:pPr>
              <w:rPr>
                <w:b/>
              </w:rPr>
            </w:pPr>
            <w:r w:rsidRPr="00566517">
              <w:rPr>
                <w:b/>
              </w:rPr>
              <w:t>Date</w:t>
            </w:r>
          </w:p>
        </w:tc>
      </w:tr>
      <w:tr w:rsidR="00843DD8" w:rsidRPr="00566517" w14:paraId="1239587C" w14:textId="77777777" w:rsidTr="00843DD8">
        <w:trPr>
          <w:trHeight w:val="636"/>
        </w:trPr>
        <w:tc>
          <w:tcPr>
            <w:tcW w:w="2134" w:type="dxa"/>
          </w:tcPr>
          <w:p w14:paraId="2218D5EF" w14:textId="77777777" w:rsidR="00843DD8" w:rsidRPr="00566517" w:rsidRDefault="00843DD8" w:rsidP="0096444B">
            <w:r>
              <w:t>Paul Frammingham</w:t>
            </w:r>
          </w:p>
        </w:tc>
        <w:tc>
          <w:tcPr>
            <w:tcW w:w="5379" w:type="dxa"/>
          </w:tcPr>
          <w:p w14:paraId="2DD3F4F6" w14:textId="77777777" w:rsidR="00843DD8" w:rsidRPr="00566517" w:rsidRDefault="00843DD8" w:rsidP="0096444B">
            <w:r>
              <w:t>Director of Finance &amp; Corporate Services (SIRO)</w:t>
            </w:r>
          </w:p>
        </w:tc>
        <w:tc>
          <w:tcPr>
            <w:tcW w:w="1701" w:type="dxa"/>
          </w:tcPr>
          <w:p w14:paraId="5E6CE27A" w14:textId="0AA6C41A" w:rsidR="00843DD8" w:rsidRPr="00566517" w:rsidRDefault="00843DD8" w:rsidP="00843DD8">
            <w:r>
              <w:t>12 Sep 2016</w:t>
            </w:r>
          </w:p>
        </w:tc>
      </w:tr>
    </w:tbl>
    <w:p w14:paraId="3D0451AF" w14:textId="77777777" w:rsidR="0096444B" w:rsidRPr="004E50B7" w:rsidRDefault="0096444B" w:rsidP="0096444B">
      <w:pPr>
        <w:pStyle w:val="Heading2"/>
      </w:pPr>
      <w:bookmarkStart w:id="209" w:name="_Toc357781732"/>
      <w:bookmarkStart w:id="210" w:name="_Toc357781848"/>
      <w:bookmarkStart w:id="211" w:name="_Toc358104922"/>
      <w:bookmarkStart w:id="212" w:name="_Toc359331738"/>
      <w:bookmarkStart w:id="213" w:name="_Toc384904835"/>
      <w:bookmarkStart w:id="214" w:name="_Toc384993066"/>
      <w:bookmarkStart w:id="215" w:name="_Toc384993318"/>
      <w:bookmarkStart w:id="216" w:name="_Toc384994750"/>
      <w:bookmarkStart w:id="217" w:name="_Toc384995244"/>
      <w:bookmarkStart w:id="218" w:name="_Toc385431858"/>
      <w:bookmarkStart w:id="219" w:name="_Toc385491961"/>
      <w:bookmarkStart w:id="220" w:name="_Toc451522777"/>
      <w:r>
        <w:t>Reviewed By:</w:t>
      </w:r>
      <w:bookmarkEnd w:id="209"/>
      <w:bookmarkEnd w:id="210"/>
      <w:bookmarkEnd w:id="211"/>
      <w:bookmarkEnd w:id="212"/>
      <w:bookmarkEnd w:id="213"/>
      <w:bookmarkEnd w:id="214"/>
      <w:bookmarkEnd w:id="215"/>
      <w:bookmarkEnd w:id="216"/>
      <w:bookmarkEnd w:id="217"/>
      <w:bookmarkEnd w:id="218"/>
      <w:bookmarkEnd w:id="219"/>
      <w:bookmarkEnd w:id="220"/>
    </w:p>
    <w:tbl>
      <w:tblPr>
        <w:tblW w:w="9214"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2134"/>
        <w:gridCol w:w="5379"/>
        <w:gridCol w:w="1701"/>
      </w:tblGrid>
      <w:tr w:rsidR="00843DD8" w:rsidRPr="00566517" w14:paraId="1E3BF2A3" w14:textId="77777777" w:rsidTr="00843DD8">
        <w:trPr>
          <w:trHeight w:val="80"/>
          <w:tblHeader/>
        </w:trPr>
        <w:tc>
          <w:tcPr>
            <w:tcW w:w="2134" w:type="dxa"/>
            <w:shd w:val="clear" w:color="auto" w:fill="F2F2F2" w:themeFill="background1" w:themeFillShade="F2"/>
          </w:tcPr>
          <w:p w14:paraId="69BE68BC" w14:textId="77777777" w:rsidR="00843DD8" w:rsidRPr="00566517" w:rsidRDefault="00843DD8" w:rsidP="0096444B">
            <w:pPr>
              <w:rPr>
                <w:b/>
              </w:rPr>
            </w:pPr>
            <w:r w:rsidRPr="00566517">
              <w:rPr>
                <w:b/>
              </w:rPr>
              <w:t>Name</w:t>
            </w:r>
          </w:p>
        </w:tc>
        <w:tc>
          <w:tcPr>
            <w:tcW w:w="5379" w:type="dxa"/>
            <w:shd w:val="clear" w:color="auto" w:fill="F2F2F2" w:themeFill="background1" w:themeFillShade="F2"/>
          </w:tcPr>
          <w:p w14:paraId="48C4DD0C" w14:textId="77777777" w:rsidR="00843DD8" w:rsidRPr="00566517" w:rsidRDefault="00843DD8" w:rsidP="0096444B">
            <w:pPr>
              <w:rPr>
                <w:b/>
              </w:rPr>
            </w:pPr>
            <w:r w:rsidRPr="00566517">
              <w:rPr>
                <w:b/>
              </w:rPr>
              <w:t>Role/Responsibility</w:t>
            </w:r>
          </w:p>
        </w:tc>
        <w:tc>
          <w:tcPr>
            <w:tcW w:w="1701" w:type="dxa"/>
            <w:shd w:val="clear" w:color="auto" w:fill="F2F2F2" w:themeFill="background1" w:themeFillShade="F2"/>
          </w:tcPr>
          <w:p w14:paraId="78638D98" w14:textId="77777777" w:rsidR="00843DD8" w:rsidRPr="00566517" w:rsidRDefault="00843DD8" w:rsidP="0096444B">
            <w:pPr>
              <w:rPr>
                <w:b/>
              </w:rPr>
            </w:pPr>
            <w:r w:rsidRPr="00566517">
              <w:rPr>
                <w:b/>
              </w:rPr>
              <w:t>Date</w:t>
            </w:r>
          </w:p>
        </w:tc>
      </w:tr>
      <w:tr w:rsidR="00843DD8" w:rsidRPr="00566517" w14:paraId="1DC06993" w14:textId="77777777" w:rsidTr="00843DD8">
        <w:trPr>
          <w:trHeight w:val="696"/>
        </w:trPr>
        <w:tc>
          <w:tcPr>
            <w:tcW w:w="2134" w:type="dxa"/>
          </w:tcPr>
          <w:p w14:paraId="7CD818C6" w14:textId="77777777" w:rsidR="00843DD8" w:rsidRPr="00566517" w:rsidRDefault="00843DD8" w:rsidP="0096444B">
            <w:r>
              <w:t>Matthew Thorpe</w:t>
            </w:r>
          </w:p>
        </w:tc>
        <w:tc>
          <w:tcPr>
            <w:tcW w:w="5379" w:type="dxa"/>
          </w:tcPr>
          <w:p w14:paraId="093B61AA" w14:textId="77777777" w:rsidR="00843DD8" w:rsidRPr="00566517" w:rsidRDefault="00843DD8" w:rsidP="0096444B">
            <w:r>
              <w:t>Head of ICT</w:t>
            </w:r>
          </w:p>
        </w:tc>
        <w:tc>
          <w:tcPr>
            <w:tcW w:w="1701" w:type="dxa"/>
          </w:tcPr>
          <w:p w14:paraId="16AD9F2E" w14:textId="121F6935" w:rsidR="00843DD8" w:rsidRPr="00566517" w:rsidRDefault="00843DD8" w:rsidP="0096444B">
            <w:r>
              <w:t>12 Sep 2016</w:t>
            </w:r>
          </w:p>
        </w:tc>
      </w:tr>
      <w:tr w:rsidR="00843DD8" w:rsidRPr="00566517" w14:paraId="1100385F" w14:textId="77777777" w:rsidTr="00843DD8">
        <w:trPr>
          <w:trHeight w:val="722"/>
        </w:trPr>
        <w:tc>
          <w:tcPr>
            <w:tcW w:w="2134" w:type="dxa"/>
          </w:tcPr>
          <w:p w14:paraId="799EF947" w14:textId="77777777" w:rsidR="00843DD8" w:rsidRPr="00566517" w:rsidRDefault="00843DD8" w:rsidP="0096444B">
            <w:r>
              <w:t>Dan Whitt</w:t>
            </w:r>
          </w:p>
        </w:tc>
        <w:tc>
          <w:tcPr>
            <w:tcW w:w="5379" w:type="dxa"/>
          </w:tcPr>
          <w:p w14:paraId="62CE0091" w14:textId="77777777" w:rsidR="00843DD8" w:rsidRPr="00566517" w:rsidRDefault="00843DD8" w:rsidP="0096444B">
            <w:r>
              <w:t>Senior ICT Manager</w:t>
            </w:r>
          </w:p>
        </w:tc>
        <w:tc>
          <w:tcPr>
            <w:tcW w:w="1701" w:type="dxa"/>
          </w:tcPr>
          <w:p w14:paraId="45B3779A" w14:textId="47175B1C" w:rsidR="00843DD8" w:rsidRPr="0088301C" w:rsidRDefault="00843DD8" w:rsidP="0096444B">
            <w:r>
              <w:t>12 Sep 2016</w:t>
            </w:r>
          </w:p>
        </w:tc>
      </w:tr>
    </w:tbl>
    <w:p w14:paraId="507F5DCA" w14:textId="77777777" w:rsidR="0096444B" w:rsidRDefault="0096444B" w:rsidP="0096444B">
      <w:pPr>
        <w:pStyle w:val="Heading2"/>
      </w:pPr>
      <w:bookmarkStart w:id="221" w:name="_Toc357781733"/>
      <w:bookmarkStart w:id="222" w:name="_Toc357781849"/>
      <w:bookmarkStart w:id="223" w:name="_Toc358104923"/>
      <w:bookmarkStart w:id="224" w:name="_Toc359331739"/>
      <w:bookmarkStart w:id="225" w:name="_Toc384904836"/>
      <w:bookmarkStart w:id="226" w:name="_Toc384993067"/>
      <w:bookmarkStart w:id="227" w:name="_Toc384993319"/>
      <w:bookmarkStart w:id="228" w:name="_Toc384994751"/>
      <w:bookmarkStart w:id="229" w:name="_Toc384995245"/>
      <w:bookmarkStart w:id="230" w:name="_Toc385431859"/>
      <w:bookmarkStart w:id="231" w:name="_Toc385491962"/>
      <w:bookmarkStart w:id="232" w:name="_Toc451522778"/>
      <w:r>
        <w:t>Document Authors:</w:t>
      </w:r>
      <w:bookmarkEnd w:id="221"/>
      <w:bookmarkEnd w:id="222"/>
      <w:bookmarkEnd w:id="223"/>
      <w:bookmarkEnd w:id="224"/>
      <w:bookmarkEnd w:id="225"/>
      <w:bookmarkEnd w:id="226"/>
      <w:bookmarkEnd w:id="227"/>
      <w:bookmarkEnd w:id="228"/>
      <w:bookmarkEnd w:id="229"/>
      <w:bookmarkEnd w:id="230"/>
      <w:bookmarkEnd w:id="231"/>
      <w:bookmarkEnd w:id="232"/>
    </w:p>
    <w:tbl>
      <w:tblPr>
        <w:tblW w:w="9214"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2134"/>
        <w:gridCol w:w="5379"/>
        <w:gridCol w:w="1701"/>
      </w:tblGrid>
      <w:tr w:rsidR="00843DD8" w:rsidRPr="00811188" w14:paraId="53438B01" w14:textId="77777777" w:rsidTr="00843DD8">
        <w:trPr>
          <w:trHeight w:val="80"/>
          <w:tblHeader/>
        </w:trPr>
        <w:tc>
          <w:tcPr>
            <w:tcW w:w="2134" w:type="dxa"/>
            <w:shd w:val="clear" w:color="auto" w:fill="F2F2F2" w:themeFill="background1" w:themeFillShade="F2"/>
          </w:tcPr>
          <w:p w14:paraId="413E00F3" w14:textId="77777777" w:rsidR="00843DD8" w:rsidRPr="00811188" w:rsidRDefault="00843DD8" w:rsidP="0096444B">
            <w:pPr>
              <w:rPr>
                <w:b/>
              </w:rPr>
            </w:pPr>
            <w:r w:rsidRPr="00811188">
              <w:rPr>
                <w:b/>
              </w:rPr>
              <w:t>Name</w:t>
            </w:r>
          </w:p>
        </w:tc>
        <w:tc>
          <w:tcPr>
            <w:tcW w:w="5379" w:type="dxa"/>
            <w:shd w:val="clear" w:color="auto" w:fill="F2F2F2" w:themeFill="background1" w:themeFillShade="F2"/>
          </w:tcPr>
          <w:p w14:paraId="02B739B5" w14:textId="77777777" w:rsidR="00843DD8" w:rsidRPr="00811188" w:rsidRDefault="00843DD8" w:rsidP="0096444B">
            <w:pPr>
              <w:rPr>
                <w:b/>
              </w:rPr>
            </w:pPr>
            <w:r w:rsidRPr="00811188">
              <w:rPr>
                <w:b/>
              </w:rPr>
              <w:t>Role/Responsibility</w:t>
            </w:r>
          </w:p>
        </w:tc>
        <w:tc>
          <w:tcPr>
            <w:tcW w:w="1701" w:type="dxa"/>
            <w:shd w:val="clear" w:color="auto" w:fill="F2F2F2" w:themeFill="background1" w:themeFillShade="F2"/>
          </w:tcPr>
          <w:p w14:paraId="4D29AFA1" w14:textId="77777777" w:rsidR="00843DD8" w:rsidRPr="0088301C" w:rsidRDefault="00843DD8" w:rsidP="0096444B">
            <w:pPr>
              <w:rPr>
                <w:b/>
              </w:rPr>
            </w:pPr>
            <w:r w:rsidRPr="0088301C">
              <w:rPr>
                <w:b/>
              </w:rPr>
              <w:t>Date</w:t>
            </w:r>
          </w:p>
        </w:tc>
      </w:tr>
      <w:tr w:rsidR="00843DD8" w:rsidRPr="00C261F6" w14:paraId="21F8528F" w14:textId="77777777" w:rsidTr="00843DD8">
        <w:trPr>
          <w:trHeight w:val="696"/>
        </w:trPr>
        <w:tc>
          <w:tcPr>
            <w:tcW w:w="2134" w:type="dxa"/>
          </w:tcPr>
          <w:p w14:paraId="2162BBE5" w14:textId="35FCF351" w:rsidR="00843DD8" w:rsidRDefault="00843DD8" w:rsidP="0096444B">
            <w:r>
              <w:t>Ragnar Karlsson</w:t>
            </w:r>
          </w:p>
        </w:tc>
        <w:tc>
          <w:tcPr>
            <w:tcW w:w="5379" w:type="dxa"/>
          </w:tcPr>
          <w:p w14:paraId="63CF1396" w14:textId="440F3342" w:rsidR="00843DD8" w:rsidRDefault="00843DD8" w:rsidP="0096444B">
            <w:r>
              <w:t>Information Assurance &amp; Business Continuity Manager</w:t>
            </w:r>
          </w:p>
        </w:tc>
        <w:tc>
          <w:tcPr>
            <w:tcW w:w="1701" w:type="dxa"/>
          </w:tcPr>
          <w:p w14:paraId="1A2F41B4" w14:textId="162E33BC" w:rsidR="00843DD8" w:rsidRDefault="00843DD8" w:rsidP="00843DD8">
            <w:r>
              <w:t>12 Sep 2016</w:t>
            </w:r>
          </w:p>
        </w:tc>
      </w:tr>
    </w:tbl>
    <w:p w14:paraId="5079A3A8" w14:textId="77777777" w:rsidR="0096444B" w:rsidRDefault="0096444B" w:rsidP="0096444B">
      <w:pPr>
        <w:pStyle w:val="Heading2"/>
        <w:tabs>
          <w:tab w:val="left" w:pos="2745"/>
        </w:tabs>
      </w:pPr>
      <w:bookmarkStart w:id="233" w:name="_Toc357781734"/>
      <w:bookmarkStart w:id="234" w:name="_Toc357781850"/>
      <w:bookmarkStart w:id="235" w:name="_Toc358104924"/>
      <w:bookmarkStart w:id="236" w:name="_Toc359331740"/>
      <w:bookmarkStart w:id="237" w:name="_Toc384904837"/>
      <w:bookmarkStart w:id="238" w:name="_Toc384993068"/>
      <w:bookmarkStart w:id="239" w:name="_Toc384993320"/>
      <w:bookmarkStart w:id="240" w:name="_Toc384994752"/>
      <w:bookmarkStart w:id="241" w:name="_Toc384995246"/>
      <w:bookmarkStart w:id="242" w:name="_Toc385431860"/>
      <w:bookmarkStart w:id="243" w:name="_Toc385491963"/>
      <w:bookmarkStart w:id="244" w:name="_Toc451522779"/>
      <w:r>
        <w:t>Change History:</w:t>
      </w:r>
      <w:bookmarkEnd w:id="233"/>
      <w:bookmarkEnd w:id="234"/>
      <w:bookmarkEnd w:id="235"/>
      <w:bookmarkEnd w:id="236"/>
      <w:bookmarkEnd w:id="237"/>
      <w:bookmarkEnd w:id="238"/>
      <w:bookmarkEnd w:id="239"/>
      <w:bookmarkEnd w:id="240"/>
      <w:bookmarkEnd w:id="241"/>
      <w:bookmarkEnd w:id="242"/>
      <w:bookmarkEnd w:id="243"/>
      <w:bookmarkEnd w:id="244"/>
    </w:p>
    <w:tbl>
      <w:tblPr>
        <w:tblW w:w="9214"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2050"/>
        <w:gridCol w:w="4329"/>
        <w:gridCol w:w="1134"/>
        <w:gridCol w:w="1701"/>
      </w:tblGrid>
      <w:tr w:rsidR="0096444B" w:rsidRPr="00811188" w14:paraId="00D618D9" w14:textId="77777777" w:rsidTr="00843DD8">
        <w:trPr>
          <w:trHeight w:val="80"/>
          <w:tblHeader/>
        </w:trPr>
        <w:tc>
          <w:tcPr>
            <w:tcW w:w="2050" w:type="dxa"/>
            <w:shd w:val="clear" w:color="auto" w:fill="F2F2F2" w:themeFill="background1" w:themeFillShade="F2"/>
          </w:tcPr>
          <w:p w14:paraId="65883B3F" w14:textId="77777777" w:rsidR="0096444B" w:rsidRPr="00811188" w:rsidRDefault="0096444B" w:rsidP="0096444B">
            <w:pPr>
              <w:rPr>
                <w:b/>
              </w:rPr>
            </w:pPr>
            <w:r>
              <w:rPr>
                <w:b/>
              </w:rPr>
              <w:t>Author(s)</w:t>
            </w:r>
          </w:p>
        </w:tc>
        <w:tc>
          <w:tcPr>
            <w:tcW w:w="4329" w:type="dxa"/>
            <w:shd w:val="clear" w:color="auto" w:fill="F2F2F2" w:themeFill="background1" w:themeFillShade="F2"/>
          </w:tcPr>
          <w:p w14:paraId="3655CA36" w14:textId="77777777" w:rsidR="0096444B" w:rsidRPr="00811188" w:rsidRDefault="0096444B" w:rsidP="0096444B">
            <w:pPr>
              <w:rPr>
                <w:b/>
              </w:rPr>
            </w:pPr>
            <w:r>
              <w:rPr>
                <w:b/>
              </w:rPr>
              <w:t>Change Commentary</w:t>
            </w:r>
          </w:p>
        </w:tc>
        <w:tc>
          <w:tcPr>
            <w:tcW w:w="1134" w:type="dxa"/>
            <w:shd w:val="clear" w:color="auto" w:fill="F2F2F2" w:themeFill="background1" w:themeFillShade="F2"/>
          </w:tcPr>
          <w:p w14:paraId="143B49CB" w14:textId="77777777" w:rsidR="0096444B" w:rsidRPr="00811188" w:rsidRDefault="0096444B" w:rsidP="0096444B">
            <w:pPr>
              <w:rPr>
                <w:b/>
              </w:rPr>
            </w:pPr>
            <w:r w:rsidRPr="00811188">
              <w:rPr>
                <w:b/>
              </w:rPr>
              <w:t>Version</w:t>
            </w:r>
          </w:p>
        </w:tc>
        <w:tc>
          <w:tcPr>
            <w:tcW w:w="1701" w:type="dxa"/>
            <w:shd w:val="clear" w:color="auto" w:fill="F2F2F2" w:themeFill="background1" w:themeFillShade="F2"/>
          </w:tcPr>
          <w:p w14:paraId="418AB1DC" w14:textId="77777777" w:rsidR="0096444B" w:rsidRPr="0088301C" w:rsidRDefault="0096444B" w:rsidP="0096444B">
            <w:pPr>
              <w:rPr>
                <w:b/>
              </w:rPr>
            </w:pPr>
            <w:r w:rsidRPr="0088301C">
              <w:rPr>
                <w:b/>
              </w:rPr>
              <w:t>Date</w:t>
            </w:r>
          </w:p>
        </w:tc>
      </w:tr>
      <w:tr w:rsidR="00843DD8" w:rsidRPr="00C261F6" w14:paraId="43006EC8" w14:textId="77777777" w:rsidTr="00843DD8">
        <w:trPr>
          <w:trHeight w:val="80"/>
        </w:trPr>
        <w:tc>
          <w:tcPr>
            <w:tcW w:w="2050" w:type="dxa"/>
          </w:tcPr>
          <w:p w14:paraId="702363C4" w14:textId="4E15E3DB" w:rsidR="00843DD8" w:rsidRDefault="00843DD8" w:rsidP="0096444B">
            <w:r>
              <w:t>Ragnar Karlsson</w:t>
            </w:r>
          </w:p>
        </w:tc>
        <w:tc>
          <w:tcPr>
            <w:tcW w:w="4329" w:type="dxa"/>
          </w:tcPr>
          <w:p w14:paraId="18B73A03" w14:textId="0E776FE9" w:rsidR="00843DD8" w:rsidRDefault="00843DD8" w:rsidP="0096444B">
            <w:r>
              <w:t xml:space="preserve">Final version agreed for sign-off by </w:t>
            </w:r>
            <w:r>
              <w:lastRenderedPageBreak/>
              <w:t>Audit Committee</w:t>
            </w:r>
          </w:p>
        </w:tc>
        <w:tc>
          <w:tcPr>
            <w:tcW w:w="1134" w:type="dxa"/>
          </w:tcPr>
          <w:p w14:paraId="48393678" w14:textId="60A4EA92" w:rsidR="00843DD8" w:rsidRDefault="00843DD8" w:rsidP="0096444B">
            <w:r>
              <w:lastRenderedPageBreak/>
              <w:t>3.3</w:t>
            </w:r>
          </w:p>
        </w:tc>
        <w:tc>
          <w:tcPr>
            <w:tcW w:w="1701" w:type="dxa"/>
          </w:tcPr>
          <w:p w14:paraId="55EB67F8" w14:textId="596335DA" w:rsidR="00843DD8" w:rsidRDefault="00843DD8" w:rsidP="00843DD8">
            <w:r>
              <w:t>12 Sep 2016</w:t>
            </w:r>
          </w:p>
        </w:tc>
      </w:tr>
      <w:tr w:rsidR="00843DD8" w:rsidRPr="00C261F6" w14:paraId="1DA496B7" w14:textId="77777777" w:rsidTr="00843DD8">
        <w:trPr>
          <w:trHeight w:val="80"/>
        </w:trPr>
        <w:tc>
          <w:tcPr>
            <w:tcW w:w="2050" w:type="dxa"/>
          </w:tcPr>
          <w:p w14:paraId="31DCF2CF" w14:textId="6BDBFDE7" w:rsidR="00843DD8" w:rsidRDefault="00843DD8" w:rsidP="0096444B">
            <w:r>
              <w:t>Ragnar Karlsson</w:t>
            </w:r>
          </w:p>
        </w:tc>
        <w:tc>
          <w:tcPr>
            <w:tcW w:w="4329" w:type="dxa"/>
          </w:tcPr>
          <w:p w14:paraId="045BB689" w14:textId="71A88565" w:rsidR="00843DD8" w:rsidRDefault="00843DD8" w:rsidP="0096444B">
            <w:r>
              <w:t>Minor edits to ensure currency.</w:t>
            </w:r>
          </w:p>
        </w:tc>
        <w:tc>
          <w:tcPr>
            <w:tcW w:w="1134" w:type="dxa"/>
          </w:tcPr>
          <w:p w14:paraId="4D76563F" w14:textId="02A6D8C2" w:rsidR="00843DD8" w:rsidRDefault="00843DD8" w:rsidP="00843DD8">
            <w:r>
              <w:t xml:space="preserve">3.2 </w:t>
            </w:r>
          </w:p>
        </w:tc>
        <w:tc>
          <w:tcPr>
            <w:tcW w:w="1701" w:type="dxa"/>
          </w:tcPr>
          <w:p w14:paraId="4FD79CBB" w14:textId="01B603CF" w:rsidR="00843DD8" w:rsidRDefault="00843DD8" w:rsidP="00843DD8">
            <w:r>
              <w:t>18 Jul 2016</w:t>
            </w:r>
          </w:p>
        </w:tc>
      </w:tr>
      <w:tr w:rsidR="00843DD8" w:rsidRPr="00C261F6" w14:paraId="1562EC14" w14:textId="77777777" w:rsidTr="00843DD8">
        <w:trPr>
          <w:trHeight w:val="80"/>
        </w:trPr>
        <w:tc>
          <w:tcPr>
            <w:tcW w:w="2050" w:type="dxa"/>
          </w:tcPr>
          <w:p w14:paraId="3083DABB" w14:textId="609970FF" w:rsidR="00843DD8" w:rsidRPr="00C261F6" w:rsidRDefault="00843DD8" w:rsidP="0096444B">
            <w:r>
              <w:t>Ragnar Karlsson</w:t>
            </w:r>
          </w:p>
        </w:tc>
        <w:tc>
          <w:tcPr>
            <w:tcW w:w="4329" w:type="dxa"/>
          </w:tcPr>
          <w:p w14:paraId="4D6AFD9E" w14:textId="7990CEB5" w:rsidR="00843DD8" w:rsidRPr="00C261F6" w:rsidRDefault="00843DD8" w:rsidP="0096444B">
            <w:r>
              <w:t>Updated to refresh current training requirements and add include links to risk management and disciplinary actions</w:t>
            </w:r>
          </w:p>
        </w:tc>
        <w:tc>
          <w:tcPr>
            <w:tcW w:w="1134" w:type="dxa"/>
          </w:tcPr>
          <w:p w14:paraId="1C9078E5" w14:textId="55D645BE" w:rsidR="00843DD8" w:rsidRPr="00C261F6" w:rsidRDefault="00843DD8" w:rsidP="00843DD8">
            <w:r>
              <w:t>3.1</w:t>
            </w:r>
            <w:r>
              <w:br/>
            </w:r>
          </w:p>
        </w:tc>
        <w:tc>
          <w:tcPr>
            <w:tcW w:w="1701" w:type="dxa"/>
          </w:tcPr>
          <w:p w14:paraId="6D7AA6EE" w14:textId="7BDE55E3" w:rsidR="00843DD8" w:rsidRPr="0088301C" w:rsidRDefault="00843DD8" w:rsidP="00843DD8">
            <w:r>
              <w:t>20 May 2016</w:t>
            </w:r>
          </w:p>
        </w:tc>
      </w:tr>
      <w:tr w:rsidR="00843DD8" w:rsidRPr="00C261F6" w14:paraId="09A9F17A" w14:textId="77777777" w:rsidTr="00843DD8">
        <w:trPr>
          <w:trHeight w:val="80"/>
        </w:trPr>
        <w:tc>
          <w:tcPr>
            <w:tcW w:w="2050" w:type="dxa"/>
          </w:tcPr>
          <w:p w14:paraId="0F07793C" w14:textId="29D1018B" w:rsidR="00843DD8" w:rsidRPr="00C261F6" w:rsidRDefault="00843DD8" w:rsidP="0096444B">
            <w:r>
              <w:t>Dan Whitt</w:t>
            </w:r>
          </w:p>
        </w:tc>
        <w:tc>
          <w:tcPr>
            <w:tcW w:w="4329" w:type="dxa"/>
          </w:tcPr>
          <w:p w14:paraId="2CC2AE97" w14:textId="52350CE8" w:rsidR="00843DD8" w:rsidRPr="00C261F6" w:rsidRDefault="00843DD8" w:rsidP="0096444B">
            <w:r>
              <w:t>Circulated for Audit Committee review of currency and signoff</w:t>
            </w:r>
          </w:p>
        </w:tc>
        <w:tc>
          <w:tcPr>
            <w:tcW w:w="1134" w:type="dxa"/>
          </w:tcPr>
          <w:p w14:paraId="43B0AEBF" w14:textId="183E7DDE" w:rsidR="00843DD8" w:rsidRPr="00C261F6" w:rsidRDefault="00843DD8" w:rsidP="00843DD8">
            <w:r>
              <w:t xml:space="preserve">3.0 </w:t>
            </w:r>
          </w:p>
        </w:tc>
        <w:tc>
          <w:tcPr>
            <w:tcW w:w="1701" w:type="dxa"/>
          </w:tcPr>
          <w:p w14:paraId="6C2CB1B2" w14:textId="39C9A11A" w:rsidR="00843DD8" w:rsidRPr="0088301C" w:rsidRDefault="00843DD8" w:rsidP="00843DD8">
            <w:r>
              <w:t>10 Aug 2015</w:t>
            </w:r>
          </w:p>
        </w:tc>
      </w:tr>
      <w:tr w:rsidR="00843DD8" w:rsidRPr="00C261F6" w14:paraId="3001C13F" w14:textId="77777777" w:rsidTr="00843DD8">
        <w:trPr>
          <w:trHeight w:val="80"/>
        </w:trPr>
        <w:tc>
          <w:tcPr>
            <w:tcW w:w="2050" w:type="dxa"/>
          </w:tcPr>
          <w:p w14:paraId="57A199E1" w14:textId="261D1E7E" w:rsidR="00843DD8" w:rsidRPr="00C261F6" w:rsidRDefault="00843DD8" w:rsidP="0096444B">
            <w:r>
              <w:t>Dan Whitt</w:t>
            </w:r>
          </w:p>
        </w:tc>
        <w:tc>
          <w:tcPr>
            <w:tcW w:w="4329" w:type="dxa"/>
          </w:tcPr>
          <w:p w14:paraId="6D992E4B" w14:textId="46278298" w:rsidR="00843DD8" w:rsidRPr="00C261F6" w:rsidRDefault="00843DD8" w:rsidP="0096444B">
            <w:r>
              <w:t xml:space="preserve">Updated version circulated for Audit Committee signoff </w:t>
            </w:r>
          </w:p>
        </w:tc>
        <w:tc>
          <w:tcPr>
            <w:tcW w:w="1134" w:type="dxa"/>
          </w:tcPr>
          <w:p w14:paraId="2891E01E" w14:textId="306F7116" w:rsidR="00843DD8" w:rsidRPr="00C261F6" w:rsidRDefault="00843DD8" w:rsidP="00843DD8">
            <w:r>
              <w:t>3.0</w:t>
            </w:r>
            <w:r>
              <w:br/>
            </w:r>
          </w:p>
        </w:tc>
        <w:tc>
          <w:tcPr>
            <w:tcW w:w="1701" w:type="dxa"/>
          </w:tcPr>
          <w:p w14:paraId="7F4FB5E3" w14:textId="7C871B68" w:rsidR="00843DD8" w:rsidRPr="0088301C" w:rsidRDefault="00843DD8" w:rsidP="00843DD8">
            <w:r>
              <w:t>09 Apr 2014</w:t>
            </w:r>
          </w:p>
        </w:tc>
      </w:tr>
      <w:tr w:rsidR="00843DD8" w:rsidRPr="00C261F6" w14:paraId="31D21CD6" w14:textId="77777777" w:rsidTr="00843DD8">
        <w:trPr>
          <w:trHeight w:val="80"/>
        </w:trPr>
        <w:tc>
          <w:tcPr>
            <w:tcW w:w="2050" w:type="dxa"/>
          </w:tcPr>
          <w:p w14:paraId="4E5F6A6C" w14:textId="77777777" w:rsidR="00843DD8" w:rsidRDefault="00843DD8" w:rsidP="0096444B">
            <w:r>
              <w:t xml:space="preserve">Dan Whitt, </w:t>
            </w:r>
            <w:r>
              <w:br/>
              <w:t>Anita Jones</w:t>
            </w:r>
          </w:p>
        </w:tc>
        <w:tc>
          <w:tcPr>
            <w:tcW w:w="4329" w:type="dxa"/>
          </w:tcPr>
          <w:p w14:paraId="3D829796" w14:textId="77777777" w:rsidR="00843DD8" w:rsidRDefault="00843DD8" w:rsidP="0096444B">
            <w:r>
              <w:t>Updated in line with revised government security classifications effective</w:t>
            </w:r>
            <w:r>
              <w:rPr>
                <w:vertAlign w:val="superscript"/>
              </w:rPr>
              <w:t xml:space="preserve"> </w:t>
            </w:r>
            <w:r>
              <w:t>2</w:t>
            </w:r>
            <w:r w:rsidRPr="00D61771">
              <w:rPr>
                <w:vertAlign w:val="superscript"/>
              </w:rPr>
              <w:t>nd</w:t>
            </w:r>
            <w:r>
              <w:t xml:space="preserve">  April 2014</w:t>
            </w:r>
          </w:p>
        </w:tc>
        <w:tc>
          <w:tcPr>
            <w:tcW w:w="1134" w:type="dxa"/>
          </w:tcPr>
          <w:p w14:paraId="55FE33FA" w14:textId="3E521EC0" w:rsidR="00843DD8" w:rsidRDefault="00843DD8" w:rsidP="00843DD8">
            <w:r>
              <w:t>2.1</w:t>
            </w:r>
            <w:r>
              <w:br/>
            </w:r>
          </w:p>
        </w:tc>
        <w:tc>
          <w:tcPr>
            <w:tcW w:w="1701" w:type="dxa"/>
          </w:tcPr>
          <w:p w14:paraId="141CD989" w14:textId="14C36677" w:rsidR="00843DD8" w:rsidRDefault="00843DD8" w:rsidP="00843DD8">
            <w:r>
              <w:t>24 Mar 2014</w:t>
            </w:r>
          </w:p>
        </w:tc>
      </w:tr>
      <w:tr w:rsidR="00843DD8" w:rsidRPr="00C261F6" w14:paraId="61B86D9D" w14:textId="77777777" w:rsidTr="00843DD8">
        <w:trPr>
          <w:trHeight w:val="80"/>
        </w:trPr>
        <w:tc>
          <w:tcPr>
            <w:tcW w:w="2050" w:type="dxa"/>
          </w:tcPr>
          <w:p w14:paraId="20E5C838" w14:textId="54C113BB" w:rsidR="00843DD8" w:rsidRDefault="00843DD8" w:rsidP="0096444B">
            <w:r>
              <w:t>Dan Whitt</w:t>
            </w:r>
          </w:p>
        </w:tc>
        <w:tc>
          <w:tcPr>
            <w:tcW w:w="4329" w:type="dxa"/>
          </w:tcPr>
          <w:p w14:paraId="2A3ED88C" w14:textId="0E1ED22A" w:rsidR="00843DD8" w:rsidRDefault="00843DD8" w:rsidP="0096444B">
            <w:r>
              <w:t>2013 revisions and stakeholder feedback incorporated.</w:t>
            </w:r>
          </w:p>
        </w:tc>
        <w:tc>
          <w:tcPr>
            <w:tcW w:w="1134" w:type="dxa"/>
          </w:tcPr>
          <w:p w14:paraId="48064248" w14:textId="6F7289B5" w:rsidR="00843DD8" w:rsidRDefault="00843DD8" w:rsidP="00843DD8">
            <w:r>
              <w:t xml:space="preserve">2.0 </w:t>
            </w:r>
          </w:p>
        </w:tc>
        <w:tc>
          <w:tcPr>
            <w:tcW w:w="1701" w:type="dxa"/>
          </w:tcPr>
          <w:p w14:paraId="3329B2AD" w14:textId="4A47ABB7" w:rsidR="00843DD8" w:rsidRDefault="00843DD8" w:rsidP="00843DD8">
            <w:r>
              <w:t>04 Jun 2013</w:t>
            </w:r>
          </w:p>
        </w:tc>
      </w:tr>
      <w:tr w:rsidR="00843DD8" w:rsidRPr="00C261F6" w14:paraId="771CD0C6" w14:textId="77777777" w:rsidTr="00843DD8">
        <w:trPr>
          <w:trHeight w:val="80"/>
        </w:trPr>
        <w:tc>
          <w:tcPr>
            <w:tcW w:w="2050" w:type="dxa"/>
          </w:tcPr>
          <w:p w14:paraId="7B5206E9" w14:textId="2826A286" w:rsidR="00843DD8" w:rsidRDefault="00843DD8" w:rsidP="0096444B">
            <w:r>
              <w:t>Dan Whitt</w:t>
            </w:r>
          </w:p>
        </w:tc>
        <w:tc>
          <w:tcPr>
            <w:tcW w:w="4329" w:type="dxa"/>
          </w:tcPr>
          <w:p w14:paraId="14E0018C" w14:textId="6D35A620" w:rsidR="00843DD8" w:rsidRDefault="00843DD8" w:rsidP="0096444B">
            <w:r>
              <w:t>2013 revisions and stakeholder and Audit Committee review.</w:t>
            </w:r>
          </w:p>
        </w:tc>
        <w:tc>
          <w:tcPr>
            <w:tcW w:w="1134" w:type="dxa"/>
          </w:tcPr>
          <w:p w14:paraId="70A816B9" w14:textId="1819DC6B" w:rsidR="00843DD8" w:rsidRDefault="00843DD8" w:rsidP="00843DD8">
            <w:r>
              <w:t xml:space="preserve">1.1 </w:t>
            </w:r>
            <w:r>
              <w:br/>
            </w:r>
          </w:p>
        </w:tc>
        <w:tc>
          <w:tcPr>
            <w:tcW w:w="1701" w:type="dxa"/>
          </w:tcPr>
          <w:p w14:paraId="7B7CA041" w14:textId="4614528F" w:rsidR="00843DD8" w:rsidRDefault="00843DD8" w:rsidP="00843DD8">
            <w:r>
              <w:t>03 Jun 2013</w:t>
            </w:r>
          </w:p>
        </w:tc>
      </w:tr>
      <w:tr w:rsidR="00843DD8" w:rsidRPr="00C261F6" w14:paraId="4CE06850" w14:textId="77777777" w:rsidTr="00843DD8">
        <w:trPr>
          <w:trHeight w:val="80"/>
        </w:trPr>
        <w:tc>
          <w:tcPr>
            <w:tcW w:w="2050" w:type="dxa"/>
          </w:tcPr>
          <w:p w14:paraId="68524777" w14:textId="09C49C06" w:rsidR="00843DD8" w:rsidRDefault="00843DD8" w:rsidP="0096444B">
            <w:r>
              <w:t>Steve Pennell</w:t>
            </w:r>
          </w:p>
        </w:tc>
        <w:tc>
          <w:tcPr>
            <w:tcW w:w="4329" w:type="dxa"/>
          </w:tcPr>
          <w:p w14:paraId="378C83D0" w14:textId="56A25A56" w:rsidR="00843DD8" w:rsidRDefault="00843DD8" w:rsidP="0096444B">
            <w:r>
              <w:t xml:space="preserve">Final document version sign off. </w:t>
            </w:r>
          </w:p>
        </w:tc>
        <w:tc>
          <w:tcPr>
            <w:tcW w:w="1134" w:type="dxa"/>
          </w:tcPr>
          <w:p w14:paraId="24A98567" w14:textId="3329AB7F" w:rsidR="00843DD8" w:rsidRDefault="00843DD8" w:rsidP="00843DD8">
            <w:r>
              <w:t xml:space="preserve">1.0 </w:t>
            </w:r>
          </w:p>
        </w:tc>
        <w:tc>
          <w:tcPr>
            <w:tcW w:w="1701" w:type="dxa"/>
          </w:tcPr>
          <w:p w14:paraId="166F74CC" w14:textId="4CEC6F9A" w:rsidR="00843DD8" w:rsidRDefault="00843DD8" w:rsidP="00843DD8">
            <w:r>
              <w:t>01 Sep 2011</w:t>
            </w:r>
          </w:p>
        </w:tc>
      </w:tr>
    </w:tbl>
    <w:p w14:paraId="3987AF58" w14:textId="77777777" w:rsidR="001A0E44" w:rsidRDefault="001A0E44" w:rsidP="000D2147">
      <w:pPr>
        <w:pStyle w:val="Heading1"/>
      </w:pPr>
    </w:p>
    <w:sectPr w:rsidR="001A0E44" w:rsidSect="002720E6">
      <w:headerReference w:type="default" r:id="rId33"/>
      <w:footerReference w:type="default" r:id="rId34"/>
      <w:headerReference w:type="first" r:id="rId35"/>
      <w:footerReference w:type="first" r:id="rId36"/>
      <w:pgSz w:w="11906" w:h="16838"/>
      <w:pgMar w:top="2942" w:right="1440" w:bottom="1560" w:left="1440" w:header="99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C1E35" w14:textId="77777777" w:rsidR="0035537A" w:rsidRDefault="0035537A" w:rsidP="00BB637F">
      <w:pPr>
        <w:spacing w:after="0" w:line="240" w:lineRule="auto"/>
      </w:pPr>
      <w:r>
        <w:separator/>
      </w:r>
    </w:p>
  </w:endnote>
  <w:endnote w:type="continuationSeparator" w:id="0">
    <w:p w14:paraId="28FC1E36" w14:textId="77777777" w:rsidR="0035537A" w:rsidRDefault="0035537A" w:rsidP="00BB6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C1E3B" w14:textId="77777777" w:rsidR="0035537A" w:rsidRDefault="0035537A" w:rsidP="000B77B9">
    <w:pPr>
      <w:pStyle w:val="Footer"/>
    </w:pPr>
    <w:r>
      <w:fldChar w:fldCharType="begin"/>
    </w:r>
    <w:r>
      <w:instrText xml:space="preserve">PAGE  </w:instrText>
    </w:r>
    <w:r>
      <w:fldChar w:fldCharType="end"/>
    </w:r>
  </w:p>
  <w:p w14:paraId="28FC1E3C" w14:textId="77777777" w:rsidR="0035537A" w:rsidRDefault="0035537A" w:rsidP="000B77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AB517" w14:textId="77777777" w:rsidR="00AA435A" w:rsidRDefault="00AA435A" w:rsidP="00AA435A">
    <w:pPr>
      <w:pStyle w:val="Footer"/>
      <w:tabs>
        <w:tab w:val="clear" w:pos="4513"/>
      </w:tabs>
      <w:jc w:val="center"/>
      <w:rPr>
        <w:sz w:val="20"/>
      </w:rPr>
    </w:pPr>
  </w:p>
  <w:p w14:paraId="28FC1E3E" w14:textId="7E27C247" w:rsidR="0035537A" w:rsidRPr="00AA435A" w:rsidRDefault="006D6671" w:rsidP="00AA435A">
    <w:pPr>
      <w:pStyle w:val="Footer"/>
      <w:tabs>
        <w:tab w:val="clear" w:pos="4513"/>
      </w:tabs>
      <w:jc w:val="center"/>
      <w:rPr>
        <w:sz w:val="20"/>
      </w:rPr>
    </w:pPr>
    <w:sdt>
      <w:sdtPr>
        <w:rPr>
          <w:sz w:val="20"/>
        </w:rPr>
        <w:id w:val="-1592307790"/>
        <w:docPartObj>
          <w:docPartGallery w:val="Page Numbers (Bottom of Page)"/>
          <w:docPartUnique/>
        </w:docPartObj>
      </w:sdtPr>
      <w:sdtEndPr/>
      <w:sdtContent>
        <w:r w:rsidR="00AA435A">
          <w:rPr>
            <w:sz w:val="20"/>
          </w:rPr>
          <w:fldChar w:fldCharType="begin"/>
        </w:r>
        <w:r w:rsidR="00AA435A">
          <w:rPr>
            <w:sz w:val="20"/>
          </w:rPr>
          <w:instrText xml:space="preserve"> DATE  \@ "dd MMMM yyyy"  \* MERGEFORMAT </w:instrText>
        </w:r>
        <w:r w:rsidR="00AA435A">
          <w:rPr>
            <w:sz w:val="20"/>
          </w:rPr>
          <w:fldChar w:fldCharType="separate"/>
        </w:r>
        <w:r>
          <w:rPr>
            <w:noProof/>
            <w:sz w:val="20"/>
          </w:rPr>
          <w:t>03 December 2019</w:t>
        </w:r>
        <w:r w:rsidR="00AA435A">
          <w:rPr>
            <w:sz w:val="20"/>
          </w:rPr>
          <w:fldChar w:fldCharType="end"/>
        </w:r>
        <w:r w:rsidR="00AA435A">
          <w:rPr>
            <w:sz w:val="20"/>
          </w:rPr>
          <w:tab/>
        </w:r>
        <w:r w:rsidR="00AA435A">
          <w:rPr>
            <w:b/>
            <w:sz w:val="20"/>
          </w:rPr>
          <w:t>P</w:t>
        </w:r>
        <w:r w:rsidR="00AA435A" w:rsidRPr="00C90CBE">
          <w:rPr>
            <w:b/>
            <w:sz w:val="20"/>
          </w:rPr>
          <w:t>age</w:t>
        </w:r>
        <w:r w:rsidR="00AA435A" w:rsidRPr="00BB637F">
          <w:rPr>
            <w:sz w:val="20"/>
          </w:rPr>
          <w:t xml:space="preserve"> </w:t>
        </w:r>
        <w:r w:rsidR="00AA435A" w:rsidRPr="00BB637F">
          <w:rPr>
            <w:b/>
            <w:sz w:val="20"/>
          </w:rPr>
          <w:fldChar w:fldCharType="begin"/>
        </w:r>
        <w:r w:rsidR="00AA435A" w:rsidRPr="00BB637F">
          <w:rPr>
            <w:b/>
            <w:sz w:val="20"/>
          </w:rPr>
          <w:instrText xml:space="preserve"> PAGE   \* MERGEFORMAT </w:instrText>
        </w:r>
        <w:r w:rsidR="00AA435A" w:rsidRPr="00BB637F">
          <w:rPr>
            <w:b/>
            <w:sz w:val="20"/>
          </w:rPr>
          <w:fldChar w:fldCharType="separate"/>
        </w:r>
        <w:r>
          <w:rPr>
            <w:b/>
            <w:noProof/>
            <w:sz w:val="20"/>
          </w:rPr>
          <w:t>13</w:t>
        </w:r>
        <w:r w:rsidR="00AA435A" w:rsidRPr="00BB637F">
          <w:rPr>
            <w:b/>
            <w:sz w:val="20"/>
          </w:rPr>
          <w:fldChar w:fldCharType="end"/>
        </w:r>
        <w:r w:rsidR="00AA435A" w:rsidRPr="00BB637F">
          <w:rPr>
            <w:sz w:val="20"/>
          </w:rPr>
          <w:t xml:space="preserve"> </w:t>
        </w:r>
        <w:r w:rsidR="00AA435A">
          <w:rPr>
            <w:sz w:val="20"/>
          </w:rPr>
          <w:t xml:space="preserve">of </w:t>
        </w:r>
        <w:r w:rsidR="00AA435A">
          <w:rPr>
            <w:sz w:val="20"/>
          </w:rPr>
          <w:fldChar w:fldCharType="begin"/>
        </w:r>
        <w:r w:rsidR="00AA435A">
          <w:rPr>
            <w:sz w:val="20"/>
          </w:rPr>
          <w:instrText xml:space="preserve"> NUMPAGES  \# "0" \* Arabic  \* MERGEFORMAT </w:instrText>
        </w:r>
        <w:r w:rsidR="00AA435A">
          <w:rPr>
            <w:sz w:val="20"/>
          </w:rPr>
          <w:fldChar w:fldCharType="separate"/>
        </w:r>
        <w:r>
          <w:rPr>
            <w:noProof/>
            <w:sz w:val="20"/>
          </w:rPr>
          <w:t>25</w:t>
        </w:r>
        <w:r w:rsidR="00AA435A">
          <w:rPr>
            <w:sz w:val="20"/>
          </w:rPr>
          <w:fldChar w:fldCharType="end"/>
        </w:r>
      </w:sdtContent>
    </w:sdt>
    <w:r w:rsidR="0035537A">
      <w:rPr>
        <w:b/>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C1E43" w14:textId="41773D59" w:rsidR="0035537A" w:rsidRPr="00BB637F" w:rsidRDefault="0035537A" w:rsidP="002720E6">
    <w:pPr>
      <w:pStyle w:val="Footer"/>
      <w:tabs>
        <w:tab w:val="clear" w:pos="4513"/>
      </w:tabs>
      <w:jc w:val="center"/>
      <w:rPr>
        <w:sz w:val="20"/>
      </w:rPr>
    </w:pPr>
    <w:r>
      <w:rPr>
        <w:sz w:val="20"/>
      </w:rPr>
      <w:br/>
    </w:r>
    <w:sdt>
      <w:sdtPr>
        <w:rPr>
          <w:sz w:val="20"/>
        </w:rPr>
        <w:id w:val="73816297"/>
        <w:docPartObj>
          <w:docPartGallery w:val="Page Numbers (Bottom of Page)"/>
          <w:docPartUnique/>
        </w:docPartObj>
      </w:sdtPr>
      <w:sdtEndPr/>
      <w:sdtContent>
        <w:r>
          <w:rPr>
            <w:sz w:val="20"/>
          </w:rPr>
          <w:fldChar w:fldCharType="begin"/>
        </w:r>
        <w:r>
          <w:rPr>
            <w:sz w:val="20"/>
          </w:rPr>
          <w:instrText xml:space="preserve"> DATE  \@ "dd MMMM yyyy"  \* MERGEFORMAT </w:instrText>
        </w:r>
        <w:r>
          <w:rPr>
            <w:sz w:val="20"/>
          </w:rPr>
          <w:fldChar w:fldCharType="separate"/>
        </w:r>
        <w:r w:rsidR="006D6671">
          <w:rPr>
            <w:noProof/>
            <w:sz w:val="20"/>
          </w:rPr>
          <w:t>03 December 2019</w:t>
        </w:r>
        <w:r>
          <w:rPr>
            <w:sz w:val="20"/>
          </w:rPr>
          <w:fldChar w:fldCharType="end"/>
        </w:r>
        <w:r>
          <w:rPr>
            <w:sz w:val="20"/>
          </w:rPr>
          <w:tab/>
        </w:r>
        <w:r>
          <w:rPr>
            <w:b/>
            <w:sz w:val="20"/>
          </w:rPr>
          <w:t>P</w:t>
        </w:r>
        <w:r w:rsidRPr="00C90CBE">
          <w:rPr>
            <w:b/>
            <w:sz w:val="20"/>
          </w:rPr>
          <w:t>age</w:t>
        </w:r>
        <w:r w:rsidRPr="00BB637F">
          <w:rPr>
            <w:sz w:val="20"/>
          </w:rPr>
          <w:t xml:space="preserve"> </w:t>
        </w:r>
        <w:r w:rsidRPr="00BB637F">
          <w:rPr>
            <w:b/>
            <w:sz w:val="20"/>
          </w:rPr>
          <w:fldChar w:fldCharType="begin"/>
        </w:r>
        <w:r w:rsidRPr="00BB637F">
          <w:rPr>
            <w:b/>
            <w:sz w:val="20"/>
          </w:rPr>
          <w:instrText xml:space="preserve"> PAGE   \* MERGEFORMAT </w:instrText>
        </w:r>
        <w:r w:rsidRPr="00BB637F">
          <w:rPr>
            <w:b/>
            <w:sz w:val="20"/>
          </w:rPr>
          <w:fldChar w:fldCharType="separate"/>
        </w:r>
        <w:r w:rsidR="006D6671">
          <w:rPr>
            <w:b/>
            <w:noProof/>
            <w:sz w:val="20"/>
          </w:rPr>
          <w:t>25</w:t>
        </w:r>
        <w:r w:rsidRPr="00BB637F">
          <w:rPr>
            <w:b/>
            <w:sz w:val="20"/>
          </w:rPr>
          <w:fldChar w:fldCharType="end"/>
        </w:r>
        <w:r w:rsidRPr="00BB637F">
          <w:rPr>
            <w:sz w:val="20"/>
          </w:rPr>
          <w:t xml:space="preserve"> </w:t>
        </w:r>
        <w:r>
          <w:rPr>
            <w:sz w:val="20"/>
          </w:rPr>
          <w:t xml:space="preserve">of </w:t>
        </w:r>
        <w:r>
          <w:rPr>
            <w:sz w:val="20"/>
          </w:rPr>
          <w:fldChar w:fldCharType="begin"/>
        </w:r>
        <w:r>
          <w:rPr>
            <w:sz w:val="20"/>
          </w:rPr>
          <w:instrText xml:space="preserve"> NUMPAGES  \# "0" \* Arabic  \* MERGEFORMAT </w:instrText>
        </w:r>
        <w:r>
          <w:rPr>
            <w:sz w:val="20"/>
          </w:rPr>
          <w:fldChar w:fldCharType="separate"/>
        </w:r>
        <w:r w:rsidR="006D6671">
          <w:rPr>
            <w:noProof/>
            <w:sz w:val="20"/>
          </w:rPr>
          <w:t>25</w:t>
        </w:r>
        <w:r>
          <w:rPr>
            <w:sz w:val="20"/>
          </w:rPr>
          <w:fldChar w:fldCharType="end"/>
        </w:r>
      </w:sdtContent>
    </w:sdt>
  </w:p>
  <w:p w14:paraId="28FC1E44" w14:textId="77777777" w:rsidR="0035537A" w:rsidRDefault="0035537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C1E4A" w14:textId="0447BDE6" w:rsidR="0035537A" w:rsidRPr="00BB637F" w:rsidRDefault="0035537A" w:rsidP="00460A68">
    <w:pPr>
      <w:pStyle w:val="Footer"/>
      <w:pBdr>
        <w:top w:val="single" w:sz="4" w:space="1" w:color="4F81BD" w:themeColor="accent1"/>
      </w:pBdr>
      <w:tabs>
        <w:tab w:val="clear" w:pos="4513"/>
      </w:tabs>
      <w:jc w:val="right"/>
      <w:rPr>
        <w:sz w:val="20"/>
      </w:rPr>
    </w:pPr>
    <w:r>
      <w:rPr>
        <w:sz w:val="20"/>
      </w:rPr>
      <w:br/>
    </w:r>
    <w:sdt>
      <w:sdtPr>
        <w:rPr>
          <w:sz w:val="20"/>
        </w:rPr>
        <w:id w:val="73816298"/>
        <w:docPartObj>
          <w:docPartGallery w:val="Page Numbers (Bottom of Page)"/>
          <w:docPartUnique/>
        </w:docPartObj>
      </w:sdtPr>
      <w:sdtEndPr/>
      <w:sdtContent>
        <w:r>
          <w:rPr>
            <w:sz w:val="20"/>
          </w:rPr>
          <w:fldChar w:fldCharType="begin"/>
        </w:r>
        <w:r>
          <w:rPr>
            <w:sz w:val="20"/>
          </w:rPr>
          <w:instrText xml:space="preserve"> DATE  \@ "dd MMMM yyyy"  \* MERGEFORMAT </w:instrText>
        </w:r>
        <w:r>
          <w:rPr>
            <w:sz w:val="20"/>
          </w:rPr>
          <w:fldChar w:fldCharType="separate"/>
        </w:r>
        <w:r w:rsidR="006D6671">
          <w:rPr>
            <w:noProof/>
            <w:sz w:val="20"/>
          </w:rPr>
          <w:t>03 December 2019</w:t>
        </w:r>
        <w:r>
          <w:rPr>
            <w:sz w:val="20"/>
          </w:rPr>
          <w:fldChar w:fldCharType="end"/>
        </w:r>
        <w:r>
          <w:rPr>
            <w:sz w:val="20"/>
          </w:rPr>
          <w:tab/>
        </w:r>
        <w:r>
          <w:rPr>
            <w:b/>
            <w:sz w:val="20"/>
          </w:rPr>
          <w:t>P</w:t>
        </w:r>
        <w:r w:rsidRPr="00C90CBE">
          <w:rPr>
            <w:b/>
            <w:sz w:val="20"/>
          </w:rPr>
          <w:t>age</w:t>
        </w:r>
        <w:r w:rsidRPr="00BB637F">
          <w:rPr>
            <w:sz w:val="20"/>
          </w:rPr>
          <w:t xml:space="preserve"> </w:t>
        </w:r>
        <w:r w:rsidRPr="00BB637F">
          <w:rPr>
            <w:b/>
            <w:sz w:val="20"/>
          </w:rPr>
          <w:fldChar w:fldCharType="begin"/>
        </w:r>
        <w:r w:rsidRPr="00BB637F">
          <w:rPr>
            <w:b/>
            <w:sz w:val="20"/>
          </w:rPr>
          <w:instrText xml:space="preserve"> PAGE   \* MERGEFORMAT </w:instrText>
        </w:r>
        <w:r w:rsidRPr="00BB637F">
          <w:rPr>
            <w:b/>
            <w:sz w:val="20"/>
          </w:rPr>
          <w:fldChar w:fldCharType="separate"/>
        </w:r>
        <w:r>
          <w:rPr>
            <w:b/>
            <w:noProof/>
            <w:sz w:val="20"/>
          </w:rPr>
          <w:t>1</w:t>
        </w:r>
        <w:r w:rsidRPr="00BB637F">
          <w:rPr>
            <w:b/>
            <w:sz w:val="20"/>
          </w:rPr>
          <w:fldChar w:fldCharType="end"/>
        </w:r>
        <w:r w:rsidRPr="00BB637F">
          <w:rPr>
            <w:sz w:val="20"/>
          </w:rPr>
          <w:t xml:space="preserve"> </w:t>
        </w:r>
        <w:r>
          <w:rPr>
            <w:sz w:val="20"/>
          </w:rPr>
          <w:t xml:space="preserve">of </w:t>
        </w:r>
        <w:r>
          <w:rPr>
            <w:sz w:val="20"/>
          </w:rPr>
          <w:fldChar w:fldCharType="begin"/>
        </w:r>
        <w:r>
          <w:rPr>
            <w:sz w:val="20"/>
          </w:rPr>
          <w:instrText xml:space="preserve"> NUMPAGES  \# "0" \* Arabic  \* MERGEFORMAT </w:instrText>
        </w:r>
        <w:r>
          <w:rPr>
            <w:sz w:val="20"/>
          </w:rPr>
          <w:fldChar w:fldCharType="separate"/>
        </w:r>
        <w:r w:rsidR="006D6671">
          <w:rPr>
            <w:noProof/>
            <w:sz w:val="20"/>
          </w:rPr>
          <w:t>25</w:t>
        </w:r>
        <w:r>
          <w:rPr>
            <w:sz w:val="20"/>
          </w:rPr>
          <w:fldChar w:fldCharType="end"/>
        </w:r>
      </w:sdtContent>
    </w:sdt>
  </w:p>
  <w:p w14:paraId="28FC1E4B" w14:textId="77777777" w:rsidR="0035537A" w:rsidRDefault="003553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C1E33" w14:textId="77777777" w:rsidR="0035537A" w:rsidRDefault="0035537A" w:rsidP="00BB637F">
      <w:pPr>
        <w:spacing w:after="0" w:line="240" w:lineRule="auto"/>
      </w:pPr>
      <w:r>
        <w:separator/>
      </w:r>
    </w:p>
  </w:footnote>
  <w:footnote w:type="continuationSeparator" w:id="0">
    <w:p w14:paraId="28FC1E34" w14:textId="77777777" w:rsidR="0035537A" w:rsidRDefault="0035537A" w:rsidP="00BB6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C1E38" w14:textId="77777777" w:rsidR="0035537A" w:rsidRDefault="0035537A" w:rsidP="000B77B9">
    <w:pPr>
      <w:pStyle w:val="Header"/>
      <w:jc w:val="right"/>
      <w:rPr>
        <w:b/>
        <w:color w:val="0099CC"/>
        <w:sz w:val="32"/>
      </w:rPr>
    </w:pPr>
    <w:r>
      <w:rPr>
        <w:rFonts w:ascii="Arial Black" w:hAnsi="Arial Black"/>
        <w:noProof/>
        <w:color w:val="000000" w:themeColor="text1"/>
        <w:spacing w:val="-54"/>
        <w:sz w:val="44"/>
        <w:lang w:eastAsia="en-GB"/>
      </w:rPr>
      <w:drawing>
        <wp:anchor distT="0" distB="0" distL="114300" distR="114300" simplePos="0" relativeHeight="251668480" behindDoc="0" locked="0" layoutInCell="1" allowOverlap="1" wp14:anchorId="28FC1E4C" wp14:editId="28FC1E4D">
          <wp:simplePos x="0" y="0"/>
          <wp:positionH relativeFrom="column">
            <wp:posOffset>18415</wp:posOffset>
          </wp:positionH>
          <wp:positionV relativeFrom="paragraph">
            <wp:posOffset>7620</wp:posOffset>
          </wp:positionV>
          <wp:extent cx="1168400" cy="1033145"/>
          <wp:effectExtent l="0" t="0" r="0" b="0"/>
          <wp:wrapSquare wrapText="bothSides"/>
          <wp:docPr id="8" name="Picture 1" descr="logo - coloured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oloured cop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8400" cy="1033145"/>
                  </a:xfrm>
                  <a:prstGeom prst="rect">
                    <a:avLst/>
                  </a:prstGeom>
                  <a:noFill/>
                </pic:spPr>
              </pic:pic>
            </a:graphicData>
          </a:graphic>
          <wp14:sizeRelH relativeFrom="page">
            <wp14:pctWidth>0</wp14:pctWidth>
          </wp14:sizeRelH>
          <wp14:sizeRelV relativeFrom="page">
            <wp14:pctHeight>0</wp14:pctHeight>
          </wp14:sizeRelV>
        </wp:anchor>
      </w:drawing>
    </w:r>
  </w:p>
  <w:p w14:paraId="28FC1E39" w14:textId="77777777" w:rsidR="0035537A" w:rsidRPr="001A0E44" w:rsidRDefault="0035537A" w:rsidP="001A0E44">
    <w:pPr>
      <w:pStyle w:val="Header"/>
      <w:jc w:val="right"/>
      <w:rPr>
        <w:rFonts w:ascii="Arial Black" w:hAnsi="Arial Black"/>
        <w:color w:val="000000" w:themeColor="text1"/>
        <w:spacing w:val="-54"/>
        <w:sz w:val="44"/>
      </w:rPr>
    </w:pPr>
    <w:r>
      <w:rPr>
        <w:b/>
        <w:color w:val="0099CC"/>
        <w:sz w:val="32"/>
      </w:rPr>
      <w:t>Policy Documentation:</w:t>
    </w:r>
    <w:r w:rsidRPr="005B5E75">
      <w:rPr>
        <w:b/>
        <w:color w:val="808080" w:themeColor="background1" w:themeShade="80"/>
        <w:sz w:val="28"/>
      </w:rPr>
      <w:br/>
    </w:r>
    <w:r>
      <w:rPr>
        <w:b/>
        <w:sz w:val="28"/>
        <w:szCs w:val="30"/>
      </w:rPr>
      <w:t>Information Risk Management Policy (IRMP).</w:t>
    </w:r>
    <w:r>
      <w:rPr>
        <w:b/>
        <w:sz w:val="28"/>
        <w:szCs w:val="30"/>
      </w:rPr>
      <w:br/>
    </w:r>
  </w:p>
  <w:p w14:paraId="28FC1E3A" w14:textId="77777777" w:rsidR="0035537A" w:rsidRDefault="0035537A" w:rsidP="000B7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C1E3F" w14:textId="77777777" w:rsidR="0035537A" w:rsidRDefault="0035537A" w:rsidP="000B77B9"/>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C1E41" w14:textId="77777777" w:rsidR="0035537A" w:rsidRPr="006D575F" w:rsidRDefault="0035537A" w:rsidP="00561266">
    <w:pPr>
      <w:pStyle w:val="Header"/>
      <w:jc w:val="right"/>
      <w:rPr>
        <w:rFonts w:ascii="Arial Black" w:hAnsi="Arial Black"/>
        <w:color w:val="000000" w:themeColor="text1"/>
        <w:spacing w:val="-54"/>
        <w:sz w:val="44"/>
      </w:rPr>
    </w:pPr>
    <w:r>
      <w:rPr>
        <w:b/>
        <w:color w:val="0099CC"/>
        <w:sz w:val="32"/>
      </w:rPr>
      <w:br/>
    </w:r>
    <w:r>
      <w:rPr>
        <w:rFonts w:ascii="Arial Black" w:hAnsi="Arial Black"/>
        <w:noProof/>
        <w:color w:val="000000" w:themeColor="text1"/>
        <w:spacing w:val="-54"/>
        <w:sz w:val="44"/>
        <w:lang w:eastAsia="en-GB"/>
      </w:rPr>
      <w:drawing>
        <wp:anchor distT="0" distB="0" distL="114300" distR="114300" simplePos="0" relativeHeight="251666432" behindDoc="0" locked="0" layoutInCell="1" allowOverlap="1" wp14:anchorId="28FC1E4E" wp14:editId="28FC1E4F">
          <wp:simplePos x="0" y="0"/>
          <wp:positionH relativeFrom="column">
            <wp:posOffset>18415</wp:posOffset>
          </wp:positionH>
          <wp:positionV relativeFrom="paragraph">
            <wp:posOffset>7620</wp:posOffset>
          </wp:positionV>
          <wp:extent cx="1168400" cy="1033145"/>
          <wp:effectExtent l="19050" t="0" r="0" b="0"/>
          <wp:wrapSquare wrapText="bothSides"/>
          <wp:docPr id="2" name="Picture 1" descr="C:\Documents and Settings\whittd.INFPROD\Desktop\logo - coloured copy.PNG"/>
          <wp:cNvGraphicFramePr/>
          <a:graphic xmlns:a="http://schemas.openxmlformats.org/drawingml/2006/main">
            <a:graphicData uri="http://schemas.openxmlformats.org/drawingml/2006/picture">
              <pic:pic xmlns:pic="http://schemas.openxmlformats.org/drawingml/2006/picture">
                <pic:nvPicPr>
                  <pic:cNvPr id="0" name="Picture 1" descr="C:\Documents and Settings\whittd.INFPROD\Desktop\logo - coloured copy.PNG"/>
                  <pic:cNvPicPr>
                    <a:picLocks noChangeAspect="1" noChangeArrowheads="1"/>
                  </pic:cNvPicPr>
                </pic:nvPicPr>
                <pic:blipFill>
                  <a:blip r:embed="rId1"/>
                  <a:srcRect/>
                  <a:stretch>
                    <a:fillRect/>
                  </a:stretch>
                </pic:blipFill>
                <pic:spPr bwMode="auto">
                  <a:xfrm>
                    <a:off x="0" y="0"/>
                    <a:ext cx="1168400" cy="1033145"/>
                  </a:xfrm>
                  <a:prstGeom prst="rect">
                    <a:avLst/>
                  </a:prstGeom>
                  <a:noFill/>
                  <a:ln w="9525">
                    <a:noFill/>
                    <a:miter lim="800000"/>
                    <a:headEnd/>
                    <a:tailEnd/>
                  </a:ln>
                </pic:spPr>
              </pic:pic>
            </a:graphicData>
          </a:graphic>
        </wp:anchor>
      </w:drawing>
    </w:r>
    <w:r>
      <w:rPr>
        <w:b/>
        <w:color w:val="0099CC"/>
        <w:sz w:val="32"/>
      </w:rPr>
      <w:t>Policy Documentation:</w:t>
    </w:r>
    <w:r w:rsidRPr="005B5E75">
      <w:rPr>
        <w:b/>
        <w:color w:val="808080" w:themeColor="background1" w:themeShade="80"/>
        <w:sz w:val="28"/>
      </w:rPr>
      <w:br/>
    </w:r>
    <w:r>
      <w:rPr>
        <w:b/>
        <w:sz w:val="28"/>
        <w:szCs w:val="30"/>
      </w:rPr>
      <w:t>Information Risk Management (IRM) Policy.</w:t>
    </w:r>
    <w:r>
      <w:rPr>
        <w:b/>
        <w:sz w:val="28"/>
        <w:szCs w:val="30"/>
      </w:rPr>
      <w:br/>
    </w:r>
  </w:p>
  <w:p w14:paraId="28FC1E42" w14:textId="77777777" w:rsidR="0035537A" w:rsidRPr="00BB637F" w:rsidRDefault="0035537A" w:rsidP="00460A68">
    <w:pPr>
      <w:pStyle w:val="Header"/>
      <w:jc w:val="right"/>
      <w:rPr>
        <w:b/>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C1E45" w14:textId="77777777" w:rsidR="0035537A" w:rsidRDefault="0035537A" w:rsidP="00942CC4">
    <w:pPr>
      <w:pStyle w:val="Header"/>
      <w:tabs>
        <w:tab w:val="clear" w:pos="4513"/>
      </w:tabs>
      <w:jc w:val="center"/>
      <w:rPr>
        <w:b/>
      </w:rPr>
    </w:pPr>
    <w:r w:rsidRPr="0011195B">
      <w:rPr>
        <w:b/>
        <w:noProof/>
        <w:lang w:eastAsia="en-GB"/>
      </w:rPr>
      <w:drawing>
        <wp:anchor distT="0" distB="0" distL="114300" distR="114300" simplePos="0" relativeHeight="251662336" behindDoc="0" locked="0" layoutInCell="1" allowOverlap="1" wp14:anchorId="28FC1E50" wp14:editId="28FC1E51">
          <wp:simplePos x="0" y="0"/>
          <wp:positionH relativeFrom="column">
            <wp:posOffset>19050</wp:posOffset>
          </wp:positionH>
          <wp:positionV relativeFrom="paragraph">
            <wp:posOffset>64770</wp:posOffset>
          </wp:positionV>
          <wp:extent cx="1171575" cy="1028700"/>
          <wp:effectExtent l="19050" t="0" r="9525" b="0"/>
          <wp:wrapSquare wrapText="bothSides"/>
          <wp:docPr id="1" name="Picture 1" descr="C:\Documents and Settings\whittd.INFPROD\Desktop\logo - coloured copy.PNG"/>
          <wp:cNvGraphicFramePr/>
          <a:graphic xmlns:a="http://schemas.openxmlformats.org/drawingml/2006/main">
            <a:graphicData uri="http://schemas.openxmlformats.org/drawingml/2006/picture">
              <pic:pic xmlns:pic="http://schemas.openxmlformats.org/drawingml/2006/picture">
                <pic:nvPicPr>
                  <pic:cNvPr id="0" name="Picture 1" descr="C:\Documents and Settings\whittd.INFPROD\Desktop\logo - coloured copy.PNG"/>
                  <pic:cNvPicPr>
                    <a:picLocks noChangeAspect="1" noChangeArrowheads="1"/>
                  </pic:cNvPicPr>
                </pic:nvPicPr>
                <pic:blipFill>
                  <a:blip r:embed="rId1"/>
                  <a:srcRect/>
                  <a:stretch>
                    <a:fillRect/>
                  </a:stretch>
                </pic:blipFill>
                <pic:spPr bwMode="auto">
                  <a:xfrm>
                    <a:off x="0" y="0"/>
                    <a:ext cx="1171575" cy="1028700"/>
                  </a:xfrm>
                  <a:prstGeom prst="rect">
                    <a:avLst/>
                  </a:prstGeom>
                  <a:noFill/>
                  <a:ln w="9525">
                    <a:noFill/>
                    <a:miter lim="800000"/>
                    <a:headEnd/>
                    <a:tailEnd/>
                  </a:ln>
                </pic:spPr>
              </pic:pic>
            </a:graphicData>
          </a:graphic>
        </wp:anchor>
      </w:drawing>
    </w:r>
  </w:p>
  <w:p w14:paraId="28FC1E46" w14:textId="77777777" w:rsidR="0035537A" w:rsidRDefault="0035537A" w:rsidP="00942CC4">
    <w:pPr>
      <w:pStyle w:val="Header"/>
      <w:tabs>
        <w:tab w:val="left" w:pos="3060"/>
      </w:tabs>
      <w:rPr>
        <w:b/>
      </w:rPr>
    </w:pPr>
    <w:r>
      <w:rPr>
        <w:b/>
      </w:rPr>
      <w:tab/>
    </w:r>
    <w:r>
      <w:rPr>
        <w:b/>
      </w:rPr>
      <w:tab/>
    </w:r>
    <w:r>
      <w:rPr>
        <w:b/>
      </w:rPr>
      <w:tab/>
    </w:r>
  </w:p>
  <w:p w14:paraId="28FC1E47" w14:textId="77777777" w:rsidR="0035537A" w:rsidRPr="009D191B" w:rsidRDefault="0035537A" w:rsidP="00942CC4">
    <w:pPr>
      <w:pStyle w:val="Header"/>
      <w:jc w:val="right"/>
      <w:rPr>
        <w:sz w:val="28"/>
      </w:rPr>
    </w:pPr>
    <w:r w:rsidRPr="000E6B34">
      <w:rPr>
        <w:rFonts w:ascii="Arial Black" w:hAnsi="Arial Black"/>
        <w:color w:val="000000" w:themeColor="text1"/>
        <w:spacing w:val="-38"/>
        <w:sz w:val="36"/>
      </w:rPr>
      <w:t>ICT</w:t>
    </w:r>
    <w:r w:rsidRPr="009D191B">
      <w:rPr>
        <w:b/>
        <w:sz w:val="36"/>
      </w:rPr>
      <w:br/>
    </w:r>
    <w:r w:rsidRPr="00CC671A">
      <w:rPr>
        <w:sz w:val="28"/>
      </w:rPr>
      <w:t xml:space="preserve"> </w:t>
    </w:r>
    <w:r w:rsidRPr="00460A68">
      <w:rPr>
        <w:b/>
        <w:sz w:val="28"/>
      </w:rPr>
      <w:t>Core Build, Configuration and Support Process</w:t>
    </w:r>
    <w:r>
      <w:rPr>
        <w:sz w:val="28"/>
      </w:rPr>
      <w:t xml:space="preserve"> </w:t>
    </w:r>
  </w:p>
  <w:p w14:paraId="28FC1E48" w14:textId="77777777" w:rsidR="0035537A" w:rsidRPr="009D191B" w:rsidRDefault="0035537A" w:rsidP="00942CC4">
    <w:pPr>
      <w:pStyle w:val="Header"/>
      <w:jc w:val="right"/>
    </w:pPr>
    <w:r>
      <w:rPr>
        <w:sz w:val="28"/>
      </w:rPr>
      <w:t xml:space="preserve">IBM X86 Servers </w:t>
    </w:r>
  </w:p>
  <w:p w14:paraId="28FC1E49" w14:textId="77777777" w:rsidR="0035537A" w:rsidRDefault="003553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B4"/>
    <w:multiLevelType w:val="multilevel"/>
    <w:tmpl w:val="F42AAE78"/>
    <w:lvl w:ilvl="0">
      <w:start w:val="4"/>
      <w:numFmt w:val="decimal"/>
      <w:lvlText w:val="%1"/>
      <w:lvlJc w:val="left"/>
      <w:pPr>
        <w:ind w:left="0" w:firstLine="0"/>
      </w:pPr>
      <w:rPr>
        <w:rFonts w:hint="default"/>
        <w:sz w:val="26"/>
      </w:rPr>
    </w:lvl>
    <w:lvl w:ilvl="1">
      <w:start w:val="1"/>
      <w:numFmt w:val="decimal"/>
      <w:lvlText w:val="%1.%2"/>
      <w:lvlJc w:val="left"/>
      <w:pPr>
        <w:ind w:left="0" w:firstLine="0"/>
      </w:pPr>
      <w:rPr>
        <w:rFonts w:hint="default"/>
        <w:sz w:val="26"/>
      </w:rPr>
    </w:lvl>
    <w:lvl w:ilvl="2">
      <w:start w:val="1"/>
      <w:numFmt w:val="decimal"/>
      <w:lvlText w:val="%1.%2.%3"/>
      <w:lvlJc w:val="left"/>
      <w:pPr>
        <w:ind w:left="0" w:firstLine="0"/>
      </w:pPr>
      <w:rPr>
        <w:rFonts w:hint="default"/>
        <w:sz w:val="26"/>
      </w:rPr>
    </w:lvl>
    <w:lvl w:ilvl="3">
      <w:start w:val="1"/>
      <w:numFmt w:val="decimal"/>
      <w:lvlText w:val="%1.%2.%3.%4"/>
      <w:lvlJc w:val="left"/>
      <w:pPr>
        <w:ind w:left="360" w:hanging="360"/>
      </w:pPr>
      <w:rPr>
        <w:rFonts w:hint="default"/>
        <w:sz w:val="26"/>
      </w:rPr>
    </w:lvl>
    <w:lvl w:ilvl="4">
      <w:start w:val="1"/>
      <w:numFmt w:val="decimal"/>
      <w:lvlText w:val="%1.%2.%3.%4.%5"/>
      <w:lvlJc w:val="left"/>
      <w:pPr>
        <w:ind w:left="360" w:hanging="360"/>
      </w:pPr>
      <w:rPr>
        <w:rFonts w:hint="default"/>
        <w:sz w:val="26"/>
      </w:rPr>
    </w:lvl>
    <w:lvl w:ilvl="5">
      <w:start w:val="1"/>
      <w:numFmt w:val="decimal"/>
      <w:lvlText w:val="%1.%2.%3.%4.%5.%6"/>
      <w:lvlJc w:val="left"/>
      <w:pPr>
        <w:ind w:left="720" w:hanging="72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080" w:hanging="1080"/>
      </w:pPr>
      <w:rPr>
        <w:rFonts w:hint="default"/>
        <w:sz w:val="26"/>
      </w:rPr>
    </w:lvl>
    <w:lvl w:ilvl="8">
      <w:start w:val="1"/>
      <w:numFmt w:val="decimal"/>
      <w:lvlText w:val="%1.%2.%3.%4.%5.%6.%7.%8.%9"/>
      <w:lvlJc w:val="left"/>
      <w:pPr>
        <w:ind w:left="1440" w:hanging="1440"/>
      </w:pPr>
      <w:rPr>
        <w:rFonts w:hint="default"/>
        <w:sz w:val="26"/>
      </w:rPr>
    </w:lvl>
  </w:abstractNum>
  <w:abstractNum w:abstractNumId="1" w15:restartNumberingAfterBreak="0">
    <w:nsid w:val="045E4CCC"/>
    <w:multiLevelType w:val="hybridMultilevel"/>
    <w:tmpl w:val="5EF41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1C072F"/>
    <w:multiLevelType w:val="hybridMultilevel"/>
    <w:tmpl w:val="9FEE1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3A2614"/>
    <w:multiLevelType w:val="multilevel"/>
    <w:tmpl w:val="9B4E6D3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30"/>
        </w:tabs>
        <w:ind w:left="1430" w:hanging="720"/>
      </w:pPr>
      <w:rPr>
        <w:rFonts w:hint="default"/>
        <w:b/>
        <w:color w:val="1F497D" w:themeColor="text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EAF0EEC"/>
    <w:multiLevelType w:val="multilevel"/>
    <w:tmpl w:val="9B4E6D3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color w:val="1F497D" w:themeColor="text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165075F"/>
    <w:multiLevelType w:val="hybridMultilevel"/>
    <w:tmpl w:val="F66E7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774445"/>
    <w:multiLevelType w:val="hybridMultilevel"/>
    <w:tmpl w:val="83F49FC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6113F15"/>
    <w:multiLevelType w:val="hybridMultilevel"/>
    <w:tmpl w:val="88280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18675F"/>
    <w:multiLevelType w:val="hybridMultilevel"/>
    <w:tmpl w:val="9D1CCAC2"/>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9" w15:restartNumberingAfterBreak="0">
    <w:nsid w:val="2F2E268B"/>
    <w:multiLevelType w:val="hybridMultilevel"/>
    <w:tmpl w:val="930A4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E74532"/>
    <w:multiLevelType w:val="hybridMultilevel"/>
    <w:tmpl w:val="958A3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57AB3"/>
    <w:multiLevelType w:val="hybridMultilevel"/>
    <w:tmpl w:val="F7086F5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2" w15:restartNumberingAfterBreak="0">
    <w:nsid w:val="46F15B39"/>
    <w:multiLevelType w:val="hybridMultilevel"/>
    <w:tmpl w:val="E6DE7E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563D3189"/>
    <w:multiLevelType w:val="multilevel"/>
    <w:tmpl w:val="3F8683FA"/>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23C6A69"/>
    <w:multiLevelType w:val="hybridMultilevel"/>
    <w:tmpl w:val="F4920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15570D"/>
    <w:multiLevelType w:val="hybridMultilevel"/>
    <w:tmpl w:val="C60C6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ED126D"/>
    <w:multiLevelType w:val="hybridMultilevel"/>
    <w:tmpl w:val="453442F4"/>
    <w:lvl w:ilvl="0" w:tplc="D6529928">
      <w:start w:val="1"/>
      <w:numFmt w:val="bullet"/>
      <w:lvlText w:val="–"/>
      <w:lvlJc w:val="left"/>
      <w:pPr>
        <w:tabs>
          <w:tab w:val="num" w:pos="360"/>
        </w:tabs>
        <w:ind w:left="360" w:hanging="360"/>
      </w:pPr>
      <w:rPr>
        <w:rFonts w:ascii="Arial" w:hAnsi="Arial" w:hint="default"/>
      </w:rPr>
    </w:lvl>
    <w:lvl w:ilvl="1" w:tplc="320437EC">
      <w:start w:val="1"/>
      <w:numFmt w:val="bullet"/>
      <w:lvlText w:val="–"/>
      <w:lvlJc w:val="left"/>
      <w:pPr>
        <w:tabs>
          <w:tab w:val="num" w:pos="1080"/>
        </w:tabs>
        <w:ind w:left="1080" w:hanging="360"/>
      </w:pPr>
      <w:rPr>
        <w:rFonts w:ascii="Arial" w:hAnsi="Arial" w:hint="default"/>
      </w:rPr>
    </w:lvl>
    <w:lvl w:ilvl="2" w:tplc="C37E366C" w:tentative="1">
      <w:start w:val="1"/>
      <w:numFmt w:val="bullet"/>
      <w:lvlText w:val="–"/>
      <w:lvlJc w:val="left"/>
      <w:pPr>
        <w:tabs>
          <w:tab w:val="num" w:pos="1800"/>
        </w:tabs>
        <w:ind w:left="1800" w:hanging="360"/>
      </w:pPr>
      <w:rPr>
        <w:rFonts w:ascii="Arial" w:hAnsi="Arial" w:hint="default"/>
      </w:rPr>
    </w:lvl>
    <w:lvl w:ilvl="3" w:tplc="537E8D16" w:tentative="1">
      <w:start w:val="1"/>
      <w:numFmt w:val="bullet"/>
      <w:lvlText w:val="–"/>
      <w:lvlJc w:val="left"/>
      <w:pPr>
        <w:tabs>
          <w:tab w:val="num" w:pos="2520"/>
        </w:tabs>
        <w:ind w:left="2520" w:hanging="360"/>
      </w:pPr>
      <w:rPr>
        <w:rFonts w:ascii="Arial" w:hAnsi="Arial" w:hint="default"/>
      </w:rPr>
    </w:lvl>
    <w:lvl w:ilvl="4" w:tplc="12AA5314" w:tentative="1">
      <w:start w:val="1"/>
      <w:numFmt w:val="bullet"/>
      <w:lvlText w:val="–"/>
      <w:lvlJc w:val="left"/>
      <w:pPr>
        <w:tabs>
          <w:tab w:val="num" w:pos="3240"/>
        </w:tabs>
        <w:ind w:left="3240" w:hanging="360"/>
      </w:pPr>
      <w:rPr>
        <w:rFonts w:ascii="Arial" w:hAnsi="Arial" w:hint="default"/>
      </w:rPr>
    </w:lvl>
    <w:lvl w:ilvl="5" w:tplc="B1D27280" w:tentative="1">
      <w:start w:val="1"/>
      <w:numFmt w:val="bullet"/>
      <w:lvlText w:val="–"/>
      <w:lvlJc w:val="left"/>
      <w:pPr>
        <w:tabs>
          <w:tab w:val="num" w:pos="3960"/>
        </w:tabs>
        <w:ind w:left="3960" w:hanging="360"/>
      </w:pPr>
      <w:rPr>
        <w:rFonts w:ascii="Arial" w:hAnsi="Arial" w:hint="default"/>
      </w:rPr>
    </w:lvl>
    <w:lvl w:ilvl="6" w:tplc="F4B2EECE" w:tentative="1">
      <w:start w:val="1"/>
      <w:numFmt w:val="bullet"/>
      <w:lvlText w:val="–"/>
      <w:lvlJc w:val="left"/>
      <w:pPr>
        <w:tabs>
          <w:tab w:val="num" w:pos="4680"/>
        </w:tabs>
        <w:ind w:left="4680" w:hanging="360"/>
      </w:pPr>
      <w:rPr>
        <w:rFonts w:ascii="Arial" w:hAnsi="Arial" w:hint="default"/>
      </w:rPr>
    </w:lvl>
    <w:lvl w:ilvl="7" w:tplc="0352CC98" w:tentative="1">
      <w:start w:val="1"/>
      <w:numFmt w:val="bullet"/>
      <w:lvlText w:val="–"/>
      <w:lvlJc w:val="left"/>
      <w:pPr>
        <w:tabs>
          <w:tab w:val="num" w:pos="5400"/>
        </w:tabs>
        <w:ind w:left="5400" w:hanging="360"/>
      </w:pPr>
      <w:rPr>
        <w:rFonts w:ascii="Arial" w:hAnsi="Arial" w:hint="default"/>
      </w:rPr>
    </w:lvl>
    <w:lvl w:ilvl="8" w:tplc="8FB46BFA"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753E2948"/>
    <w:multiLevelType w:val="hybridMultilevel"/>
    <w:tmpl w:val="B8E84CC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76DE72E0"/>
    <w:multiLevelType w:val="hybridMultilevel"/>
    <w:tmpl w:val="8CAC1A6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abstractNumId w:val="5"/>
  </w:num>
  <w:num w:numId="2">
    <w:abstractNumId w:val="8"/>
  </w:num>
  <w:num w:numId="3">
    <w:abstractNumId w:val="4"/>
  </w:num>
  <w:num w:numId="4">
    <w:abstractNumId w:val="2"/>
  </w:num>
  <w:num w:numId="5">
    <w:abstractNumId w:val="3"/>
  </w:num>
  <w:num w:numId="6">
    <w:abstractNumId w:val="15"/>
  </w:num>
  <w:num w:numId="7">
    <w:abstractNumId w:val="16"/>
  </w:num>
  <w:num w:numId="8">
    <w:abstractNumId w:val="11"/>
  </w:num>
  <w:num w:numId="9">
    <w:abstractNumId w:val="18"/>
  </w:num>
  <w:num w:numId="10">
    <w:abstractNumId w:val="1"/>
  </w:num>
  <w:num w:numId="11">
    <w:abstractNumId w:val="14"/>
  </w:num>
  <w:num w:numId="12">
    <w:abstractNumId w:val="9"/>
  </w:num>
  <w:num w:numId="13">
    <w:abstractNumId w:val="10"/>
  </w:num>
  <w:num w:numId="14">
    <w:abstractNumId w:val="7"/>
  </w:num>
  <w:num w:numId="15">
    <w:abstractNumId w:val="6"/>
  </w:num>
  <w:num w:numId="16">
    <w:abstractNumId w:val="12"/>
  </w:num>
  <w:num w:numId="17">
    <w:abstractNumId w:val="13"/>
  </w:num>
  <w:num w:numId="18">
    <w:abstractNumId w:val="0"/>
  </w:num>
  <w:num w:numId="19">
    <w:abstractNumId w:val="0"/>
  </w:num>
  <w:num w:numId="20">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20"/>
  <w:displayHorizontalDrawingGridEvery w:val="2"/>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F97"/>
    <w:rsid w:val="00002BB6"/>
    <w:rsid w:val="00003468"/>
    <w:rsid w:val="00004252"/>
    <w:rsid w:val="00006732"/>
    <w:rsid w:val="00010D3D"/>
    <w:rsid w:val="00032973"/>
    <w:rsid w:val="00035029"/>
    <w:rsid w:val="00036EB2"/>
    <w:rsid w:val="0003738A"/>
    <w:rsid w:val="00037982"/>
    <w:rsid w:val="00037E6F"/>
    <w:rsid w:val="00044686"/>
    <w:rsid w:val="00053AC8"/>
    <w:rsid w:val="00053C29"/>
    <w:rsid w:val="0006159D"/>
    <w:rsid w:val="00061674"/>
    <w:rsid w:val="000618E0"/>
    <w:rsid w:val="00063538"/>
    <w:rsid w:val="000675D7"/>
    <w:rsid w:val="00071495"/>
    <w:rsid w:val="00074BB3"/>
    <w:rsid w:val="00076174"/>
    <w:rsid w:val="00076CA0"/>
    <w:rsid w:val="00081596"/>
    <w:rsid w:val="0008268E"/>
    <w:rsid w:val="0008539A"/>
    <w:rsid w:val="000870DA"/>
    <w:rsid w:val="00091DC6"/>
    <w:rsid w:val="00096486"/>
    <w:rsid w:val="00096BB7"/>
    <w:rsid w:val="00097CAD"/>
    <w:rsid w:val="000A0B8D"/>
    <w:rsid w:val="000A2177"/>
    <w:rsid w:val="000A3F59"/>
    <w:rsid w:val="000B479E"/>
    <w:rsid w:val="000B5DBC"/>
    <w:rsid w:val="000B77B9"/>
    <w:rsid w:val="000C1A64"/>
    <w:rsid w:val="000C660E"/>
    <w:rsid w:val="000D0F1C"/>
    <w:rsid w:val="000D18F1"/>
    <w:rsid w:val="000D1BFB"/>
    <w:rsid w:val="000D2147"/>
    <w:rsid w:val="000D4FE7"/>
    <w:rsid w:val="000D54DF"/>
    <w:rsid w:val="000E5A57"/>
    <w:rsid w:val="000E5EBD"/>
    <w:rsid w:val="000E6B34"/>
    <w:rsid w:val="000F067E"/>
    <w:rsid w:val="000F3CF6"/>
    <w:rsid w:val="000F489D"/>
    <w:rsid w:val="00100441"/>
    <w:rsid w:val="00101C19"/>
    <w:rsid w:val="0010596B"/>
    <w:rsid w:val="0011195B"/>
    <w:rsid w:val="00120B95"/>
    <w:rsid w:val="00122931"/>
    <w:rsid w:val="001265FA"/>
    <w:rsid w:val="00136887"/>
    <w:rsid w:val="0014007F"/>
    <w:rsid w:val="001403BE"/>
    <w:rsid w:val="00141585"/>
    <w:rsid w:val="00150850"/>
    <w:rsid w:val="00151DF7"/>
    <w:rsid w:val="0015354F"/>
    <w:rsid w:val="001558ED"/>
    <w:rsid w:val="001559C8"/>
    <w:rsid w:val="00155A37"/>
    <w:rsid w:val="00162241"/>
    <w:rsid w:val="001647D2"/>
    <w:rsid w:val="00164D72"/>
    <w:rsid w:val="00166881"/>
    <w:rsid w:val="00167FD0"/>
    <w:rsid w:val="00173D9C"/>
    <w:rsid w:val="0017500D"/>
    <w:rsid w:val="001814C1"/>
    <w:rsid w:val="001857F9"/>
    <w:rsid w:val="00187B0F"/>
    <w:rsid w:val="00190B0A"/>
    <w:rsid w:val="001924FA"/>
    <w:rsid w:val="001951F8"/>
    <w:rsid w:val="0019667D"/>
    <w:rsid w:val="001A0E44"/>
    <w:rsid w:val="001A181E"/>
    <w:rsid w:val="001A1BC9"/>
    <w:rsid w:val="001A2A39"/>
    <w:rsid w:val="001A774C"/>
    <w:rsid w:val="001B0013"/>
    <w:rsid w:val="001B71FF"/>
    <w:rsid w:val="001C14F8"/>
    <w:rsid w:val="001C3AEA"/>
    <w:rsid w:val="001C4747"/>
    <w:rsid w:val="001C55D5"/>
    <w:rsid w:val="001C646F"/>
    <w:rsid w:val="001D010A"/>
    <w:rsid w:val="001D4463"/>
    <w:rsid w:val="001D48E3"/>
    <w:rsid w:val="001E0080"/>
    <w:rsid w:val="001E36E0"/>
    <w:rsid w:val="001E73E5"/>
    <w:rsid w:val="001F091F"/>
    <w:rsid w:val="001F1AE8"/>
    <w:rsid w:val="001F44EE"/>
    <w:rsid w:val="00200ED9"/>
    <w:rsid w:val="00201838"/>
    <w:rsid w:val="00205F90"/>
    <w:rsid w:val="0020677B"/>
    <w:rsid w:val="002124E2"/>
    <w:rsid w:val="00215D83"/>
    <w:rsid w:val="0021602C"/>
    <w:rsid w:val="00217064"/>
    <w:rsid w:val="00226D90"/>
    <w:rsid w:val="00233327"/>
    <w:rsid w:val="00251FCD"/>
    <w:rsid w:val="00254045"/>
    <w:rsid w:val="0025447D"/>
    <w:rsid w:val="0025473E"/>
    <w:rsid w:val="0025794E"/>
    <w:rsid w:val="002709D2"/>
    <w:rsid w:val="002711D9"/>
    <w:rsid w:val="0027180E"/>
    <w:rsid w:val="002720E6"/>
    <w:rsid w:val="00272EE9"/>
    <w:rsid w:val="00274CAA"/>
    <w:rsid w:val="00275A74"/>
    <w:rsid w:val="002810D7"/>
    <w:rsid w:val="00285C91"/>
    <w:rsid w:val="0029638D"/>
    <w:rsid w:val="002A2300"/>
    <w:rsid w:val="002A62CB"/>
    <w:rsid w:val="002A66A6"/>
    <w:rsid w:val="002B1093"/>
    <w:rsid w:val="002B2D30"/>
    <w:rsid w:val="002B3579"/>
    <w:rsid w:val="002B4847"/>
    <w:rsid w:val="002B514F"/>
    <w:rsid w:val="002B7349"/>
    <w:rsid w:val="002B75C1"/>
    <w:rsid w:val="002C2287"/>
    <w:rsid w:val="002C4035"/>
    <w:rsid w:val="002C5924"/>
    <w:rsid w:val="002C6D95"/>
    <w:rsid w:val="002D0AF2"/>
    <w:rsid w:val="002D1B63"/>
    <w:rsid w:val="002D252D"/>
    <w:rsid w:val="002D3E63"/>
    <w:rsid w:val="002D7124"/>
    <w:rsid w:val="002D7CDF"/>
    <w:rsid w:val="002E307E"/>
    <w:rsid w:val="002E31D1"/>
    <w:rsid w:val="002E569E"/>
    <w:rsid w:val="002E6CA9"/>
    <w:rsid w:val="002F1140"/>
    <w:rsid w:val="002F1DB2"/>
    <w:rsid w:val="002F4D67"/>
    <w:rsid w:val="00300D85"/>
    <w:rsid w:val="003033B0"/>
    <w:rsid w:val="00304D09"/>
    <w:rsid w:val="00305A69"/>
    <w:rsid w:val="003075FF"/>
    <w:rsid w:val="00307846"/>
    <w:rsid w:val="00311FED"/>
    <w:rsid w:val="003122FB"/>
    <w:rsid w:val="00314E4C"/>
    <w:rsid w:val="003161D8"/>
    <w:rsid w:val="00316309"/>
    <w:rsid w:val="0032084B"/>
    <w:rsid w:val="00326B93"/>
    <w:rsid w:val="003270CC"/>
    <w:rsid w:val="00331526"/>
    <w:rsid w:val="003324E1"/>
    <w:rsid w:val="003341D3"/>
    <w:rsid w:val="00334796"/>
    <w:rsid w:val="0033668A"/>
    <w:rsid w:val="003421CA"/>
    <w:rsid w:val="00351C5A"/>
    <w:rsid w:val="0035537A"/>
    <w:rsid w:val="003566F2"/>
    <w:rsid w:val="00360B33"/>
    <w:rsid w:val="00360CD7"/>
    <w:rsid w:val="00361664"/>
    <w:rsid w:val="00361957"/>
    <w:rsid w:val="00363194"/>
    <w:rsid w:val="0036331E"/>
    <w:rsid w:val="00364DDF"/>
    <w:rsid w:val="00371DBB"/>
    <w:rsid w:val="00372499"/>
    <w:rsid w:val="00372BDE"/>
    <w:rsid w:val="00373913"/>
    <w:rsid w:val="00374557"/>
    <w:rsid w:val="003758C6"/>
    <w:rsid w:val="00383850"/>
    <w:rsid w:val="003840A7"/>
    <w:rsid w:val="00387E2D"/>
    <w:rsid w:val="00395A4C"/>
    <w:rsid w:val="003973F9"/>
    <w:rsid w:val="00397DE6"/>
    <w:rsid w:val="003A19B9"/>
    <w:rsid w:val="003A713D"/>
    <w:rsid w:val="003C06CA"/>
    <w:rsid w:val="003C18B2"/>
    <w:rsid w:val="003C593B"/>
    <w:rsid w:val="003C7593"/>
    <w:rsid w:val="003C7DAF"/>
    <w:rsid w:val="003E4022"/>
    <w:rsid w:val="003E5C70"/>
    <w:rsid w:val="003F0586"/>
    <w:rsid w:val="003F14F8"/>
    <w:rsid w:val="003F2B25"/>
    <w:rsid w:val="003F61E6"/>
    <w:rsid w:val="00404B53"/>
    <w:rsid w:val="00410852"/>
    <w:rsid w:val="004157AD"/>
    <w:rsid w:val="0041641E"/>
    <w:rsid w:val="00416D7B"/>
    <w:rsid w:val="00421F5A"/>
    <w:rsid w:val="00424863"/>
    <w:rsid w:val="004260EC"/>
    <w:rsid w:val="004262D7"/>
    <w:rsid w:val="0043494F"/>
    <w:rsid w:val="00434F25"/>
    <w:rsid w:val="004367CD"/>
    <w:rsid w:val="00437038"/>
    <w:rsid w:val="00444065"/>
    <w:rsid w:val="0044429D"/>
    <w:rsid w:val="00444B67"/>
    <w:rsid w:val="00446729"/>
    <w:rsid w:val="0044766D"/>
    <w:rsid w:val="00447E2B"/>
    <w:rsid w:val="004511B6"/>
    <w:rsid w:val="00451EE6"/>
    <w:rsid w:val="004543E9"/>
    <w:rsid w:val="004552D7"/>
    <w:rsid w:val="00460A68"/>
    <w:rsid w:val="00460D76"/>
    <w:rsid w:val="0046106A"/>
    <w:rsid w:val="00461CE7"/>
    <w:rsid w:val="00462DBD"/>
    <w:rsid w:val="0046735C"/>
    <w:rsid w:val="0047007B"/>
    <w:rsid w:val="00470169"/>
    <w:rsid w:val="00471AFE"/>
    <w:rsid w:val="00471D49"/>
    <w:rsid w:val="00474822"/>
    <w:rsid w:val="00475EF8"/>
    <w:rsid w:val="004804C0"/>
    <w:rsid w:val="00482EDE"/>
    <w:rsid w:val="004910E7"/>
    <w:rsid w:val="004923F0"/>
    <w:rsid w:val="00493FD4"/>
    <w:rsid w:val="00496CC5"/>
    <w:rsid w:val="00496ED9"/>
    <w:rsid w:val="00497538"/>
    <w:rsid w:val="004A2E49"/>
    <w:rsid w:val="004A4AFB"/>
    <w:rsid w:val="004A6C34"/>
    <w:rsid w:val="004B0BC6"/>
    <w:rsid w:val="004C6D87"/>
    <w:rsid w:val="004C7700"/>
    <w:rsid w:val="004C7C80"/>
    <w:rsid w:val="004D2D70"/>
    <w:rsid w:val="004D6570"/>
    <w:rsid w:val="004D6CEF"/>
    <w:rsid w:val="004E13AD"/>
    <w:rsid w:val="004E4228"/>
    <w:rsid w:val="004F0D21"/>
    <w:rsid w:val="004F43D3"/>
    <w:rsid w:val="004F489F"/>
    <w:rsid w:val="004F4BB3"/>
    <w:rsid w:val="0050127B"/>
    <w:rsid w:val="00503AAF"/>
    <w:rsid w:val="00511897"/>
    <w:rsid w:val="00517E30"/>
    <w:rsid w:val="00517EAF"/>
    <w:rsid w:val="00520806"/>
    <w:rsid w:val="00525003"/>
    <w:rsid w:val="00525099"/>
    <w:rsid w:val="0052536A"/>
    <w:rsid w:val="00532F90"/>
    <w:rsid w:val="00534166"/>
    <w:rsid w:val="00550B72"/>
    <w:rsid w:val="00551825"/>
    <w:rsid w:val="00552543"/>
    <w:rsid w:val="00553CBC"/>
    <w:rsid w:val="00555C15"/>
    <w:rsid w:val="005561EA"/>
    <w:rsid w:val="00557CB1"/>
    <w:rsid w:val="00561266"/>
    <w:rsid w:val="00561C4C"/>
    <w:rsid w:val="00564AEE"/>
    <w:rsid w:val="00566517"/>
    <w:rsid w:val="005716FE"/>
    <w:rsid w:val="00574AF2"/>
    <w:rsid w:val="005815A8"/>
    <w:rsid w:val="00592F2F"/>
    <w:rsid w:val="005936A0"/>
    <w:rsid w:val="00594063"/>
    <w:rsid w:val="0059688D"/>
    <w:rsid w:val="00597C0D"/>
    <w:rsid w:val="005A10A2"/>
    <w:rsid w:val="005A652F"/>
    <w:rsid w:val="005B5E75"/>
    <w:rsid w:val="005B698B"/>
    <w:rsid w:val="005D0B77"/>
    <w:rsid w:val="005D1E19"/>
    <w:rsid w:val="005D21E0"/>
    <w:rsid w:val="005D6A84"/>
    <w:rsid w:val="005E116A"/>
    <w:rsid w:val="005E7227"/>
    <w:rsid w:val="005F6A60"/>
    <w:rsid w:val="006003C8"/>
    <w:rsid w:val="00602C48"/>
    <w:rsid w:val="00604788"/>
    <w:rsid w:val="006076C5"/>
    <w:rsid w:val="006108B9"/>
    <w:rsid w:val="00612444"/>
    <w:rsid w:val="00622B20"/>
    <w:rsid w:val="006267A0"/>
    <w:rsid w:val="006373D2"/>
    <w:rsid w:val="00637635"/>
    <w:rsid w:val="00641EDA"/>
    <w:rsid w:val="00644C55"/>
    <w:rsid w:val="00645DFE"/>
    <w:rsid w:val="00646452"/>
    <w:rsid w:val="00647A3F"/>
    <w:rsid w:val="00650065"/>
    <w:rsid w:val="006500A0"/>
    <w:rsid w:val="0065157D"/>
    <w:rsid w:val="006524B9"/>
    <w:rsid w:val="006558EC"/>
    <w:rsid w:val="006577FC"/>
    <w:rsid w:val="00661397"/>
    <w:rsid w:val="00664CA7"/>
    <w:rsid w:val="006659D2"/>
    <w:rsid w:val="0066651C"/>
    <w:rsid w:val="006723C6"/>
    <w:rsid w:val="00672DA1"/>
    <w:rsid w:val="0067403D"/>
    <w:rsid w:val="00680F52"/>
    <w:rsid w:val="006818F9"/>
    <w:rsid w:val="006843F8"/>
    <w:rsid w:val="00684B7C"/>
    <w:rsid w:val="00685C6C"/>
    <w:rsid w:val="0068768B"/>
    <w:rsid w:val="00691AB6"/>
    <w:rsid w:val="00693F5C"/>
    <w:rsid w:val="00695138"/>
    <w:rsid w:val="006961CC"/>
    <w:rsid w:val="0069650B"/>
    <w:rsid w:val="00697843"/>
    <w:rsid w:val="006A11E2"/>
    <w:rsid w:val="006A433C"/>
    <w:rsid w:val="006A6C1E"/>
    <w:rsid w:val="006B1EFC"/>
    <w:rsid w:val="006B2C73"/>
    <w:rsid w:val="006B7143"/>
    <w:rsid w:val="006C112A"/>
    <w:rsid w:val="006C6051"/>
    <w:rsid w:val="006D4AFF"/>
    <w:rsid w:val="006D575F"/>
    <w:rsid w:val="006D6465"/>
    <w:rsid w:val="006D6671"/>
    <w:rsid w:val="006D71AB"/>
    <w:rsid w:val="006E2872"/>
    <w:rsid w:val="006E4CDE"/>
    <w:rsid w:val="006E5AA3"/>
    <w:rsid w:val="006E5D54"/>
    <w:rsid w:val="006F0C52"/>
    <w:rsid w:val="006F0D60"/>
    <w:rsid w:val="006F1819"/>
    <w:rsid w:val="006F335A"/>
    <w:rsid w:val="006F4BBF"/>
    <w:rsid w:val="006F56E9"/>
    <w:rsid w:val="007034BF"/>
    <w:rsid w:val="00703E35"/>
    <w:rsid w:val="00705935"/>
    <w:rsid w:val="0070727D"/>
    <w:rsid w:val="00710408"/>
    <w:rsid w:val="00711017"/>
    <w:rsid w:val="00713DBA"/>
    <w:rsid w:val="00714923"/>
    <w:rsid w:val="007243C0"/>
    <w:rsid w:val="00725176"/>
    <w:rsid w:val="00726ACC"/>
    <w:rsid w:val="00732690"/>
    <w:rsid w:val="00732B0B"/>
    <w:rsid w:val="007334E5"/>
    <w:rsid w:val="00741B81"/>
    <w:rsid w:val="0074687F"/>
    <w:rsid w:val="007475FC"/>
    <w:rsid w:val="00750CCF"/>
    <w:rsid w:val="00750ED4"/>
    <w:rsid w:val="00762669"/>
    <w:rsid w:val="0076376F"/>
    <w:rsid w:val="007665AD"/>
    <w:rsid w:val="00770907"/>
    <w:rsid w:val="00770FAD"/>
    <w:rsid w:val="007719BD"/>
    <w:rsid w:val="00783456"/>
    <w:rsid w:val="00783A7F"/>
    <w:rsid w:val="00783C39"/>
    <w:rsid w:val="00784B30"/>
    <w:rsid w:val="00785FB4"/>
    <w:rsid w:val="00786A4D"/>
    <w:rsid w:val="007874D9"/>
    <w:rsid w:val="00793897"/>
    <w:rsid w:val="00793ED1"/>
    <w:rsid w:val="0079562B"/>
    <w:rsid w:val="00797737"/>
    <w:rsid w:val="00797D63"/>
    <w:rsid w:val="007A1E79"/>
    <w:rsid w:val="007A49E6"/>
    <w:rsid w:val="007B13C2"/>
    <w:rsid w:val="007B24E1"/>
    <w:rsid w:val="007B289D"/>
    <w:rsid w:val="007B372E"/>
    <w:rsid w:val="007B38C4"/>
    <w:rsid w:val="007B6A40"/>
    <w:rsid w:val="007C207F"/>
    <w:rsid w:val="007C2943"/>
    <w:rsid w:val="007C4C9C"/>
    <w:rsid w:val="007C674B"/>
    <w:rsid w:val="007C6E7E"/>
    <w:rsid w:val="007D7251"/>
    <w:rsid w:val="007E0E35"/>
    <w:rsid w:val="007E75F9"/>
    <w:rsid w:val="007F7148"/>
    <w:rsid w:val="007F75C1"/>
    <w:rsid w:val="00801994"/>
    <w:rsid w:val="008038E5"/>
    <w:rsid w:val="008039A1"/>
    <w:rsid w:val="008068B2"/>
    <w:rsid w:val="00811188"/>
    <w:rsid w:val="008135C5"/>
    <w:rsid w:val="00820804"/>
    <w:rsid w:val="008237E2"/>
    <w:rsid w:val="00824A23"/>
    <w:rsid w:val="00825936"/>
    <w:rsid w:val="00825F96"/>
    <w:rsid w:val="00832ABB"/>
    <w:rsid w:val="0083715E"/>
    <w:rsid w:val="0084105C"/>
    <w:rsid w:val="0084161F"/>
    <w:rsid w:val="00842D6E"/>
    <w:rsid w:val="00843A09"/>
    <w:rsid w:val="00843DD8"/>
    <w:rsid w:val="00857FE5"/>
    <w:rsid w:val="00865596"/>
    <w:rsid w:val="008723DF"/>
    <w:rsid w:val="008751AC"/>
    <w:rsid w:val="008754D0"/>
    <w:rsid w:val="008816D7"/>
    <w:rsid w:val="00881754"/>
    <w:rsid w:val="0088301C"/>
    <w:rsid w:val="00883737"/>
    <w:rsid w:val="0088399D"/>
    <w:rsid w:val="00892EF9"/>
    <w:rsid w:val="00894262"/>
    <w:rsid w:val="00897EE1"/>
    <w:rsid w:val="008A43AB"/>
    <w:rsid w:val="008B371A"/>
    <w:rsid w:val="008B4A48"/>
    <w:rsid w:val="008C6CE7"/>
    <w:rsid w:val="008C72BF"/>
    <w:rsid w:val="008D0C99"/>
    <w:rsid w:val="008D11EC"/>
    <w:rsid w:val="008D19B9"/>
    <w:rsid w:val="008D319E"/>
    <w:rsid w:val="008D34CA"/>
    <w:rsid w:val="008D3FBF"/>
    <w:rsid w:val="008D595E"/>
    <w:rsid w:val="008D6920"/>
    <w:rsid w:val="008E0B7B"/>
    <w:rsid w:val="008E32D6"/>
    <w:rsid w:val="008F4234"/>
    <w:rsid w:val="008F7918"/>
    <w:rsid w:val="009000E2"/>
    <w:rsid w:val="00905ADF"/>
    <w:rsid w:val="009102E6"/>
    <w:rsid w:val="009106C5"/>
    <w:rsid w:val="00912165"/>
    <w:rsid w:val="00914CDD"/>
    <w:rsid w:val="009158E7"/>
    <w:rsid w:val="009201F0"/>
    <w:rsid w:val="00925621"/>
    <w:rsid w:val="00925876"/>
    <w:rsid w:val="009322FA"/>
    <w:rsid w:val="00935846"/>
    <w:rsid w:val="009375BB"/>
    <w:rsid w:val="00942CC4"/>
    <w:rsid w:val="009458B8"/>
    <w:rsid w:val="00945E41"/>
    <w:rsid w:val="00952514"/>
    <w:rsid w:val="00957D4A"/>
    <w:rsid w:val="00963BBA"/>
    <w:rsid w:val="0096444B"/>
    <w:rsid w:val="00966DA5"/>
    <w:rsid w:val="00971A00"/>
    <w:rsid w:val="009738FB"/>
    <w:rsid w:val="00975D38"/>
    <w:rsid w:val="00977947"/>
    <w:rsid w:val="00977CB4"/>
    <w:rsid w:val="00980281"/>
    <w:rsid w:val="00981CF1"/>
    <w:rsid w:val="00982F61"/>
    <w:rsid w:val="00984888"/>
    <w:rsid w:val="00990022"/>
    <w:rsid w:val="009964B2"/>
    <w:rsid w:val="009A10E3"/>
    <w:rsid w:val="009A302B"/>
    <w:rsid w:val="009A5917"/>
    <w:rsid w:val="009A65F1"/>
    <w:rsid w:val="009A7BB7"/>
    <w:rsid w:val="009A7DD0"/>
    <w:rsid w:val="009B1B0D"/>
    <w:rsid w:val="009B2007"/>
    <w:rsid w:val="009B6FDC"/>
    <w:rsid w:val="009C4DFB"/>
    <w:rsid w:val="009D191B"/>
    <w:rsid w:val="009D5B67"/>
    <w:rsid w:val="009E19F1"/>
    <w:rsid w:val="009E441D"/>
    <w:rsid w:val="009E538B"/>
    <w:rsid w:val="009E79B6"/>
    <w:rsid w:val="00A11DFB"/>
    <w:rsid w:val="00A133D5"/>
    <w:rsid w:val="00A17136"/>
    <w:rsid w:val="00A2066A"/>
    <w:rsid w:val="00A22602"/>
    <w:rsid w:val="00A22F09"/>
    <w:rsid w:val="00A23667"/>
    <w:rsid w:val="00A3008C"/>
    <w:rsid w:val="00A332CD"/>
    <w:rsid w:val="00A33489"/>
    <w:rsid w:val="00A34857"/>
    <w:rsid w:val="00A36DEC"/>
    <w:rsid w:val="00A37F36"/>
    <w:rsid w:val="00A40B5E"/>
    <w:rsid w:val="00A40FE9"/>
    <w:rsid w:val="00A41897"/>
    <w:rsid w:val="00A43B1C"/>
    <w:rsid w:val="00A448C4"/>
    <w:rsid w:val="00A455E5"/>
    <w:rsid w:val="00A46762"/>
    <w:rsid w:val="00A5193F"/>
    <w:rsid w:val="00A52EBE"/>
    <w:rsid w:val="00A62567"/>
    <w:rsid w:val="00A77E05"/>
    <w:rsid w:val="00A80137"/>
    <w:rsid w:val="00A84886"/>
    <w:rsid w:val="00A854FE"/>
    <w:rsid w:val="00A869FB"/>
    <w:rsid w:val="00A875E4"/>
    <w:rsid w:val="00A90DEC"/>
    <w:rsid w:val="00A90F56"/>
    <w:rsid w:val="00A9125D"/>
    <w:rsid w:val="00A91B08"/>
    <w:rsid w:val="00A93460"/>
    <w:rsid w:val="00A943C9"/>
    <w:rsid w:val="00A9549D"/>
    <w:rsid w:val="00A97060"/>
    <w:rsid w:val="00AA24A7"/>
    <w:rsid w:val="00AA435A"/>
    <w:rsid w:val="00AA53D9"/>
    <w:rsid w:val="00AB4309"/>
    <w:rsid w:val="00AB5E53"/>
    <w:rsid w:val="00AC463B"/>
    <w:rsid w:val="00AC4678"/>
    <w:rsid w:val="00AD0217"/>
    <w:rsid w:val="00AD0861"/>
    <w:rsid w:val="00AD27CD"/>
    <w:rsid w:val="00AE3FA2"/>
    <w:rsid w:val="00AE6F88"/>
    <w:rsid w:val="00AF0FB4"/>
    <w:rsid w:val="00AF25F2"/>
    <w:rsid w:val="00AF3DEE"/>
    <w:rsid w:val="00B036DA"/>
    <w:rsid w:val="00B038CA"/>
    <w:rsid w:val="00B03E4C"/>
    <w:rsid w:val="00B04CB7"/>
    <w:rsid w:val="00B126D1"/>
    <w:rsid w:val="00B128C7"/>
    <w:rsid w:val="00B1365A"/>
    <w:rsid w:val="00B139C6"/>
    <w:rsid w:val="00B161B9"/>
    <w:rsid w:val="00B17BA7"/>
    <w:rsid w:val="00B20C46"/>
    <w:rsid w:val="00B20F45"/>
    <w:rsid w:val="00B23537"/>
    <w:rsid w:val="00B25205"/>
    <w:rsid w:val="00B27601"/>
    <w:rsid w:val="00B32364"/>
    <w:rsid w:val="00B3503D"/>
    <w:rsid w:val="00B35E87"/>
    <w:rsid w:val="00B36E99"/>
    <w:rsid w:val="00B37454"/>
    <w:rsid w:val="00B42805"/>
    <w:rsid w:val="00B51053"/>
    <w:rsid w:val="00B53459"/>
    <w:rsid w:val="00B539C6"/>
    <w:rsid w:val="00B555BB"/>
    <w:rsid w:val="00B65814"/>
    <w:rsid w:val="00B669DB"/>
    <w:rsid w:val="00B67235"/>
    <w:rsid w:val="00B70B85"/>
    <w:rsid w:val="00B743B2"/>
    <w:rsid w:val="00B76A80"/>
    <w:rsid w:val="00B7791E"/>
    <w:rsid w:val="00B80099"/>
    <w:rsid w:val="00B82CA4"/>
    <w:rsid w:val="00B84FE4"/>
    <w:rsid w:val="00B91556"/>
    <w:rsid w:val="00B949F9"/>
    <w:rsid w:val="00B9786A"/>
    <w:rsid w:val="00BA0C51"/>
    <w:rsid w:val="00BA3A88"/>
    <w:rsid w:val="00BA4938"/>
    <w:rsid w:val="00BB1490"/>
    <w:rsid w:val="00BB1DEB"/>
    <w:rsid w:val="00BB290A"/>
    <w:rsid w:val="00BB3775"/>
    <w:rsid w:val="00BB637F"/>
    <w:rsid w:val="00BC1DFB"/>
    <w:rsid w:val="00BC238A"/>
    <w:rsid w:val="00BC320C"/>
    <w:rsid w:val="00BC340D"/>
    <w:rsid w:val="00BC483B"/>
    <w:rsid w:val="00BC6821"/>
    <w:rsid w:val="00BD325A"/>
    <w:rsid w:val="00BD4768"/>
    <w:rsid w:val="00BD4A88"/>
    <w:rsid w:val="00BD7AB0"/>
    <w:rsid w:val="00BE1A00"/>
    <w:rsid w:val="00BE1FF4"/>
    <w:rsid w:val="00BE3AB0"/>
    <w:rsid w:val="00BE573D"/>
    <w:rsid w:val="00BE7EE5"/>
    <w:rsid w:val="00BF1847"/>
    <w:rsid w:val="00BF1A68"/>
    <w:rsid w:val="00BF2948"/>
    <w:rsid w:val="00BF2F4E"/>
    <w:rsid w:val="00BF4B64"/>
    <w:rsid w:val="00BF4F97"/>
    <w:rsid w:val="00BF5445"/>
    <w:rsid w:val="00BF6083"/>
    <w:rsid w:val="00C04B0C"/>
    <w:rsid w:val="00C1410E"/>
    <w:rsid w:val="00C143D3"/>
    <w:rsid w:val="00C1470A"/>
    <w:rsid w:val="00C17885"/>
    <w:rsid w:val="00C236A6"/>
    <w:rsid w:val="00C24DBA"/>
    <w:rsid w:val="00C33510"/>
    <w:rsid w:val="00C40024"/>
    <w:rsid w:val="00C44938"/>
    <w:rsid w:val="00C44CF3"/>
    <w:rsid w:val="00C56A49"/>
    <w:rsid w:val="00C66A4D"/>
    <w:rsid w:val="00C677DA"/>
    <w:rsid w:val="00C71212"/>
    <w:rsid w:val="00C71C48"/>
    <w:rsid w:val="00C720BD"/>
    <w:rsid w:val="00C7468D"/>
    <w:rsid w:val="00C7471D"/>
    <w:rsid w:val="00C7621F"/>
    <w:rsid w:val="00C84FCB"/>
    <w:rsid w:val="00C90CBE"/>
    <w:rsid w:val="00CA5137"/>
    <w:rsid w:val="00CA6F7E"/>
    <w:rsid w:val="00CA74A4"/>
    <w:rsid w:val="00CB0A78"/>
    <w:rsid w:val="00CB5C0A"/>
    <w:rsid w:val="00CC0946"/>
    <w:rsid w:val="00CC2E5A"/>
    <w:rsid w:val="00CC66AB"/>
    <w:rsid w:val="00CC671A"/>
    <w:rsid w:val="00CD0DBA"/>
    <w:rsid w:val="00CE3C7F"/>
    <w:rsid w:val="00CE3E23"/>
    <w:rsid w:val="00CE61F2"/>
    <w:rsid w:val="00CE7A3D"/>
    <w:rsid w:val="00CE7D46"/>
    <w:rsid w:val="00CF034F"/>
    <w:rsid w:val="00CF4428"/>
    <w:rsid w:val="00CF5700"/>
    <w:rsid w:val="00D00114"/>
    <w:rsid w:val="00D009C8"/>
    <w:rsid w:val="00D03276"/>
    <w:rsid w:val="00D05A16"/>
    <w:rsid w:val="00D071C0"/>
    <w:rsid w:val="00D0740E"/>
    <w:rsid w:val="00D102AA"/>
    <w:rsid w:val="00D11C4F"/>
    <w:rsid w:val="00D14BEC"/>
    <w:rsid w:val="00D22592"/>
    <w:rsid w:val="00D23281"/>
    <w:rsid w:val="00D2690D"/>
    <w:rsid w:val="00D3066A"/>
    <w:rsid w:val="00D33EBD"/>
    <w:rsid w:val="00D342D9"/>
    <w:rsid w:val="00D42427"/>
    <w:rsid w:val="00D447A9"/>
    <w:rsid w:val="00D4754F"/>
    <w:rsid w:val="00D50438"/>
    <w:rsid w:val="00D506E6"/>
    <w:rsid w:val="00D5618F"/>
    <w:rsid w:val="00D57CD8"/>
    <w:rsid w:val="00D61020"/>
    <w:rsid w:val="00D61771"/>
    <w:rsid w:val="00D62C95"/>
    <w:rsid w:val="00D62CAC"/>
    <w:rsid w:val="00D72FC2"/>
    <w:rsid w:val="00D73185"/>
    <w:rsid w:val="00D7371C"/>
    <w:rsid w:val="00D757B2"/>
    <w:rsid w:val="00D759FC"/>
    <w:rsid w:val="00D76B7A"/>
    <w:rsid w:val="00D850D5"/>
    <w:rsid w:val="00D85A7B"/>
    <w:rsid w:val="00D86221"/>
    <w:rsid w:val="00D86B86"/>
    <w:rsid w:val="00D87446"/>
    <w:rsid w:val="00D91BF6"/>
    <w:rsid w:val="00D92BB9"/>
    <w:rsid w:val="00DA0075"/>
    <w:rsid w:val="00DB3D67"/>
    <w:rsid w:val="00DC1353"/>
    <w:rsid w:val="00DC5580"/>
    <w:rsid w:val="00DD1253"/>
    <w:rsid w:val="00DD16EE"/>
    <w:rsid w:val="00DD4B70"/>
    <w:rsid w:val="00DD566F"/>
    <w:rsid w:val="00DE2008"/>
    <w:rsid w:val="00DE2188"/>
    <w:rsid w:val="00DE2642"/>
    <w:rsid w:val="00DF0014"/>
    <w:rsid w:val="00DF025F"/>
    <w:rsid w:val="00DF128F"/>
    <w:rsid w:val="00E00C79"/>
    <w:rsid w:val="00E01BA3"/>
    <w:rsid w:val="00E01CD1"/>
    <w:rsid w:val="00E0310B"/>
    <w:rsid w:val="00E03662"/>
    <w:rsid w:val="00E049FC"/>
    <w:rsid w:val="00E05B0F"/>
    <w:rsid w:val="00E076D7"/>
    <w:rsid w:val="00E10B9D"/>
    <w:rsid w:val="00E128E1"/>
    <w:rsid w:val="00E14B37"/>
    <w:rsid w:val="00E17E60"/>
    <w:rsid w:val="00E2464A"/>
    <w:rsid w:val="00E279B0"/>
    <w:rsid w:val="00E312B2"/>
    <w:rsid w:val="00E3420B"/>
    <w:rsid w:val="00E35DAA"/>
    <w:rsid w:val="00E5627D"/>
    <w:rsid w:val="00E5694A"/>
    <w:rsid w:val="00E6293B"/>
    <w:rsid w:val="00E65C80"/>
    <w:rsid w:val="00E6636A"/>
    <w:rsid w:val="00E66A2F"/>
    <w:rsid w:val="00E671CA"/>
    <w:rsid w:val="00E719BB"/>
    <w:rsid w:val="00E7209B"/>
    <w:rsid w:val="00E74C3F"/>
    <w:rsid w:val="00E8006B"/>
    <w:rsid w:val="00E8325E"/>
    <w:rsid w:val="00E84294"/>
    <w:rsid w:val="00E928BE"/>
    <w:rsid w:val="00E93750"/>
    <w:rsid w:val="00E944B0"/>
    <w:rsid w:val="00E95B07"/>
    <w:rsid w:val="00EA0B1C"/>
    <w:rsid w:val="00EA41E3"/>
    <w:rsid w:val="00EA463B"/>
    <w:rsid w:val="00EA639D"/>
    <w:rsid w:val="00EB4179"/>
    <w:rsid w:val="00EB46C1"/>
    <w:rsid w:val="00EC1427"/>
    <w:rsid w:val="00EC5178"/>
    <w:rsid w:val="00EC6807"/>
    <w:rsid w:val="00ED205D"/>
    <w:rsid w:val="00ED7941"/>
    <w:rsid w:val="00EE4D94"/>
    <w:rsid w:val="00EE7833"/>
    <w:rsid w:val="00F004D2"/>
    <w:rsid w:val="00F023C8"/>
    <w:rsid w:val="00F07608"/>
    <w:rsid w:val="00F12500"/>
    <w:rsid w:val="00F13509"/>
    <w:rsid w:val="00F1626B"/>
    <w:rsid w:val="00F20DFE"/>
    <w:rsid w:val="00F228B2"/>
    <w:rsid w:val="00F3499F"/>
    <w:rsid w:val="00F34BEB"/>
    <w:rsid w:val="00F358C7"/>
    <w:rsid w:val="00F4194F"/>
    <w:rsid w:val="00F474E4"/>
    <w:rsid w:val="00F51083"/>
    <w:rsid w:val="00F53D8B"/>
    <w:rsid w:val="00F70C42"/>
    <w:rsid w:val="00F71198"/>
    <w:rsid w:val="00F7135D"/>
    <w:rsid w:val="00F71D8B"/>
    <w:rsid w:val="00F726FF"/>
    <w:rsid w:val="00F76DC7"/>
    <w:rsid w:val="00F77FF1"/>
    <w:rsid w:val="00F82376"/>
    <w:rsid w:val="00FA00D5"/>
    <w:rsid w:val="00FA0DAB"/>
    <w:rsid w:val="00FA2973"/>
    <w:rsid w:val="00FA311A"/>
    <w:rsid w:val="00FA3FC5"/>
    <w:rsid w:val="00FA4EC2"/>
    <w:rsid w:val="00FB4727"/>
    <w:rsid w:val="00FB4E1D"/>
    <w:rsid w:val="00FC0054"/>
    <w:rsid w:val="00FC118A"/>
    <w:rsid w:val="00FC1E27"/>
    <w:rsid w:val="00FC232E"/>
    <w:rsid w:val="00FC3B63"/>
    <w:rsid w:val="00FC60F1"/>
    <w:rsid w:val="00FD0251"/>
    <w:rsid w:val="00FD249F"/>
    <w:rsid w:val="00FD27D6"/>
    <w:rsid w:val="00FD44DB"/>
    <w:rsid w:val="00FD4585"/>
    <w:rsid w:val="00FE6E51"/>
    <w:rsid w:val="00FE7E3F"/>
    <w:rsid w:val="00FF10EC"/>
    <w:rsid w:val="00FF2032"/>
    <w:rsid w:val="00FF647C"/>
    <w:rsid w:val="00FF7582"/>
    <w:rsid w:val="00FF7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28FC1C5E"/>
  <w15:docId w15:val="{87330DB2-785B-4ACA-989D-F84D214F5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495"/>
  </w:style>
  <w:style w:type="paragraph" w:styleId="Heading1">
    <w:name w:val="heading 1"/>
    <w:basedOn w:val="Normal"/>
    <w:next w:val="Normal"/>
    <w:link w:val="Heading1Char"/>
    <w:autoRedefine/>
    <w:uiPriority w:val="9"/>
    <w:qFormat/>
    <w:rsid w:val="000D2147"/>
    <w:pPr>
      <w:widowControl w:val="0"/>
      <w:tabs>
        <w:tab w:val="num" w:pos="709"/>
      </w:tabs>
      <w:spacing w:before="240" w:after="120" w:line="240" w:lineRule="auto"/>
      <w:outlineLvl w:val="0"/>
    </w:pPr>
    <w:rPr>
      <w:rFonts w:eastAsiaTheme="majorEastAsia" w:cstheme="majorBidi"/>
      <w:b/>
      <w:bCs/>
      <w:color w:val="365F91" w:themeColor="accent1" w:themeShade="BF"/>
      <w:sz w:val="28"/>
      <w:szCs w:val="28"/>
      <w:lang w:eastAsia="en-GB"/>
    </w:rPr>
  </w:style>
  <w:style w:type="paragraph" w:styleId="Heading2">
    <w:name w:val="heading 2"/>
    <w:basedOn w:val="Normal"/>
    <w:next w:val="Normal"/>
    <w:link w:val="Heading2Char"/>
    <w:uiPriority w:val="9"/>
    <w:unhideWhenUsed/>
    <w:qFormat/>
    <w:rsid w:val="008754D0"/>
    <w:pPr>
      <w:keepNext/>
      <w:keepLines/>
      <w:spacing w:before="440" w:after="24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autoRedefine/>
    <w:uiPriority w:val="9"/>
    <w:unhideWhenUsed/>
    <w:qFormat/>
    <w:rsid w:val="000C1A64"/>
    <w:pPr>
      <w:keepNext/>
      <w:keepLines/>
      <w:spacing w:before="440" w:after="240"/>
      <w:ind w:left="1418"/>
      <w:outlineLvl w:val="2"/>
    </w:pPr>
    <w:rPr>
      <w:rFonts w:eastAsiaTheme="majorEastAsia" w:cstheme="majorBidi"/>
      <w:b/>
      <w:bCs/>
      <w:color w:val="1F497D" w:themeColor="text2"/>
    </w:rPr>
  </w:style>
  <w:style w:type="paragraph" w:styleId="Heading4">
    <w:name w:val="heading 4"/>
    <w:basedOn w:val="Heading3"/>
    <w:next w:val="Normal"/>
    <w:link w:val="Heading4Char"/>
    <w:autoRedefine/>
    <w:uiPriority w:val="9"/>
    <w:unhideWhenUsed/>
    <w:qFormat/>
    <w:rsid w:val="00EA463B"/>
    <w:pPr>
      <w:tabs>
        <w:tab w:val="left" w:pos="1843"/>
        <w:tab w:val="left" w:pos="2410"/>
      </w:tabs>
      <w:ind w:left="2410"/>
      <w:outlineLvl w:val="3"/>
    </w:pPr>
    <w:rPr>
      <w:bCs w:val="0"/>
      <w:iCs/>
      <w:lang w:eastAsia="en-GB"/>
    </w:rPr>
  </w:style>
  <w:style w:type="paragraph" w:styleId="Heading5">
    <w:name w:val="heading 5"/>
    <w:basedOn w:val="Normal"/>
    <w:next w:val="Normal"/>
    <w:link w:val="Heading5Char"/>
    <w:uiPriority w:val="9"/>
    <w:semiHidden/>
    <w:unhideWhenUsed/>
    <w:qFormat/>
    <w:rsid w:val="001B0013"/>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86"/>
    <w:pPr>
      <w:ind w:left="720"/>
      <w:contextualSpacing/>
    </w:pPr>
  </w:style>
  <w:style w:type="paragraph" w:styleId="Header">
    <w:name w:val="header"/>
    <w:basedOn w:val="Normal"/>
    <w:link w:val="HeaderChar"/>
    <w:unhideWhenUsed/>
    <w:rsid w:val="00BB637F"/>
    <w:pPr>
      <w:tabs>
        <w:tab w:val="center" w:pos="4513"/>
        <w:tab w:val="right" w:pos="9026"/>
      </w:tabs>
      <w:spacing w:after="0" w:line="240" w:lineRule="auto"/>
    </w:pPr>
  </w:style>
  <w:style w:type="character" w:customStyle="1" w:styleId="HeaderChar">
    <w:name w:val="Header Char"/>
    <w:basedOn w:val="DefaultParagraphFont"/>
    <w:link w:val="Header"/>
    <w:rsid w:val="00BB637F"/>
  </w:style>
  <w:style w:type="paragraph" w:styleId="Footer">
    <w:name w:val="footer"/>
    <w:basedOn w:val="Normal"/>
    <w:link w:val="FooterChar"/>
    <w:unhideWhenUsed/>
    <w:rsid w:val="00BB6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37F"/>
  </w:style>
  <w:style w:type="paragraph" w:styleId="BalloonText">
    <w:name w:val="Balloon Text"/>
    <w:basedOn w:val="Normal"/>
    <w:link w:val="BalloonTextChar"/>
    <w:uiPriority w:val="99"/>
    <w:semiHidden/>
    <w:unhideWhenUsed/>
    <w:rsid w:val="00BB6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37F"/>
    <w:rPr>
      <w:rFonts w:ascii="Tahoma" w:hAnsi="Tahoma" w:cs="Tahoma"/>
      <w:sz w:val="16"/>
      <w:szCs w:val="16"/>
    </w:rPr>
  </w:style>
  <w:style w:type="character" w:styleId="Hyperlink">
    <w:name w:val="Hyperlink"/>
    <w:basedOn w:val="DefaultParagraphFont"/>
    <w:uiPriority w:val="99"/>
    <w:unhideWhenUsed/>
    <w:rsid w:val="00BB637F"/>
    <w:rPr>
      <w:color w:val="0000FF" w:themeColor="hyperlink"/>
      <w:u w:val="single"/>
    </w:rPr>
  </w:style>
  <w:style w:type="character" w:customStyle="1" w:styleId="Heading1Char">
    <w:name w:val="Heading 1 Char"/>
    <w:basedOn w:val="DefaultParagraphFont"/>
    <w:link w:val="Heading1"/>
    <w:uiPriority w:val="9"/>
    <w:rsid w:val="000D2147"/>
    <w:rPr>
      <w:rFonts w:eastAsiaTheme="majorEastAsia" w:cstheme="majorBidi"/>
      <w:b/>
      <w:bCs/>
      <w:color w:val="365F91" w:themeColor="accent1" w:themeShade="BF"/>
      <w:sz w:val="28"/>
      <w:szCs w:val="28"/>
      <w:lang w:eastAsia="en-GB"/>
    </w:rPr>
  </w:style>
  <w:style w:type="paragraph" w:styleId="TOCHeading">
    <w:name w:val="TOC Heading"/>
    <w:basedOn w:val="Heading1"/>
    <w:next w:val="Normal"/>
    <w:uiPriority w:val="39"/>
    <w:unhideWhenUsed/>
    <w:qFormat/>
    <w:rsid w:val="00B038CA"/>
    <w:pPr>
      <w:outlineLvl w:val="9"/>
    </w:pPr>
    <w:rPr>
      <w:lang w:val="en-US"/>
    </w:rPr>
  </w:style>
  <w:style w:type="paragraph" w:styleId="TOC2">
    <w:name w:val="toc 2"/>
    <w:basedOn w:val="Normal"/>
    <w:next w:val="Normal"/>
    <w:autoRedefine/>
    <w:uiPriority w:val="39"/>
    <w:unhideWhenUsed/>
    <w:qFormat/>
    <w:rsid w:val="00003468"/>
    <w:pPr>
      <w:spacing w:after="100"/>
      <w:ind w:left="220"/>
    </w:pPr>
    <w:rPr>
      <w:rFonts w:eastAsiaTheme="minorEastAsia" w:cstheme="minorBidi"/>
      <w:sz w:val="22"/>
      <w:lang w:val="en-US"/>
    </w:rPr>
  </w:style>
  <w:style w:type="paragraph" w:styleId="TOC1">
    <w:name w:val="toc 1"/>
    <w:basedOn w:val="Normal"/>
    <w:next w:val="Normal"/>
    <w:autoRedefine/>
    <w:uiPriority w:val="39"/>
    <w:unhideWhenUsed/>
    <w:qFormat/>
    <w:rsid w:val="00003468"/>
    <w:pPr>
      <w:spacing w:after="100"/>
    </w:pPr>
    <w:rPr>
      <w:rFonts w:eastAsiaTheme="minorEastAsia" w:cstheme="minorBidi"/>
      <w:lang w:val="en-US"/>
    </w:rPr>
  </w:style>
  <w:style w:type="paragraph" w:styleId="TOC3">
    <w:name w:val="toc 3"/>
    <w:basedOn w:val="Normal"/>
    <w:next w:val="Normal"/>
    <w:autoRedefine/>
    <w:uiPriority w:val="39"/>
    <w:unhideWhenUsed/>
    <w:qFormat/>
    <w:rsid w:val="00CC2E5A"/>
    <w:pPr>
      <w:tabs>
        <w:tab w:val="left" w:pos="1100"/>
        <w:tab w:val="right" w:leader="dot" w:pos="9639"/>
      </w:tabs>
      <w:spacing w:after="100"/>
      <w:ind w:left="426"/>
    </w:pPr>
    <w:rPr>
      <w:rFonts w:eastAsiaTheme="minorEastAsia" w:cstheme="minorBidi"/>
      <w:sz w:val="20"/>
      <w:lang w:val="en-US"/>
    </w:rPr>
  </w:style>
  <w:style w:type="character" w:customStyle="1" w:styleId="Heading2Char">
    <w:name w:val="Heading 2 Char"/>
    <w:basedOn w:val="DefaultParagraphFont"/>
    <w:link w:val="Heading2"/>
    <w:uiPriority w:val="9"/>
    <w:rsid w:val="008754D0"/>
    <w:rPr>
      <w:rFonts w:eastAsiaTheme="majorEastAsia" w:cstheme="majorBidi"/>
      <w:b/>
      <w:bCs/>
      <w:color w:val="1F497D" w:themeColor="text2"/>
      <w:sz w:val="26"/>
      <w:szCs w:val="26"/>
    </w:rPr>
  </w:style>
  <w:style w:type="character" w:customStyle="1" w:styleId="Heading3Char">
    <w:name w:val="Heading 3 Char"/>
    <w:basedOn w:val="DefaultParagraphFont"/>
    <w:link w:val="Heading3"/>
    <w:uiPriority w:val="9"/>
    <w:rsid w:val="000C1A64"/>
    <w:rPr>
      <w:rFonts w:eastAsiaTheme="majorEastAsia" w:cstheme="majorBidi"/>
      <w:b/>
      <w:bCs/>
      <w:color w:val="1F497D" w:themeColor="text2"/>
    </w:rPr>
  </w:style>
  <w:style w:type="paragraph" w:styleId="NoSpacing">
    <w:name w:val="No Spacing"/>
    <w:uiPriority w:val="1"/>
    <w:qFormat/>
    <w:rsid w:val="00AF0FB4"/>
    <w:pPr>
      <w:spacing w:after="0" w:line="240" w:lineRule="auto"/>
    </w:pPr>
  </w:style>
  <w:style w:type="table" w:styleId="TableGrid">
    <w:name w:val="Table Grid"/>
    <w:basedOn w:val="TableNormal"/>
    <w:rsid w:val="003366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3366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D05A16"/>
    <w:rPr>
      <w:color w:val="800080" w:themeColor="followedHyperlink"/>
      <w:u w:val="single"/>
    </w:rPr>
  </w:style>
  <w:style w:type="paragraph" w:customStyle="1" w:styleId="default">
    <w:name w:val="default"/>
    <w:basedOn w:val="Normal"/>
    <w:rsid w:val="007034BF"/>
    <w:pPr>
      <w:autoSpaceDE w:val="0"/>
      <w:autoSpaceDN w:val="0"/>
      <w:spacing w:after="0" w:line="240" w:lineRule="auto"/>
    </w:pPr>
    <w:rPr>
      <w:rFonts w:ascii="Calibri" w:hAnsi="Calibri" w:cs="Times New Roman"/>
      <w:color w:val="000000"/>
      <w:lang w:eastAsia="en-GB"/>
    </w:rPr>
  </w:style>
  <w:style w:type="character" w:customStyle="1" w:styleId="Heading4Char">
    <w:name w:val="Heading 4 Char"/>
    <w:basedOn w:val="DefaultParagraphFont"/>
    <w:link w:val="Heading4"/>
    <w:uiPriority w:val="9"/>
    <w:rsid w:val="00EA463B"/>
    <w:rPr>
      <w:rFonts w:eastAsiaTheme="majorEastAsia" w:cstheme="majorBidi"/>
      <w:b/>
      <w:iCs/>
      <w:color w:val="1F497D" w:themeColor="text2"/>
      <w:lang w:eastAsia="en-GB"/>
    </w:rPr>
  </w:style>
  <w:style w:type="paragraph" w:styleId="NormalIndent">
    <w:name w:val="Normal Indent"/>
    <w:aliases w:val="Normal Indent Char1,Normal Indent Char Char,Normal Indent Char3 Char Char Char,Normal Indent Char1 Char Char Char Char,Normal Indent Char2 Char1 Char Char Char Char,Normal Indent Char1 Char1 Char Char1 Char Char Char,Normal Indent Char"/>
    <w:basedOn w:val="Normal"/>
    <w:link w:val="NormalIndentChar2"/>
    <w:rsid w:val="00762669"/>
    <w:pPr>
      <w:keepLines/>
      <w:spacing w:after="240" w:line="240" w:lineRule="auto"/>
      <w:ind w:left="720"/>
      <w:jc w:val="both"/>
    </w:pPr>
    <w:rPr>
      <w:rFonts w:ascii="Tahoma" w:eastAsia="Times New Roman" w:hAnsi="Tahoma" w:cs="Times New Roman"/>
      <w:sz w:val="22"/>
      <w:szCs w:val="20"/>
    </w:rPr>
  </w:style>
  <w:style w:type="character" w:customStyle="1" w:styleId="NormalIndentChar2">
    <w:name w:val="Normal Indent Char2"/>
    <w:aliases w:val="Normal Indent Char1 Char,Normal Indent Char Char Char,Normal Indent Char3 Char Char Char Char,Normal Indent Char1 Char Char Char Char Char,Normal Indent Char2 Char1 Char Char Char Char Char,Normal Indent Char Char1"/>
    <w:link w:val="NormalIndent"/>
    <w:rsid w:val="00762669"/>
    <w:rPr>
      <w:rFonts w:ascii="Tahoma" w:eastAsia="Times New Roman" w:hAnsi="Tahoma" w:cs="Times New Roman"/>
      <w:sz w:val="22"/>
      <w:szCs w:val="20"/>
    </w:rPr>
  </w:style>
  <w:style w:type="paragraph" w:styleId="CommentText">
    <w:name w:val="annotation text"/>
    <w:basedOn w:val="Normal"/>
    <w:link w:val="CommentTextChar"/>
    <w:uiPriority w:val="99"/>
    <w:rsid w:val="00762669"/>
    <w:pPr>
      <w:spacing w:after="240" w:line="240" w:lineRule="auto"/>
    </w:pPr>
    <w:rPr>
      <w:rFonts w:ascii="Tahoma" w:eastAsia="Times New Roman" w:hAnsi="Tahoma" w:cs="Times New Roman"/>
      <w:sz w:val="20"/>
      <w:szCs w:val="20"/>
    </w:rPr>
  </w:style>
  <w:style w:type="character" w:customStyle="1" w:styleId="CommentTextChar">
    <w:name w:val="Comment Text Char"/>
    <w:basedOn w:val="DefaultParagraphFont"/>
    <w:link w:val="CommentText"/>
    <w:uiPriority w:val="99"/>
    <w:rsid w:val="00762669"/>
    <w:rPr>
      <w:rFonts w:ascii="Tahoma" w:eastAsia="Times New Roman" w:hAnsi="Tahoma" w:cs="Times New Roman"/>
      <w:sz w:val="20"/>
      <w:szCs w:val="20"/>
    </w:rPr>
  </w:style>
  <w:style w:type="character" w:styleId="PlaceholderText">
    <w:name w:val="Placeholder Text"/>
    <w:basedOn w:val="DefaultParagraphFont"/>
    <w:uiPriority w:val="99"/>
    <w:semiHidden/>
    <w:rsid w:val="00E928BE"/>
    <w:rPr>
      <w:color w:val="808080"/>
    </w:rPr>
  </w:style>
  <w:style w:type="character" w:customStyle="1" w:styleId="Heading5Char">
    <w:name w:val="Heading 5 Char"/>
    <w:basedOn w:val="DefaultParagraphFont"/>
    <w:link w:val="Heading5"/>
    <w:uiPriority w:val="9"/>
    <w:semiHidden/>
    <w:rsid w:val="001B0013"/>
    <w:rPr>
      <w:rFonts w:eastAsiaTheme="majorEastAsia" w:cstheme="majorBidi"/>
      <w:color w:val="243F60" w:themeColor="accent1" w:themeShade="7F"/>
    </w:rPr>
  </w:style>
  <w:style w:type="paragraph" w:styleId="DocumentMap">
    <w:name w:val="Document Map"/>
    <w:basedOn w:val="Normal"/>
    <w:link w:val="DocumentMapChar"/>
    <w:uiPriority w:val="99"/>
    <w:semiHidden/>
    <w:unhideWhenUsed/>
    <w:rsid w:val="00C56A4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6A49"/>
    <w:rPr>
      <w:rFonts w:ascii="Tahoma" w:hAnsi="Tahoma" w:cs="Tahoma"/>
      <w:sz w:val="16"/>
      <w:szCs w:val="16"/>
    </w:rPr>
  </w:style>
  <w:style w:type="paragraph" w:customStyle="1" w:styleId="CentredTitle">
    <w:name w:val="Centred Title"/>
    <w:basedOn w:val="Paratext"/>
    <w:next w:val="Paratext"/>
    <w:autoRedefine/>
    <w:rsid w:val="00446729"/>
    <w:pPr>
      <w:ind w:left="0"/>
      <w:jc w:val="center"/>
    </w:pPr>
    <w:rPr>
      <w:b/>
      <w:sz w:val="32"/>
      <w:szCs w:val="28"/>
    </w:rPr>
  </w:style>
  <w:style w:type="character" w:customStyle="1" w:styleId="ParatextChar">
    <w:name w:val="Para text Char"/>
    <w:basedOn w:val="DefaultParagraphFont"/>
    <w:link w:val="Paratext"/>
    <w:rsid w:val="002720E6"/>
    <w:rPr>
      <w:lang w:val="en-US"/>
    </w:rPr>
  </w:style>
  <w:style w:type="paragraph" w:customStyle="1" w:styleId="Paratext">
    <w:name w:val="Para text"/>
    <w:basedOn w:val="Normal"/>
    <w:link w:val="ParatextChar"/>
    <w:autoRedefine/>
    <w:rsid w:val="002720E6"/>
    <w:pPr>
      <w:autoSpaceDE w:val="0"/>
      <w:autoSpaceDN w:val="0"/>
      <w:adjustRightInd w:val="0"/>
      <w:spacing w:before="120" w:after="120" w:line="240" w:lineRule="auto"/>
      <w:ind w:left="720"/>
    </w:pPr>
    <w:rPr>
      <w:lang w:val="en-US"/>
    </w:rPr>
  </w:style>
  <w:style w:type="paragraph" w:customStyle="1" w:styleId="Default0">
    <w:name w:val="Default"/>
    <w:rsid w:val="001A0E44"/>
    <w:pPr>
      <w:autoSpaceDE w:val="0"/>
      <w:autoSpaceDN w:val="0"/>
      <w:adjustRightInd w:val="0"/>
      <w:spacing w:after="0" w:line="240" w:lineRule="auto"/>
    </w:pPr>
    <w:rPr>
      <w:rFonts w:eastAsia="Times New Roman"/>
      <w:color w:val="000000"/>
      <w:lang w:eastAsia="en-GB"/>
    </w:rPr>
  </w:style>
  <w:style w:type="character" w:customStyle="1" w:styleId="normal2">
    <w:name w:val="normal2"/>
    <w:basedOn w:val="DefaultParagraphFont"/>
    <w:rsid w:val="00AE6F88"/>
    <w:rPr>
      <w:shd w:val="clear" w:color="auto" w:fill="FFFFFF"/>
    </w:rPr>
  </w:style>
  <w:style w:type="character" w:styleId="CommentReference">
    <w:name w:val="annotation reference"/>
    <w:basedOn w:val="DefaultParagraphFont"/>
    <w:uiPriority w:val="99"/>
    <w:semiHidden/>
    <w:unhideWhenUsed/>
    <w:rsid w:val="00BD7AB0"/>
    <w:rPr>
      <w:sz w:val="16"/>
      <w:szCs w:val="16"/>
    </w:rPr>
  </w:style>
  <w:style w:type="paragraph" w:styleId="CommentSubject">
    <w:name w:val="annotation subject"/>
    <w:basedOn w:val="CommentText"/>
    <w:next w:val="CommentText"/>
    <w:link w:val="CommentSubjectChar"/>
    <w:uiPriority w:val="99"/>
    <w:semiHidden/>
    <w:unhideWhenUsed/>
    <w:rsid w:val="00BD7AB0"/>
    <w:pPr>
      <w:spacing w:after="200"/>
    </w:pPr>
    <w:rPr>
      <w:rFonts w:ascii="Arial" w:eastAsiaTheme="minorHAnsi" w:hAnsi="Arial" w:cs="Arial"/>
      <w:b/>
      <w:bCs/>
    </w:rPr>
  </w:style>
  <w:style w:type="character" w:customStyle="1" w:styleId="CommentSubjectChar">
    <w:name w:val="Comment Subject Char"/>
    <w:basedOn w:val="CommentTextChar"/>
    <w:link w:val="CommentSubject"/>
    <w:uiPriority w:val="99"/>
    <w:semiHidden/>
    <w:rsid w:val="00BD7AB0"/>
    <w:rPr>
      <w:rFonts w:ascii="Tahoma" w:eastAsia="Times New Roman" w:hAnsi="Tahom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31970">
      <w:bodyDiv w:val="1"/>
      <w:marLeft w:val="0"/>
      <w:marRight w:val="0"/>
      <w:marTop w:val="0"/>
      <w:marBottom w:val="0"/>
      <w:divBdr>
        <w:top w:val="none" w:sz="0" w:space="0" w:color="auto"/>
        <w:left w:val="none" w:sz="0" w:space="0" w:color="auto"/>
        <w:bottom w:val="none" w:sz="0" w:space="0" w:color="auto"/>
        <w:right w:val="none" w:sz="0" w:space="0" w:color="auto"/>
      </w:divBdr>
    </w:div>
    <w:div w:id="117115307">
      <w:bodyDiv w:val="1"/>
      <w:marLeft w:val="0"/>
      <w:marRight w:val="0"/>
      <w:marTop w:val="0"/>
      <w:marBottom w:val="0"/>
      <w:divBdr>
        <w:top w:val="none" w:sz="0" w:space="0" w:color="auto"/>
        <w:left w:val="none" w:sz="0" w:space="0" w:color="auto"/>
        <w:bottom w:val="none" w:sz="0" w:space="0" w:color="auto"/>
        <w:right w:val="none" w:sz="0" w:space="0" w:color="auto"/>
      </w:divBdr>
    </w:div>
    <w:div w:id="524951577">
      <w:bodyDiv w:val="1"/>
      <w:marLeft w:val="0"/>
      <w:marRight w:val="0"/>
      <w:marTop w:val="0"/>
      <w:marBottom w:val="0"/>
      <w:divBdr>
        <w:top w:val="none" w:sz="0" w:space="0" w:color="auto"/>
        <w:left w:val="none" w:sz="0" w:space="0" w:color="auto"/>
        <w:bottom w:val="none" w:sz="0" w:space="0" w:color="auto"/>
        <w:right w:val="none" w:sz="0" w:space="0" w:color="auto"/>
      </w:divBdr>
    </w:div>
    <w:div w:id="985935781">
      <w:bodyDiv w:val="1"/>
      <w:marLeft w:val="0"/>
      <w:marRight w:val="0"/>
      <w:marTop w:val="0"/>
      <w:marBottom w:val="0"/>
      <w:divBdr>
        <w:top w:val="none" w:sz="0" w:space="0" w:color="auto"/>
        <w:left w:val="none" w:sz="0" w:space="0" w:color="auto"/>
        <w:bottom w:val="none" w:sz="0" w:space="0" w:color="auto"/>
        <w:right w:val="none" w:sz="0" w:space="0" w:color="auto"/>
      </w:divBdr>
    </w:div>
    <w:div w:id="1122188943">
      <w:bodyDiv w:val="1"/>
      <w:marLeft w:val="0"/>
      <w:marRight w:val="0"/>
      <w:marTop w:val="0"/>
      <w:marBottom w:val="0"/>
      <w:divBdr>
        <w:top w:val="none" w:sz="0" w:space="0" w:color="auto"/>
        <w:left w:val="none" w:sz="0" w:space="0" w:color="auto"/>
        <w:bottom w:val="none" w:sz="0" w:space="0" w:color="auto"/>
        <w:right w:val="none" w:sz="0" w:space="0" w:color="auto"/>
      </w:divBdr>
      <w:divsChild>
        <w:div w:id="1688944467">
          <w:marLeft w:val="1166"/>
          <w:marRight w:val="0"/>
          <w:marTop w:val="91"/>
          <w:marBottom w:val="0"/>
          <w:divBdr>
            <w:top w:val="none" w:sz="0" w:space="0" w:color="auto"/>
            <w:left w:val="none" w:sz="0" w:space="0" w:color="auto"/>
            <w:bottom w:val="none" w:sz="0" w:space="0" w:color="auto"/>
            <w:right w:val="none" w:sz="0" w:space="0" w:color="auto"/>
          </w:divBdr>
        </w:div>
        <w:div w:id="1384864675">
          <w:marLeft w:val="1166"/>
          <w:marRight w:val="0"/>
          <w:marTop w:val="91"/>
          <w:marBottom w:val="0"/>
          <w:divBdr>
            <w:top w:val="none" w:sz="0" w:space="0" w:color="auto"/>
            <w:left w:val="none" w:sz="0" w:space="0" w:color="auto"/>
            <w:bottom w:val="none" w:sz="0" w:space="0" w:color="auto"/>
            <w:right w:val="none" w:sz="0" w:space="0" w:color="auto"/>
          </w:divBdr>
        </w:div>
        <w:div w:id="1776946041">
          <w:marLeft w:val="1166"/>
          <w:marRight w:val="0"/>
          <w:marTop w:val="91"/>
          <w:marBottom w:val="0"/>
          <w:divBdr>
            <w:top w:val="none" w:sz="0" w:space="0" w:color="auto"/>
            <w:left w:val="none" w:sz="0" w:space="0" w:color="auto"/>
            <w:bottom w:val="none" w:sz="0" w:space="0" w:color="auto"/>
            <w:right w:val="none" w:sz="0" w:space="0" w:color="auto"/>
          </w:divBdr>
        </w:div>
        <w:div w:id="533419118">
          <w:marLeft w:val="1166"/>
          <w:marRight w:val="0"/>
          <w:marTop w:val="91"/>
          <w:marBottom w:val="0"/>
          <w:divBdr>
            <w:top w:val="none" w:sz="0" w:space="0" w:color="auto"/>
            <w:left w:val="none" w:sz="0" w:space="0" w:color="auto"/>
            <w:bottom w:val="none" w:sz="0" w:space="0" w:color="auto"/>
            <w:right w:val="none" w:sz="0" w:space="0" w:color="auto"/>
          </w:divBdr>
        </w:div>
        <w:div w:id="1580216515">
          <w:marLeft w:val="1166"/>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net/corporate-services/information-risk-management" TargetMode="External"/><Relationship Id="rId13" Type="http://schemas.openxmlformats.org/officeDocument/2006/relationships/hyperlink" Target="http://wisdom:8087/corporate%20section/information%20risk%20management/government%20security%20classifications/GSC%20TCA%20%20Handling%20instructions.docx" TargetMode="External"/><Relationship Id="rId18" Type="http://schemas.openxmlformats.org/officeDocument/2006/relationships/hyperlink" Target="http://cp-wisdom-iis:8087/corporate%20section/human%20resources/intranet%20information/2015/policy%20info/Whistle%20Blowing%20Policy.pdf" TargetMode="External"/><Relationship Id="rId26" Type="http://schemas.openxmlformats.org/officeDocument/2006/relationships/hyperlink" Target="http://wisdom:8087/Corporate%20Section/Information%20Risk%20Management/Data%20Handling%20Agreement/Use_of_Data_by_Third_Parties_120412.doc" TargetMode="Externa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intranet/corporate-services/information-risk-management" TargetMode="External"/><Relationship Id="rId17" Type="http://schemas.openxmlformats.org/officeDocument/2006/relationships/hyperlink" Target="http://wisdom:8087/corporate%20section/information%20risk%20management/government%20security%20classifications/GSC%20TCA%20%20Handling%20instructions.docxhttp:/wisdom:8087/corporate%20section/information%20risk%20management/government%20security%20classifications/GSC%20TCA%20%20Handling%20instructions.docx" TargetMode="External"/><Relationship Id="rId25" Type="http://schemas.openxmlformats.org/officeDocument/2006/relationships/hyperlink" Target="http://cp-wisdom-iis:80/Wisdom/GetDocument.aspx?a=ef19b947-cc33-11e2-acb4-005056a60011" TargetMode="External"/><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p-wisdom-iis/corporate%20section/information%20risk%20management/irm%20policy/Information%20Risk%20Management%20Policy%20310513.docx?propshttp://cp-wisdom-iis:8087/corporate%20section/human%20resources/intranet%20information/2015/policy%20info/Disciplinary%20Policy%202014.pdf" TargetMode="External"/><Relationship Id="rId20" Type="http://schemas.openxmlformats.org/officeDocument/2006/relationships/header" Target="header1.xml"/><Relationship Id="rId29" Type="http://schemas.openxmlformats.org/officeDocument/2006/relationships/hyperlink" Target="http://intranet/corporate-services/information-risk-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ranet/corporate-services/information-risk-management/irm-training" TargetMode="External"/><Relationship Id="rId24" Type="http://schemas.openxmlformats.org/officeDocument/2006/relationships/hyperlink" Target="http://intranet/corporate-services/ict/ict-guides/using-and-encrypting-removable-media" TargetMode="External"/><Relationship Id="rId32" Type="http://schemas.openxmlformats.org/officeDocument/2006/relationships/hyperlink" Target="http://wisdom/Corporate%20Section/Information%20Risk%20Management/IRM%20Policy/folder.asp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isdom:8087/corporate%20section/information%20risk%20management/government%20security%20classifications/TCA%20OFFICIAL%20Desk%20Aid.docx" TargetMode="External"/><Relationship Id="rId23" Type="http://schemas.openxmlformats.org/officeDocument/2006/relationships/hyperlink" Target="http://cp-wisdom-iis:80/Wisdom/GetDocument.aspx?a=ef19b947-cc33-11e2-acb4-005056a60011" TargetMode="External"/><Relationship Id="rId28" Type="http://schemas.openxmlformats.org/officeDocument/2006/relationships/hyperlink" Target="http://wisdom:8087/corporate%20section/information%20risk%20management/government%20security%20classifications/GSC%20TCA%20%20Handling%20instructions.docxhttp:/wisdom:8087/corporate%20section/information%20risk%20management/government%20security%20classifications/GSC%20TCA%20%20Handling%20instructions.docx" TargetMode="External"/><Relationship Id="rId36" Type="http://schemas.openxmlformats.org/officeDocument/2006/relationships/footer" Target="footer4.xml"/><Relationship Id="rId10" Type="http://schemas.openxmlformats.org/officeDocument/2006/relationships/hyperlink" Target="http://topdesk/" TargetMode="External"/><Relationship Id="rId19" Type="http://schemas.openxmlformats.org/officeDocument/2006/relationships/hyperlink" Target="http://macrcms002/media/viewer/?mid=9EBF3A38-0CA4-3EFA-7FCD2487E8DF1BC7" TargetMode="External"/><Relationship Id="rId31" Type="http://schemas.openxmlformats.org/officeDocument/2006/relationships/hyperlink" Target="http://macrcms002/media/viewer/?mid=35C83F2F-DAFE-D9CF-E4D971B91F104187" TargetMode="External"/><Relationship Id="rId4" Type="http://schemas.openxmlformats.org/officeDocument/2006/relationships/settings" Target="settings.xml"/><Relationship Id="rId9" Type="http://schemas.openxmlformats.org/officeDocument/2006/relationships/hyperlink" Target="http://intranet/corporate-services/information-risk-management/information-asset-owners" TargetMode="External"/><Relationship Id="rId14" Type="http://schemas.openxmlformats.org/officeDocument/2006/relationships/hyperlink" Target="http://wisdom:8087/corporate%20section/information%20risk%20management/government%20security%20classifications/Government%20Security%20Classification%20presentation%20V2%2028022014.pptx" TargetMode="External"/><Relationship Id="rId22" Type="http://schemas.openxmlformats.org/officeDocument/2006/relationships/footer" Target="footer2.xml"/><Relationship Id="rId27" Type="http://schemas.openxmlformats.org/officeDocument/2006/relationships/header" Target="header2.xml"/><Relationship Id="rId30" Type="http://schemas.openxmlformats.org/officeDocument/2006/relationships/hyperlink" Target="http://wisdom:8087/corporate%20section/information%20risk%20management/government%20security%20classifications/GSC%20TCA%20%20Handling%20instructions.docx" TargetMode="External"/><Relationship Id="rId35"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AB52B-AF65-432D-AD02-AEF55DC65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25</Pages>
  <Words>5272</Words>
  <Characters>30053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Information Risk Management Policy 310513</vt:lpstr>
    </vt:vector>
  </TitlesOfParts>
  <Company>The Coal Authority</Company>
  <LinksUpToDate>false</LinksUpToDate>
  <CharactersWithSpaces>35255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Risk Management Policy 310513</dc:title>
  <dc:creator>Dan Whitt</dc:creator>
  <cp:lastModifiedBy>RECEVEUR Mylène</cp:lastModifiedBy>
  <cp:revision>4</cp:revision>
  <cp:lastPrinted>2019-12-03T15:37:00Z</cp:lastPrinted>
  <dcterms:created xsi:type="dcterms:W3CDTF">2016-10-04T12:57:00Z</dcterms:created>
  <dcterms:modified xsi:type="dcterms:W3CDTF">2019-12-03T15:37:00Z</dcterms:modified>
</cp:coreProperties>
</file>