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27F3" w14:textId="1FDCEF5E" w:rsidR="00FB5A8C" w:rsidRDefault="003D2F55" w:rsidP="003D2F55">
      <w:pPr>
        <w:pStyle w:val="Paragraphedeliste"/>
        <w:numPr>
          <w:ilvl w:val="0"/>
          <w:numId w:val="1"/>
        </w:numPr>
      </w:pPr>
      <w:commentRangeStart w:id="0"/>
      <w:r w:rsidRPr="006407F6">
        <w:t>Introduction</w:t>
      </w:r>
      <w:commentRangeEnd w:id="0"/>
      <w:r w:rsidR="006526FE">
        <w:rPr>
          <w:rStyle w:val="Marquedecommentaire"/>
          <w:rFonts w:ascii="Calibri" w:eastAsia="Calibri" w:hAnsi="Calibri" w:cs="Calibri"/>
          <w:color w:val="000000"/>
          <w:lang w:eastAsia="en-GB"/>
        </w:rPr>
        <w:commentReference w:id="0"/>
      </w:r>
    </w:p>
    <w:p w14:paraId="339DD6E4" w14:textId="2BD6A909" w:rsidR="002F193F" w:rsidRDefault="002F193F" w:rsidP="002F193F">
      <w:pPr>
        <w:spacing w:afterLines="80" w:after="192" w:line="480" w:lineRule="auto"/>
      </w:pPr>
      <w:r>
        <w:t xml:space="preserve">Heat demand for domestic and industrial space heating account for about 50% of the energy consumption in the UK. Currently, around 85% of this energy is supplied by natural gas, contributing to about 34% of the Greenhouses Gas Emissions </w:t>
      </w:r>
      <w:r w:rsidRPr="009646E1">
        <w:t>of the country (BEIS 2019 ECUK – end uses database). Following the Paris Agreement, the UK targeted through the 2019 Climate Change Act to reach net zero carbon emission by 2050. To achieve this goal, attention ha</w:t>
      </w:r>
      <w:r>
        <w:t>s</w:t>
      </w:r>
      <w:r w:rsidRPr="009646E1">
        <w:t xml:space="preserve"> been focused on the need to decarbonize residential</w:t>
      </w:r>
      <w:r>
        <w:t xml:space="preserve"> heat</w:t>
      </w:r>
      <w:r w:rsidR="00521A8C">
        <w:t xml:space="preserve">, coming along with the requirements of replacing all gas boilers by new </w:t>
      </w:r>
      <w:r>
        <w:t>domestic low-carbon energy sources such as geothermal energy.</w:t>
      </w:r>
    </w:p>
    <w:p w14:paraId="41CFE2C5" w14:textId="4CFB73E4" w:rsidR="001D64D5" w:rsidRPr="00D748F4" w:rsidRDefault="00521A8C" w:rsidP="001D64D5">
      <w:pPr>
        <w:spacing w:afterLines="80" w:after="192" w:line="480" w:lineRule="auto"/>
        <w:ind w:firstLine="335"/>
      </w:pPr>
      <w:r>
        <w:t xml:space="preserve">Low-temperature geothermal resources have been increasingly used in the UK since the 1980’s for cooling or heating applications. Using ground-source heat pump systems, low-grade </w:t>
      </w:r>
      <w:r w:rsidRPr="00013156">
        <w:t xml:space="preserve">heat can be extracted from the ground </w:t>
      </w:r>
      <w:r>
        <w:t xml:space="preserve">or from surface and groundwater and be raised to useful temperatures </w:t>
      </w:r>
      <w:r w:rsidR="001D64D5">
        <w:t>via heat pump systems. C</w:t>
      </w:r>
      <w:r w:rsidR="001D64D5">
        <w:rPr>
          <w:rFonts w:cstheme="minorHAnsi"/>
          <w:shd w:val="clear" w:color="auto" w:fill="FFFFFF"/>
        </w:rPr>
        <w:t>losed-loop system configurations permit access to resources s</w:t>
      </w:r>
      <w:r w:rsidR="001D64D5">
        <w:t>ituated at different depth ranges in environments where no groundwater is available</w:t>
      </w:r>
      <w:r w:rsidR="00DC0B94">
        <w:t xml:space="preserve">, </w:t>
      </w:r>
      <w:r w:rsidR="00DC0B94" w:rsidRPr="00013156">
        <w:t xml:space="preserve">via a </w:t>
      </w:r>
      <w:r w:rsidR="00DC0B94">
        <w:t xml:space="preserve">working fluid circulating in a </w:t>
      </w:r>
      <w:r w:rsidR="00DC0B94" w:rsidRPr="00013156">
        <w:t>ground heat exchanger</w:t>
      </w:r>
      <w:r w:rsidR="001D64D5">
        <w:t xml:space="preserve">. Horizontal GHE are essentially solar thermal energy collectors (Banks, 2008). They are commonly installed at &lt; 6 m depth, where the ground temperature varies accordingly to yearly changes in surface temperature (Banks, 2008). Alternatively, vertical borehole heat exchangers (BHE) can access resources situated down to 200 m depth, where the local geothermal gradient controls the ground temperature that remains stable though the year. Despite their higher costs of installations (i.e. drilling requirements), the higher temperatures accessed by vertical BHE allow a greater ΔT at the heat pump, which ensures higher performances relative to horizontal GHE (Chen </w:t>
      </w:r>
      <w:r w:rsidR="001D64D5" w:rsidRPr="005639F0">
        <w:rPr>
          <w:i/>
          <w:iCs/>
        </w:rPr>
        <w:t>et al.,</w:t>
      </w:r>
      <w:r w:rsidR="001D64D5">
        <w:t xml:space="preserve"> 2019). Vertical BHE are also advantageous in areas of high land price due to the lower land surface requirements (Trillat-Berdal </w:t>
      </w:r>
      <w:r w:rsidR="001D64D5" w:rsidRPr="005639F0">
        <w:rPr>
          <w:i/>
          <w:iCs/>
        </w:rPr>
        <w:t>et al.,</w:t>
      </w:r>
      <w:r w:rsidR="001D64D5">
        <w:t xml:space="preserve"> 2006). Deep Borehole Heat Exchangers (BHE) can also be drilled down to ~2 kilometres depth, where the heat collected offers good opportunities for district heating applications and/or power production (Alimonti </w:t>
      </w:r>
      <w:r w:rsidR="001D64D5" w:rsidRPr="005639F0">
        <w:rPr>
          <w:i/>
          <w:iCs/>
        </w:rPr>
        <w:t>et al.,</w:t>
      </w:r>
      <w:r w:rsidR="001D64D5">
        <w:t xml:space="preserve"> 2021). </w:t>
      </w:r>
    </w:p>
    <w:p w14:paraId="68F084DB" w14:textId="4A9996F7" w:rsidR="007D7CFC" w:rsidRDefault="00DC0B94" w:rsidP="00CD5711">
      <w:pPr>
        <w:spacing w:afterLines="80" w:after="192" w:line="480" w:lineRule="auto"/>
        <w:ind w:firstLine="335"/>
      </w:pPr>
      <w:r>
        <w:t>The performance and the sustainability aspects of BHE from an engineering perspective have been covered extensively in the literature using both analytical and numerical models</w:t>
      </w:r>
      <w:r w:rsidR="00D329A9">
        <w:t xml:space="preserve"> (i.e. Rybach </w:t>
      </w:r>
      <w:r w:rsidR="00D329A9">
        <w:lastRenderedPageBreak/>
        <w:t xml:space="preserve">and Eugster, 2010; Signorelli </w:t>
      </w:r>
      <w:r w:rsidR="00D329A9" w:rsidRPr="005639F0">
        <w:rPr>
          <w:i/>
          <w:iCs/>
        </w:rPr>
        <w:t>et al.,</w:t>
      </w:r>
      <w:r w:rsidR="00D329A9">
        <w:t xml:space="preserve"> 2005; Lyu </w:t>
      </w:r>
      <w:r w:rsidR="00D329A9" w:rsidRPr="005639F0">
        <w:rPr>
          <w:i/>
          <w:iCs/>
        </w:rPr>
        <w:t>et al.,</w:t>
      </w:r>
      <w:r w:rsidR="00D329A9">
        <w:t xml:space="preserve"> 2017; Zhang </w:t>
      </w:r>
      <w:r w:rsidR="00D329A9" w:rsidRPr="005639F0">
        <w:rPr>
          <w:i/>
          <w:iCs/>
        </w:rPr>
        <w:t>et al.,</w:t>
      </w:r>
      <w:r w:rsidR="00D329A9">
        <w:t xml:space="preserve"> 2016; Stylianou </w:t>
      </w:r>
      <w:r w:rsidR="00D329A9" w:rsidRPr="005639F0">
        <w:rPr>
          <w:i/>
          <w:iCs/>
        </w:rPr>
        <w:t>et al.,</w:t>
      </w:r>
      <w:r w:rsidR="00D329A9">
        <w:t xml:space="preserve"> 2017; Zanchini </w:t>
      </w:r>
      <w:r w:rsidR="00D329A9" w:rsidRPr="005639F0">
        <w:rPr>
          <w:i/>
          <w:iCs/>
        </w:rPr>
        <w:t>et al.,</w:t>
      </w:r>
      <w:r w:rsidR="00D329A9">
        <w:t xml:space="preserve"> 2010; Lazzari </w:t>
      </w:r>
      <w:r w:rsidR="00D329A9" w:rsidRPr="005639F0">
        <w:rPr>
          <w:i/>
          <w:iCs/>
        </w:rPr>
        <w:t>et al.,</w:t>
      </w:r>
      <w:r w:rsidR="00D329A9">
        <w:t xml:space="preserve"> 2010)</w:t>
      </w:r>
      <w:r>
        <w:t xml:space="preserve">. </w:t>
      </w:r>
      <w:r w:rsidR="00E72815">
        <w:t xml:space="preserve">Assessments of the </w:t>
      </w:r>
      <w:r>
        <w:t>long-term performances of such system are generally based on its coefficient of performance (COP),</w:t>
      </w:r>
      <w:r w:rsidR="00E72815">
        <w:t xml:space="preserve"> </w:t>
      </w:r>
      <w:r w:rsidR="00662EEB">
        <w:t xml:space="preserve">which represent the ratio between the energy delivered by the heat pump and its </w:t>
      </w:r>
      <w:r>
        <w:t>electrical</w:t>
      </w:r>
      <w:r w:rsidR="00662EEB">
        <w:t xml:space="preserve"> requirements </w:t>
      </w:r>
      <w:r>
        <w:t xml:space="preserve">and is a function of the temperature contrast between the ground and the circulating fluid in the BHE. Although some authors </w:t>
      </w:r>
      <w:r w:rsidRPr="00E2463F">
        <w:t>showed that quasi steady-state outflow temperature c</w:t>
      </w:r>
      <w:r>
        <w:t>an</w:t>
      </w:r>
      <w:r w:rsidRPr="00E2463F">
        <w:t xml:space="preserve"> be reached a</w:t>
      </w:r>
      <w:r>
        <w:t xml:space="preserve">t the BHE in some areas after a few years of heat extraction (i.e. </w:t>
      </w:r>
      <w:r w:rsidRPr="00E2463F">
        <w:t>Chen et al.</w:t>
      </w:r>
      <w:r>
        <w:t xml:space="preserve">, </w:t>
      </w:r>
      <w:r w:rsidRPr="00E2463F">
        <w:t>2019</w:t>
      </w:r>
      <w:r>
        <w:t xml:space="preserve">), Chen et al. (2020) warned that unbalanced heat extraction and injection from BHE in cold regions (i.e. due to greater needs in heating relative to cooling) could lead to an extensive cooling of the ground. </w:t>
      </w:r>
      <w:r w:rsidR="00571379">
        <w:t xml:space="preserve">More recently, Walsch </w:t>
      </w:r>
      <w:r w:rsidR="00571379" w:rsidRPr="005639F0">
        <w:rPr>
          <w:i/>
          <w:iCs/>
        </w:rPr>
        <w:t>et al.,</w:t>
      </w:r>
      <w:r w:rsidR="00571379">
        <w:t xml:space="preserve"> (2021) quantified the regional scale thermal interferences caused by a dense deployment of individual shallow BHE for district heating in Switzerland, suggesting the importance of considering the areal impact of heat extraction for future applications of BHE-GSHP systems. </w:t>
      </w:r>
    </w:p>
    <w:p w14:paraId="017A0E61" w14:textId="17625FC8" w:rsidR="007D7CFC" w:rsidRDefault="00F75B0B" w:rsidP="00CD5711">
      <w:pPr>
        <w:spacing w:afterLines="80" w:after="192" w:line="480" w:lineRule="auto"/>
        <w:ind w:firstLine="335"/>
      </w:pPr>
      <w:r>
        <w:t>By regarding the sustainability issues of BHE from an engineering perspective (i.e. BHE performances), most of the published studies ignore</w:t>
      </w:r>
      <w:r w:rsidR="00D329A9">
        <w:t>d</w:t>
      </w:r>
      <w:r>
        <w:t xml:space="preserve"> the capacity of the shallow subsurface to replenished itself in areas of low heat flow.</w:t>
      </w:r>
      <w:r w:rsidR="00D329A9" w:rsidRPr="00D329A9">
        <w:t xml:space="preserve"> </w:t>
      </w:r>
      <w:r w:rsidR="00D329A9">
        <w:t>Considering the areal impact of heat extraction is however essential in a context where the number of GHE scheme is expected to increase in future years, together with the necessity to define</w:t>
      </w:r>
      <w:r w:rsidR="00DB1565">
        <w:t xml:space="preserve"> heat ownership </w:t>
      </w:r>
      <w:r w:rsidR="00D329A9">
        <w:t xml:space="preserve">in the ground. Here, we investigate the capacity of the ground to provide the required heat load to an individual vertical BHE in the Midlothian area in Scotland, United Kingdom. </w:t>
      </w:r>
      <w:r w:rsidR="00E72815">
        <w:t xml:space="preserve">Using the </w:t>
      </w:r>
      <w:r w:rsidR="00E72815">
        <w:t>volume of rock required</w:t>
      </w:r>
      <w:r w:rsidR="00E72815" w:rsidRPr="00AE4C13">
        <w:t xml:space="preserve"> </w:t>
      </w:r>
      <w:r w:rsidR="00E72815">
        <w:t>to provide the equivalent of a yearly average heat consumption to a single house in the UK</w:t>
      </w:r>
      <w:r w:rsidR="00E72815">
        <w:t xml:space="preserve">, we </w:t>
      </w:r>
      <w:r w:rsidR="00D329A9">
        <w:t xml:space="preserve">first </w:t>
      </w:r>
      <w:r w:rsidR="00E72815">
        <w:t>c</w:t>
      </w:r>
      <w:r w:rsidR="00D329A9">
        <w:t>alculate</w:t>
      </w:r>
      <w:r w:rsidR="00E72815">
        <w:t xml:space="preserve"> analytically</w:t>
      </w:r>
      <w:r w:rsidR="00D329A9">
        <w:t xml:space="preserve"> </w:t>
      </w:r>
      <w:r w:rsidR="00AE4C13">
        <w:t>the relative contribution of geothermal and solar heat recharge and the heat balance in the subsurface. We then use n</w:t>
      </w:r>
      <w:r w:rsidR="00D329A9">
        <w:t xml:space="preserve">umerical modelling approaches to determine the contribution of axial and radial heat fluxes during heat extraction and assess the </w:t>
      </w:r>
      <w:r w:rsidR="00DB1565">
        <w:t xml:space="preserve">areal thermal footprint induced by long-term heat extraction, considering a homogeneous purely diffusive porous medium. </w:t>
      </w:r>
      <w:r w:rsidR="00D329A9">
        <w:t>By treating the ground as a finite resource, we regard the sustainability issues of BHE from a geological perspective rather than from an engineering</w:t>
      </w:r>
      <w:r w:rsidR="00AF3888">
        <w:t>;</w:t>
      </w:r>
      <w:r w:rsidR="00D329A9">
        <w:t xml:space="preserve"> we clarify the concept of “steady state” production temperature and show that geological conditions in the UK cannot sustainably provide heat to a shallow stand-alone vertical BHE.  </w:t>
      </w:r>
    </w:p>
    <w:p w14:paraId="28801861" w14:textId="0014793F" w:rsidR="007D7CFC" w:rsidRDefault="007D7CFC" w:rsidP="007D7CFC">
      <w:pPr>
        <w:pStyle w:val="Paragraphedeliste"/>
        <w:numPr>
          <w:ilvl w:val="0"/>
          <w:numId w:val="1"/>
        </w:numPr>
        <w:spacing w:afterLines="80" w:after="192" w:line="480" w:lineRule="auto"/>
      </w:pPr>
      <w:r>
        <w:t>Heat balance</w:t>
      </w:r>
    </w:p>
    <w:p w14:paraId="2706B108" w14:textId="314BA07E" w:rsidR="00DB1565" w:rsidRDefault="00DB1565" w:rsidP="00DB1565">
      <w:pPr>
        <w:pStyle w:val="Paragraphedeliste"/>
        <w:numPr>
          <w:ilvl w:val="1"/>
          <w:numId w:val="1"/>
        </w:numPr>
      </w:pPr>
      <w:r w:rsidRPr="006407F6">
        <w:t xml:space="preserve">Energy requirements </w:t>
      </w:r>
      <w:r>
        <w:t>for a single UK house</w:t>
      </w:r>
    </w:p>
    <w:p w14:paraId="68F36975" w14:textId="2DF3DAC6" w:rsidR="00DB1565" w:rsidRDefault="00123C3F" w:rsidP="001123D2">
      <w:pPr>
        <w:spacing w:afterLines="80" w:after="192" w:line="480" w:lineRule="auto"/>
        <w:ind w:firstLine="335"/>
      </w:pPr>
      <w:r>
        <w:t xml:space="preserve">In the UK, a large proportion of the population lives above legacy coal and shale mines that are today closed, with many of them located in rural areas that are likely to suffer from energy poverty. </w:t>
      </w:r>
      <w:r w:rsidR="00C660B9">
        <w:t xml:space="preserve">To comply with the heat demand whistle achieving the </w:t>
      </w:r>
      <w:r w:rsidR="00DB1565">
        <w:t>decarboniz</w:t>
      </w:r>
      <w:r w:rsidR="00C660B9">
        <w:t xml:space="preserve">ation of heating, </w:t>
      </w:r>
      <w:r w:rsidR="00DB1565">
        <w:t>small-scale ground-source heat pump (GSHP)</w:t>
      </w:r>
      <w:r w:rsidR="00FD14ED">
        <w:t xml:space="preserve"> systems</w:t>
      </w:r>
      <w:r w:rsidR="00DB1565">
        <w:t xml:space="preserve"> ha</w:t>
      </w:r>
      <w:r w:rsidR="00890458">
        <w:t>ve</w:t>
      </w:r>
      <w:r w:rsidR="00DB1565">
        <w:t xml:space="preserve"> been growing in recent years</w:t>
      </w:r>
      <w:r>
        <w:t>. This technology permits providing low carbon water and space heating for individual houses while preventing</w:t>
      </w:r>
      <w:r w:rsidR="00FD14ED">
        <w:t xml:space="preserve"> from a</w:t>
      </w:r>
      <w:r w:rsidR="00DB1565">
        <w:t xml:space="preserve"> number of disadvantages relative to large-scale systems</w:t>
      </w:r>
      <w:r w:rsidR="00FD14ED">
        <w:t>, including</w:t>
      </w:r>
      <w:r w:rsidR="00DB1565">
        <w:t xml:space="preserve"> the need for central heat pump system, heat losses in community distribution pipe networks, maintenance of heat interface units and high operating costs (Sayegh </w:t>
      </w:r>
      <w:r w:rsidR="00DB1565" w:rsidRPr="00DB1565">
        <w:rPr>
          <w:i/>
          <w:iCs/>
        </w:rPr>
        <w:t>et al.,</w:t>
      </w:r>
      <w:r w:rsidR="00DB1565">
        <w:t xml:space="preserve"> 2018). </w:t>
      </w:r>
    </w:p>
    <w:p w14:paraId="5FF17B59" w14:textId="45B7B5A5" w:rsidR="00E57F96" w:rsidRDefault="001123D2" w:rsidP="00123C3F">
      <w:pPr>
        <w:spacing w:afterLines="80" w:after="192" w:line="480" w:lineRule="auto"/>
        <w:ind w:firstLine="335"/>
      </w:pPr>
      <w:r>
        <w:t xml:space="preserve">We assess the impact of extracting heat from a shallow vertical BHE located in the Midland Valley of Scotland (MVS), a NNE-SSW trending Carboniferous Basin located in Scotland, United Kingdom (Browne </w:t>
      </w:r>
      <w:r w:rsidRPr="005639F0">
        <w:rPr>
          <w:i/>
          <w:iCs/>
        </w:rPr>
        <w:t>et al.,</w:t>
      </w:r>
      <w:r>
        <w:t xml:space="preserve"> 1999). </w:t>
      </w:r>
      <w:r>
        <w:t>There, the</w:t>
      </w:r>
      <w:r w:rsidR="00FD14ED">
        <w:t xml:space="preserve"> average heat consumption for a single household is in the order of </w:t>
      </w:r>
      <w:commentRangeStart w:id="1"/>
      <w:r w:rsidR="00FD14ED">
        <w:t xml:space="preserve">15 000 kWh per year (ECUK, 2019). To satisfy this yearly demand, a heat pump would need to deliver an average heat load </w:t>
      </w:r>
      <w:r w:rsidR="00FD14ED">
        <w:rPr>
          <w:i/>
        </w:rPr>
        <w:t xml:space="preserve">H </w:t>
      </w:r>
      <w:r w:rsidR="00FD14ED">
        <w:t>= 1700 W</w:t>
      </w:r>
      <w:commentRangeEnd w:id="1"/>
      <w:r w:rsidR="00FD14ED">
        <w:rPr>
          <w:rStyle w:val="Marquedecommentaire"/>
        </w:rPr>
        <w:commentReference w:id="1"/>
      </w:r>
      <w:r w:rsidR="00F561C5">
        <w:t xml:space="preserve">. </w:t>
      </w:r>
      <w:r w:rsidR="00123C3F">
        <w:t xml:space="preserve">Part of this energy is actually supplied by the heat pump in the form of electrical heat to an amount that depends on the system </w:t>
      </w:r>
      <w:r>
        <w:t xml:space="preserve">COP </w:t>
      </w:r>
      <w:r w:rsidR="00123C3F">
        <w:t xml:space="preserve">(Banks, 2008). Assuming a COP of 3.4, the </w:t>
      </w:r>
      <w:r w:rsidR="00F561C5" w:rsidRPr="00F561C5">
        <w:rPr>
          <w:iCs/>
        </w:rPr>
        <w:t xml:space="preserve">energy </w:t>
      </w:r>
      <w:r w:rsidR="00FD14ED" w:rsidRPr="00F561C5">
        <w:rPr>
          <w:iCs/>
        </w:rPr>
        <w:t>extracted</w:t>
      </w:r>
      <w:r w:rsidR="00FD14ED">
        <w:t xml:space="preserve"> from the ground</w:t>
      </w:r>
      <w:r w:rsidR="00123C3F">
        <w:t xml:space="preserve"> is reduced to G = H(1-1/COP) = </w:t>
      </w:r>
      <w:r w:rsidR="00FD14ED" w:rsidRPr="009646E1">
        <w:t>1200 W</w:t>
      </w:r>
      <w:r w:rsidR="00123C3F">
        <w:t>, which</w:t>
      </w:r>
      <w:r w:rsidR="00FD14ED" w:rsidRPr="009646E1">
        <w:t xml:space="preserve"> corresponds to a total energy Q = 3</w:t>
      </w:r>
      <w:r w:rsidR="00FD14ED" w:rsidRPr="009646E1">
        <w:rPr>
          <w:rFonts w:ascii="Cambria" w:eastAsia="Cambria" w:hAnsi="Cambria" w:cs="Cambria"/>
        </w:rPr>
        <w:t xml:space="preserve">.81 × </w:t>
      </w:r>
      <w:r w:rsidR="00FD14ED" w:rsidRPr="009646E1">
        <w:t>10</w:t>
      </w:r>
      <w:r w:rsidR="00FD14ED" w:rsidRPr="009646E1">
        <w:rPr>
          <w:vertAlign w:val="superscript"/>
        </w:rPr>
        <w:t>10</w:t>
      </w:r>
      <w:r w:rsidR="00FD14ED" w:rsidRPr="009646E1">
        <w:t xml:space="preserve">J over a year. </w:t>
      </w:r>
    </w:p>
    <w:p w14:paraId="7B28FA56" w14:textId="35238C60" w:rsidR="00E57F96" w:rsidRDefault="00AF3888" w:rsidP="00E57F96">
      <w:pPr>
        <w:spacing w:afterLines="80" w:after="192" w:line="480" w:lineRule="auto"/>
        <w:ind w:firstLine="335"/>
      </w:pPr>
      <w:r>
        <w:t>We use the harmonic mean density</w:t>
      </w:r>
      <w:r w:rsidR="002B1CBD">
        <w:t xml:space="preserve"> and</w:t>
      </w:r>
      <w:r>
        <w:t xml:space="preserve"> heat capacity for the Carboniferous rocks in the MVS to determine </w:t>
      </w:r>
      <w:r w:rsidR="00E57F96">
        <w:t xml:space="preserve">the volume of rock that would need to be cooled by </w:t>
      </w:r>
      <w:r w:rsidR="00E57F96" w:rsidRPr="00E57F96">
        <w:t xml:space="preserve">∆T </w:t>
      </w:r>
      <w:r w:rsidR="00E57F96">
        <w:t>= 5 °C every year to meet the heating demand</w:t>
      </w:r>
      <w:r w:rsidR="002B1CBD">
        <w:t xml:space="preserve"> (Eq. 1). Those were determined based on the thickness of the Carboniferous formations intersected by the Carrington-1 borehole, located in the MVS (</w:t>
      </w:r>
      <w:r w:rsidR="001123D2">
        <w:t>see Supplementary Material SM 1</w:t>
      </w:r>
      <w:r w:rsidR="002B1CBD">
        <w:t>), the proportion of lithologies for each formation (XXX) and the rock properties given by XXX.</w:t>
      </w:r>
    </w:p>
    <w:p w14:paraId="6E18A362" w14:textId="3B6BB9E7" w:rsidR="00E57F96" w:rsidRPr="00E958DF" w:rsidRDefault="00E57F96" w:rsidP="00E57F96">
      <w:pPr>
        <w:spacing w:afterLines="80" w:after="192" w:line="480" w:lineRule="auto"/>
        <w:ind w:left="-4"/>
        <w:jc w:val="right"/>
        <w:rPr>
          <w:highlight w:val="yellow"/>
        </w:rPr>
      </w:pPr>
      <m:oMath>
        <m:r>
          <w:rPr>
            <w:rFonts w:ascii="Cambria Math" w:hAnsi="Cambria Math"/>
            <w:highlight w:val="yellow"/>
            <w:lang w:val="fr-FR"/>
          </w:rPr>
          <m:t>Q</m:t>
        </m:r>
        <m:r>
          <w:rPr>
            <w:rFonts w:ascii="Cambria Math" w:hAnsi="Cambria Math"/>
            <w:highlight w:val="yellow"/>
          </w:rPr>
          <m:t xml:space="preserve"> </m:t>
        </m:r>
        <m:r>
          <m:rPr>
            <m:sty m:val="p"/>
          </m:rPr>
          <w:rPr>
            <w:rFonts w:ascii="Cambria Math" w:eastAsia="Cambria" w:hAnsi="Cambria Math" w:cs="Cambria"/>
            <w:highlight w:val="yellow"/>
          </w:rPr>
          <m:t xml:space="preserve">= </m:t>
        </m:r>
        <m:r>
          <m:rPr>
            <m:sty m:val="p"/>
          </m:rPr>
          <w:rPr>
            <w:rFonts w:ascii="Cambria Math" w:hAnsi="Cambria Math"/>
            <w:highlight w:val="yellow"/>
          </w:rPr>
          <m:t>∆</m:t>
        </m:r>
        <m:r>
          <w:rPr>
            <w:rFonts w:ascii="Cambria Math" w:hAnsi="Cambria Math"/>
            <w:highlight w:val="yellow"/>
            <w:lang w:val="fr-FR"/>
          </w:rPr>
          <m:t>T</m:t>
        </m:r>
        <m:r>
          <w:rPr>
            <w:rFonts w:ascii="Cambria Math" w:hAnsi="Cambria Math"/>
            <w:highlight w:val="yellow"/>
            <w:lang w:val="fr-FR"/>
          </w:rPr>
          <m:t xml:space="preserve"> V </m:t>
        </m:r>
        <m:d>
          <m:dPr>
            <m:begChr m:val="["/>
            <m:endChr m:val="]"/>
            <m:ctrlPr>
              <w:rPr>
                <w:rFonts w:ascii="Cambria Math" w:hAnsi="Cambria Math"/>
                <w:i/>
                <w:highlight w:val="yellow"/>
              </w:rPr>
            </m:ctrlPr>
          </m:dPr>
          <m:e>
            <m:d>
              <m:dPr>
                <m:ctrlPr>
                  <w:rPr>
                    <w:rFonts w:ascii="Cambria Math" w:eastAsia="Cambria" w:hAnsi="Cambria Math" w:cs="Cambria"/>
                    <w:highlight w:val="yellow"/>
                  </w:rPr>
                </m:ctrlPr>
              </m:dPr>
              <m:e>
                <m:r>
                  <m:rPr>
                    <m:sty m:val="p"/>
                  </m:rPr>
                  <w:rPr>
                    <w:rFonts w:ascii="Cambria Math" w:hAnsi="Cambria Math"/>
                    <w:highlight w:val="yellow"/>
                  </w:rPr>
                  <m:t>1</m:t>
                </m:r>
                <m:r>
                  <m:rPr>
                    <m:sty m:val="p"/>
                  </m:rPr>
                  <w:rPr>
                    <w:rFonts w:ascii="Cambria Math" w:eastAsia="Cambria" w:hAnsi="Cambria Math" w:cs="Cambria"/>
                    <w:highlight w:val="yellow"/>
                  </w:rPr>
                  <m:t>-</m:t>
                </m:r>
                <m:r>
                  <w:rPr>
                    <w:rFonts w:ascii="Cambria Math" w:hAnsi="Cambria Math"/>
                    <w:highlight w:val="yellow"/>
                  </w:rPr>
                  <m:t>φ</m:t>
                </m:r>
              </m:e>
            </m:d>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r</m:t>
                </m:r>
              </m:sub>
            </m:sSub>
            <m:sSub>
              <m:sSubPr>
                <m:ctrlPr>
                  <w:rPr>
                    <w:rFonts w:ascii="Cambria Math" w:eastAsia="Cambria" w:hAnsi="Cambria Math" w:cs="Cambria"/>
                    <w:i/>
                    <w:highlight w:val="yellow"/>
                  </w:rPr>
                </m:ctrlPr>
              </m:sSubPr>
              <m:e>
                <m:r>
                  <w:rPr>
                    <w:rFonts w:ascii="Cambria Math" w:eastAsia="Cambria" w:hAnsi="Cambria Math" w:cs="Cambria"/>
                    <w:highlight w:val="yellow"/>
                  </w:rPr>
                  <m:t>c</m:t>
                </m:r>
              </m:e>
              <m:sub>
                <m:r>
                  <w:rPr>
                    <w:rFonts w:ascii="Cambria Math" w:eastAsia="Cambria" w:hAnsi="Cambria Math" w:cs="Cambria"/>
                    <w:highlight w:val="yellow"/>
                  </w:rPr>
                  <m:t>r</m:t>
                </m:r>
              </m:sub>
            </m:sSub>
            <m:r>
              <w:rPr>
                <w:rFonts w:ascii="Cambria Math" w:hAnsi="Cambria Math"/>
                <w:highlight w:val="yellow"/>
              </w:rPr>
              <m:t>+ φ</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w</m:t>
                </m:r>
              </m:sub>
            </m:sSub>
            <m:sSub>
              <m:sSubPr>
                <m:ctrlPr>
                  <w:rPr>
                    <w:rFonts w:ascii="Cambria Math" w:eastAsia="Cambria" w:hAnsi="Cambria Math" w:cs="Cambria"/>
                    <w:i/>
                    <w:highlight w:val="yellow"/>
                  </w:rPr>
                </m:ctrlPr>
              </m:sSubPr>
              <m:e>
                <m:r>
                  <w:rPr>
                    <w:rFonts w:ascii="Cambria Math" w:eastAsia="Cambria" w:hAnsi="Cambria Math" w:cs="Cambria"/>
                    <w:highlight w:val="yellow"/>
                  </w:rPr>
                  <m:t>c</m:t>
                </m:r>
              </m:e>
              <m:sub>
                <m:r>
                  <w:rPr>
                    <w:rFonts w:ascii="Cambria Math" w:eastAsia="Cambria" w:hAnsi="Cambria Math" w:cs="Cambria"/>
                    <w:highlight w:val="yellow"/>
                  </w:rPr>
                  <m:t>w</m:t>
                </m:r>
              </m:sub>
            </m:sSub>
            <m:ctrlPr>
              <w:rPr>
                <w:rFonts w:ascii="Cambria Math" w:eastAsia="Cambria" w:hAnsi="Cambria Math" w:cs="Cambria"/>
                <w:i/>
                <w:highlight w:val="yellow"/>
              </w:rPr>
            </m:ctrlPr>
          </m:e>
        </m:d>
        <m:r>
          <w:rPr>
            <w:rFonts w:ascii="Cambria Math" w:hAnsi="Cambria Math"/>
            <w:highlight w:val="yellow"/>
          </w:rPr>
          <m:t xml:space="preserve"> </m:t>
        </m:r>
      </m:oMath>
      <w:r w:rsidRPr="00E958DF">
        <w:rPr>
          <w:i/>
          <w:highlight w:val="yellow"/>
        </w:rPr>
        <w:tab/>
      </w:r>
      <w:r w:rsidRPr="00E958DF">
        <w:rPr>
          <w:highlight w:val="yellow"/>
        </w:rPr>
        <w:tab/>
      </w:r>
      <w:r w:rsidRPr="00E958DF">
        <w:rPr>
          <w:highlight w:val="yellow"/>
        </w:rPr>
        <w:tab/>
      </w:r>
      <w:r w:rsidRPr="00E958DF">
        <w:rPr>
          <w:highlight w:val="yellow"/>
        </w:rPr>
        <w:tab/>
      </w:r>
      <w:r w:rsidRPr="00E958DF">
        <w:rPr>
          <w:highlight w:val="yellow"/>
        </w:rPr>
        <w:tab/>
        <w:t>(1)</w:t>
      </w:r>
    </w:p>
    <w:p w14:paraId="33F8A2C9" w14:textId="6F7713B5" w:rsidR="00DB27F8" w:rsidRDefault="00E57F96" w:rsidP="00E57F96">
      <w:pPr>
        <w:spacing w:afterLines="80" w:after="192" w:line="480" w:lineRule="auto"/>
      </w:pPr>
      <w:r>
        <w:t>Considering a ho</w:t>
      </w:r>
      <w:r w:rsidR="00F561C5">
        <w:t xml:space="preserve">mogeneous </w:t>
      </w:r>
      <w:r w:rsidR="00FD14ED" w:rsidRPr="009646E1">
        <w:t xml:space="preserve">rock with a porosity </w:t>
      </w:r>
      <w:r w:rsidR="00FD14ED" w:rsidRPr="009646E1">
        <w:rPr>
          <w:i/>
        </w:rPr>
        <w:t xml:space="preserve">φ </w:t>
      </w:r>
      <w:r w:rsidR="00FD14ED" w:rsidRPr="009646E1">
        <w:rPr>
          <w:rFonts w:ascii="Cambria" w:eastAsia="Cambria" w:hAnsi="Cambria" w:cs="Cambria"/>
        </w:rPr>
        <w:t xml:space="preserve">= </w:t>
      </w:r>
      <w:r w:rsidR="00FD14ED" w:rsidRPr="009646E1">
        <w:t>0</w:t>
      </w:r>
      <w:r w:rsidR="00FD14ED" w:rsidRPr="009646E1">
        <w:rPr>
          <w:rFonts w:ascii="Cambria" w:eastAsia="Cambria" w:hAnsi="Cambria" w:cs="Cambria"/>
          <w:i/>
        </w:rPr>
        <w:t>.</w:t>
      </w:r>
      <w:r w:rsidR="00FD14ED" w:rsidRPr="009646E1">
        <w:t xml:space="preserve">1, density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rsidR="00FD14ED" w:rsidRPr="009646E1">
        <w:rPr>
          <w:i/>
        </w:rPr>
        <w:t xml:space="preserve"> </w:t>
      </w:r>
      <w:r w:rsidR="00FD14ED" w:rsidRPr="009646E1">
        <w:t xml:space="preserve">= 2500 </w:t>
      </w:r>
      <w:r w:rsidR="00FD14ED" w:rsidRPr="009646E1">
        <w:rPr>
          <w:i/>
        </w:rPr>
        <w:t>kg</w:t>
      </w:r>
      <w:r w:rsidR="00FD14ED" w:rsidRPr="009646E1">
        <w:rPr>
          <w:rFonts w:ascii="Cambria" w:eastAsia="Cambria" w:hAnsi="Cambria" w:cs="Cambria"/>
          <w:i/>
        </w:rPr>
        <w:t>/</w:t>
      </w:r>
      <w:r w:rsidR="00FD14ED" w:rsidRPr="009646E1">
        <w:rPr>
          <w:i/>
        </w:rPr>
        <w:t>m</w:t>
      </w:r>
      <w:r w:rsidR="00FD14ED" w:rsidRPr="009646E1">
        <w:rPr>
          <w:vertAlign w:val="superscript"/>
        </w:rPr>
        <w:t xml:space="preserve">3 </w:t>
      </w:r>
      <w:r w:rsidR="00FD14ED" w:rsidRPr="009646E1">
        <w:t xml:space="preserve">and specific heat capacity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D14ED" w:rsidRPr="009646E1">
        <w:t xml:space="preserve"> = </w:t>
      </w:r>
      <w:r w:rsidR="00AF3888">
        <w:t>898</w:t>
      </w:r>
      <w:r w:rsidR="00FD14ED" w:rsidRPr="009646E1">
        <w:t xml:space="preserve"> </w:t>
      </w:r>
      <w:r w:rsidR="00FD14ED" w:rsidRPr="009646E1">
        <w:rPr>
          <w:i/>
        </w:rPr>
        <w:t>J</w:t>
      </w:r>
      <w:r w:rsidR="00FD14ED" w:rsidRPr="009646E1">
        <w:rPr>
          <w:rFonts w:ascii="Cambria" w:eastAsia="Cambria" w:hAnsi="Cambria" w:cs="Cambria"/>
          <w:i/>
        </w:rPr>
        <w:t>/</w:t>
      </w:r>
      <w:r w:rsidR="00FD14ED" w:rsidRPr="009646E1">
        <w:rPr>
          <w:i/>
        </w:rPr>
        <w:t>kg</w:t>
      </w:r>
      <w:r w:rsidR="00FD14ED" w:rsidRPr="009646E1">
        <w:rPr>
          <w:rFonts w:ascii="Cambria" w:eastAsia="Cambria" w:hAnsi="Cambria" w:cs="Cambria"/>
          <w:i/>
        </w:rPr>
        <w:t>°</w:t>
      </w:r>
      <w:r w:rsidR="00FD14ED" w:rsidRPr="009646E1">
        <w:rPr>
          <w:i/>
        </w:rPr>
        <w:t>C</w:t>
      </w:r>
      <w:r w:rsidR="00FD14ED" w:rsidRPr="009646E1">
        <w:t xml:space="preserve"> filled with a static water of density </w:t>
      </w:r>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 xml:space="preserve">=1000 </m:t>
        </m:r>
      </m:oMath>
      <w:r w:rsidR="00FD14ED" w:rsidRPr="009646E1">
        <w:t>kg/m</w:t>
      </w:r>
      <w:r w:rsidR="00FD14ED" w:rsidRPr="009646E1">
        <w:rPr>
          <w:vertAlign w:val="superscript"/>
        </w:rPr>
        <w:t>3</w:t>
      </w:r>
      <w:r w:rsidR="00FD14ED" w:rsidRPr="009646E1">
        <w:t xml:space="preserve"> and heat capacity </w:t>
      </w:r>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 </m:t>
        </m:r>
        <m:r>
          <m:rPr>
            <m:sty m:val="p"/>
          </m:rPr>
          <w:rPr>
            <w:rFonts w:ascii="Cambria Math" w:hAnsi="Cambria Math"/>
          </w:rPr>
          <m:t xml:space="preserve">4680 </m:t>
        </m:r>
        <m:r>
          <w:rPr>
            <w:rFonts w:ascii="Cambria Math" w:hAnsi="Cambria Math"/>
          </w:rPr>
          <m:t>J</m:t>
        </m:r>
        <m:r>
          <w:rPr>
            <w:rFonts w:ascii="Cambria Math" w:eastAsia="Cambria" w:hAnsi="Cambria Math" w:cs="Cambria"/>
          </w:rPr>
          <m:t>/</m:t>
        </m:r>
        <m:r>
          <w:rPr>
            <w:rFonts w:ascii="Cambria Math" w:hAnsi="Cambria Math"/>
          </w:rPr>
          <m:t>kg</m:t>
        </m:r>
        <m:r>
          <w:rPr>
            <w:rFonts w:ascii="Cambria Math" w:eastAsia="Cambria" w:hAnsi="Cambria Math" w:cs="Cambria"/>
          </w:rPr>
          <m:t>.°</m:t>
        </m:r>
        <m:r>
          <w:rPr>
            <w:rFonts w:ascii="Cambria Math" w:hAnsi="Cambria Math"/>
          </w:rPr>
          <m:t>C</m:t>
        </m:r>
        <m:r>
          <m:rPr>
            <m:sty m:val="p"/>
          </m:rPr>
          <w:rPr>
            <w:rFonts w:ascii="Cambria Math" w:hAnsi="Cambria Math"/>
          </w:rPr>
          <m:t xml:space="preserve">, </m:t>
        </m:r>
      </m:oMath>
      <w:r w:rsidR="00FD14ED" w:rsidRPr="009646E1">
        <w:t xml:space="preserve">the volume of rock </w:t>
      </w:r>
      <w:r w:rsidR="00FD14ED" w:rsidRPr="009646E1">
        <w:rPr>
          <w:i/>
        </w:rPr>
        <w:t xml:space="preserve">V </w:t>
      </w:r>
      <w:r w:rsidR="00FD14ED" w:rsidRPr="009646E1">
        <w:t>required to provide this energy by cooling the rocks by ∆</w:t>
      </w:r>
      <w:r w:rsidR="00FD14ED" w:rsidRPr="009646E1">
        <w:rPr>
          <w:i/>
        </w:rPr>
        <w:t xml:space="preserve">T </w:t>
      </w:r>
      <w:r w:rsidR="00FD14ED" w:rsidRPr="009646E1">
        <w:rPr>
          <w:rFonts w:ascii="Cambria" w:eastAsia="Cambria" w:hAnsi="Cambria" w:cs="Cambria"/>
        </w:rPr>
        <w:t xml:space="preserve">= </w:t>
      </w:r>
      <w:r w:rsidR="00FD14ED" w:rsidRPr="009646E1">
        <w:t>5</w:t>
      </w:r>
      <w:r w:rsidR="00F561C5">
        <w:rPr>
          <w:rFonts w:ascii="Cambria" w:eastAsia="Cambria" w:hAnsi="Cambria" w:cs="Cambria"/>
          <w:vertAlign w:val="superscript"/>
        </w:rPr>
        <w:t>°</w:t>
      </w:r>
      <w:r w:rsidR="00FD14ED" w:rsidRPr="009646E1">
        <w:rPr>
          <w:i/>
        </w:rPr>
        <w:t xml:space="preserve">C </w:t>
      </w:r>
      <w:r w:rsidR="00FD14ED" w:rsidRPr="009646E1">
        <w:t xml:space="preserve">is </w:t>
      </w:r>
      <w:r w:rsidR="001123D2">
        <w:t>~</w:t>
      </w:r>
      <w:r w:rsidR="00767333">
        <w:t>3000</w:t>
      </w:r>
      <w:r w:rsidR="00FD14ED" w:rsidRPr="009646E1">
        <w:t xml:space="preserve"> </w:t>
      </w:r>
      <w:r w:rsidR="00FD14ED" w:rsidRPr="009646E1">
        <w:rPr>
          <w:i/>
        </w:rPr>
        <w:t>m</w:t>
      </w:r>
      <w:r w:rsidR="00FD14ED" w:rsidRPr="009646E1">
        <w:rPr>
          <w:vertAlign w:val="superscript"/>
        </w:rPr>
        <w:t>3</w:t>
      </w:r>
      <w:r w:rsidR="00FD14ED" w:rsidRPr="009646E1">
        <w:t xml:space="preserve">. </w:t>
      </w:r>
      <w:r w:rsidRPr="009646E1">
        <w:t xml:space="preserve">Assuming that the heat is extracted radially from a </w:t>
      </w:r>
      <w:r w:rsidR="009B72BB">
        <w:t>10</w:t>
      </w:r>
      <w:r w:rsidR="00DB27F8">
        <w:t xml:space="preserve">0-m long vertical </w:t>
      </w:r>
      <w:r w:rsidRPr="009646E1">
        <w:t>borehole situated</w:t>
      </w:r>
      <w:r>
        <w:t xml:space="preserve"> </w:t>
      </w:r>
      <w:r w:rsidR="00FC51EF">
        <w:t>under the property</w:t>
      </w:r>
      <w:r>
        <w:t xml:space="preserve">, the </w:t>
      </w:r>
      <w:r w:rsidR="00DB27F8">
        <w:t xml:space="preserve">surface area of the volume cooled </w:t>
      </w:r>
      <w:r>
        <w:t>would</w:t>
      </w:r>
      <w:r w:rsidR="00DB27F8">
        <w:t xml:space="preserve"> be</w:t>
      </w:r>
      <w:r>
        <w:t xml:space="preserve"> </w:t>
      </w:r>
      <w:r w:rsidR="00DB27F8">
        <w:t>~</w:t>
      </w:r>
      <w:r w:rsidR="00767333">
        <w:t>30</w:t>
      </w:r>
      <w:r>
        <w:t xml:space="preserve"> </w:t>
      </w:r>
      <w:r>
        <w:rPr>
          <w:i/>
        </w:rPr>
        <w:t>m</w:t>
      </w:r>
      <w:r>
        <w:rPr>
          <w:vertAlign w:val="superscript"/>
        </w:rPr>
        <w:t>2</w:t>
      </w:r>
      <w:r w:rsidR="00DB27F8">
        <w:t xml:space="preserve"> (i.e. cylinder with a radius </w:t>
      </w:r>
      <w:r w:rsidR="00DB27F8" w:rsidRPr="00DB27F8">
        <w:rPr>
          <w:i/>
          <w:iCs/>
        </w:rPr>
        <w:t>r</w:t>
      </w:r>
      <w:r w:rsidR="00DB27F8">
        <w:t xml:space="preserve"> ~</w:t>
      </w:r>
      <w:r w:rsidR="009B72BB">
        <w:t xml:space="preserve">3 </w:t>
      </w:r>
      <w:r w:rsidR="00DB27F8">
        <w:t xml:space="preserve">m). </w:t>
      </w:r>
      <w:r w:rsidR="00FD14ED">
        <w:t>Over a 30-year operation period (</w:t>
      </w:r>
      <w:r w:rsidR="00FD14ED">
        <w:rPr>
          <w:i/>
        </w:rPr>
        <w:t xml:space="preserve">Q </w:t>
      </w:r>
      <w:r w:rsidR="00FD14ED">
        <w:rPr>
          <w:rFonts w:ascii="Cambria" w:eastAsia="Cambria" w:hAnsi="Cambria" w:cs="Cambria"/>
        </w:rPr>
        <w:t xml:space="preserve">= </w:t>
      </w:r>
      <w:r w:rsidR="00FD14ED">
        <w:t xml:space="preserve">1.14 </w:t>
      </w:r>
      <w:r w:rsidR="00FD14ED">
        <w:rPr>
          <w:rFonts w:ascii="Cambria" w:eastAsia="Cambria" w:hAnsi="Cambria" w:cs="Cambria"/>
        </w:rPr>
        <w:t xml:space="preserve">× </w:t>
      </w:r>
      <w:r w:rsidR="00FD14ED">
        <w:t>10</w:t>
      </w:r>
      <w:r w:rsidR="00FD14ED">
        <w:rPr>
          <w:vertAlign w:val="superscript"/>
        </w:rPr>
        <w:t>12</w:t>
      </w:r>
      <w:r w:rsidR="00FD14ED">
        <w:rPr>
          <w:i/>
        </w:rPr>
        <w:t>J</w:t>
      </w:r>
      <w:r w:rsidR="00FD14ED">
        <w:t xml:space="preserve">) and considering that no heat recharge is provided, an area of </w:t>
      </w:r>
      <w:r w:rsidR="001123D2">
        <w:t>~</w:t>
      </w:r>
      <w:r w:rsidR="00767333">
        <w:t>900</w:t>
      </w:r>
      <w:r w:rsidR="00FD14ED">
        <w:t xml:space="preserve"> </w:t>
      </w:r>
      <w:r w:rsidR="00FD14ED">
        <w:rPr>
          <w:i/>
        </w:rPr>
        <w:t>m</w:t>
      </w:r>
      <w:r w:rsidR="00FD14ED">
        <w:rPr>
          <w:vertAlign w:val="superscript"/>
        </w:rPr>
        <w:t xml:space="preserve">2 </w:t>
      </w:r>
      <w:r w:rsidR="00FD14ED">
        <w:t>would be required (</w:t>
      </w:r>
      <w:r w:rsidR="00FD14ED" w:rsidRPr="00DB27F8">
        <w:rPr>
          <w:i/>
          <w:iCs/>
        </w:rPr>
        <w:t>r</w:t>
      </w:r>
      <w:r w:rsidR="00DB27F8">
        <w:t xml:space="preserve"> </w:t>
      </w:r>
      <w:r w:rsidR="00FD14ED">
        <w:t xml:space="preserve">= </w:t>
      </w:r>
      <w:r w:rsidR="00767333">
        <w:t>17</w:t>
      </w:r>
      <w:r w:rsidR="00FD14ED">
        <w:t xml:space="preserve"> m</w:t>
      </w:r>
      <w:r w:rsidR="00767333">
        <w:t>).</w:t>
      </w:r>
      <w:r w:rsidR="00FD14ED">
        <w:t xml:space="preserve"> </w:t>
      </w:r>
    </w:p>
    <w:p w14:paraId="46C2473D" w14:textId="67A5D397" w:rsidR="00DB1565" w:rsidRDefault="00DB1565" w:rsidP="00DB1565">
      <w:pPr>
        <w:pStyle w:val="Paragraphedeliste"/>
        <w:numPr>
          <w:ilvl w:val="1"/>
          <w:numId w:val="1"/>
        </w:numPr>
      </w:pPr>
      <w:r w:rsidRPr="006407F6">
        <w:t xml:space="preserve">Geothermal flux </w:t>
      </w:r>
    </w:p>
    <w:p w14:paraId="779ECA22" w14:textId="77777777" w:rsidR="00DB1565" w:rsidRPr="00F160E3" w:rsidRDefault="00DB1565" w:rsidP="00DB1565">
      <w:pPr>
        <w:pStyle w:val="Paragraphedeliste"/>
      </w:pPr>
    </w:p>
    <w:p w14:paraId="4B1D8343" w14:textId="4641C9F7" w:rsidR="009B72BB" w:rsidRPr="00F160E3" w:rsidRDefault="00F561C5" w:rsidP="009B72BB">
      <w:pPr>
        <w:spacing w:afterLines="80" w:after="192" w:line="480" w:lineRule="auto"/>
        <w:ind w:firstLine="335"/>
        <w:rPr>
          <w:iCs/>
        </w:rPr>
      </w:pPr>
      <w:r w:rsidRPr="00F160E3">
        <w:t xml:space="preserve">The </w:t>
      </w:r>
      <w:r w:rsidR="003D4D2D" w:rsidRPr="00F160E3">
        <w:t>thermal state of the E</w:t>
      </w:r>
      <w:r w:rsidRPr="00F160E3">
        <w:t xml:space="preserve">arth’s </w:t>
      </w:r>
      <w:r w:rsidR="003D4D2D" w:rsidRPr="00F160E3">
        <w:t>crust is controlled by the natural conductive heat flow and by</w:t>
      </w:r>
      <w:r w:rsidRPr="00F160E3">
        <w:t xml:space="preserve"> the natural decay of radioactive </w:t>
      </w:r>
      <w:r w:rsidR="003D4D2D" w:rsidRPr="00F160E3">
        <w:t xml:space="preserve">heat producing </w:t>
      </w:r>
      <w:r w:rsidRPr="00F160E3">
        <w:t>elements, typically of the isotopes of uranium</w:t>
      </w:r>
      <w:r w:rsidR="00DB27F8" w:rsidRPr="00F160E3">
        <w:t xml:space="preserve"> (U), thorium (Th) and potassium</w:t>
      </w:r>
      <w:r w:rsidRPr="00F160E3">
        <w:t xml:space="preserve"> </w:t>
      </w:r>
      <w:r w:rsidR="00DB27F8" w:rsidRPr="00F160E3">
        <w:t xml:space="preserve">(K) </w:t>
      </w:r>
      <w:r w:rsidRPr="00F160E3">
        <w:t>(Pollack and Chapman, 1977</w:t>
      </w:r>
      <w:r w:rsidR="003D4D2D" w:rsidRPr="00F160E3">
        <w:t xml:space="preserve">, </w:t>
      </w:r>
      <w:r w:rsidRPr="00F160E3">
        <w:t xml:space="preserve">Sandiford, McLaren </w:t>
      </w:r>
      <w:r w:rsidRPr="00F160E3">
        <w:rPr>
          <w:i/>
          <w:iCs/>
        </w:rPr>
        <w:t>et al.,</w:t>
      </w:r>
      <w:r w:rsidRPr="00F160E3">
        <w:t xml:space="preserve"> 2006).</w:t>
      </w:r>
      <w:r w:rsidR="003D4D2D" w:rsidRPr="00F160E3">
        <w:t xml:space="preserve"> </w:t>
      </w:r>
      <w:r w:rsidR="00890458" w:rsidRPr="00F160E3">
        <w:t xml:space="preserve">In the </w:t>
      </w:r>
      <w:r w:rsidR="00DB27F8" w:rsidRPr="00F160E3">
        <w:t xml:space="preserve">MVS, </w:t>
      </w:r>
      <w:r w:rsidRPr="00F160E3">
        <w:t xml:space="preserve">only granite intrusions would contain sufficient concentration of K, T and U elements to generate significant radiogenic heat (Gillespie </w:t>
      </w:r>
      <w:r w:rsidRPr="00F160E3">
        <w:rPr>
          <w:i/>
          <w:iCs/>
        </w:rPr>
        <w:t>et al.,</w:t>
      </w:r>
      <w:r w:rsidRPr="00F160E3">
        <w:t xml:space="preserve"> 2013)</w:t>
      </w:r>
      <w:r w:rsidR="00DB27F8" w:rsidRPr="00F160E3">
        <w:t xml:space="preserve"> and their contribution to the heat recharge is therefore neglected in this study.</w:t>
      </w:r>
      <w:r w:rsidR="00AD25E5" w:rsidRPr="00F160E3">
        <w:t xml:space="preserve"> </w:t>
      </w:r>
      <w:r w:rsidR="009B72BB" w:rsidRPr="00F160E3">
        <w:t>Using an</w:t>
      </w:r>
      <w:r w:rsidR="00AD25E5" w:rsidRPr="00F160E3">
        <w:t xml:space="preserve"> average temperature gradient </w:t>
      </w:r>
      <m:oMath>
        <m:f>
          <m:fPr>
            <m:ctrlPr>
              <w:rPr>
                <w:rFonts w:ascii="Cambria Math" w:hAnsi="Cambria Math"/>
                <w:i/>
              </w:rPr>
            </m:ctrlPr>
          </m:fPr>
          <m:num>
            <m:r>
              <w:rPr>
                <w:rFonts w:ascii="Cambria Math" w:hAnsi="Cambria Math"/>
              </w:rPr>
              <m:t>dT</m:t>
            </m:r>
          </m:num>
          <m:den>
            <m:r>
              <w:rPr>
                <w:rFonts w:ascii="Cambria Math" w:hAnsi="Cambria Math"/>
              </w:rPr>
              <m:t>dz</m:t>
            </m:r>
          </m:den>
        </m:f>
        <m:r>
          <w:rPr>
            <w:rFonts w:ascii="Cambria Math" w:hAnsi="Cambria Math"/>
          </w:rPr>
          <m:t>≈0.025</m:t>
        </m:r>
      </m:oMath>
      <w:r w:rsidR="00AD25E5" w:rsidRPr="00F160E3">
        <w:rPr>
          <w:rFonts w:eastAsiaTheme="minorEastAsia"/>
        </w:rPr>
        <w:t xml:space="preserve"> °C</w:t>
      </w:r>
      <w:r w:rsidR="00AD25E5" w:rsidRPr="00F160E3">
        <w:t xml:space="preserve">/km </w:t>
      </w:r>
      <w:r w:rsidR="00615DCC" w:rsidRPr="00F160E3">
        <w:t xml:space="preserve">determined for </w:t>
      </w:r>
      <w:r w:rsidR="009B72BB" w:rsidRPr="00F160E3">
        <w:t>Scottish c</w:t>
      </w:r>
      <w:r w:rsidR="00615DCC" w:rsidRPr="00F160E3">
        <w:t>oalfield</w:t>
      </w:r>
      <w:r w:rsidR="009B72BB" w:rsidRPr="00F160E3">
        <w:t>s</w:t>
      </w:r>
      <w:r w:rsidR="00AD25E5" w:rsidRPr="00F160E3">
        <w:t xml:space="preserve"> </w:t>
      </w:r>
      <w:r w:rsidR="009B72BB" w:rsidRPr="00F160E3">
        <w:t xml:space="preserve">(Farr et al., 2020) </w:t>
      </w:r>
      <w:r w:rsidR="00AD25E5" w:rsidRPr="00F160E3">
        <w:t xml:space="preserve">and </w:t>
      </w:r>
      <w:r w:rsidR="008B09FB" w:rsidRPr="00F160E3">
        <w:t>an effective</w:t>
      </w:r>
      <w:r w:rsidR="009B72BB" w:rsidRPr="00F160E3">
        <w:t xml:space="preserve"> </w:t>
      </w:r>
      <w:r w:rsidR="008B09FB" w:rsidRPr="00F160E3">
        <w:t>thermal conductivity</w:t>
      </w:r>
      <w:r w:rsidR="00AD25E5" w:rsidRPr="00F160E3">
        <w:t xml:space="preserve"> </w:t>
      </w:r>
      <w:r w:rsidR="002B1CBD">
        <w:t xml:space="preserve">of </w:t>
      </w:r>
      <m:oMath>
        <m:sSub>
          <m:sSubPr>
            <m:ctrlPr>
              <w:rPr>
                <w:rFonts w:ascii="Cambria Math" w:hAnsi="Cambria Math"/>
                <w:i/>
              </w:rPr>
            </m:ctrlPr>
          </m:sSubPr>
          <m:e>
            <m:r>
              <w:rPr>
                <w:rFonts w:ascii="Cambria Math" w:hAnsi="Cambria Math"/>
              </w:rPr>
              <m:t>λ</m:t>
            </m:r>
          </m:e>
          <m:sub>
            <m:r>
              <w:rPr>
                <w:rFonts w:ascii="Cambria Math" w:hAnsi="Cambria Math"/>
              </w:rPr>
              <m:t xml:space="preserve">eff </m:t>
            </m:r>
          </m:sub>
        </m:sSub>
        <m:r>
          <w:rPr>
            <w:rFonts w:ascii="Cambria Math" w:hAnsi="Cambria Math"/>
          </w:rPr>
          <m:t>=2.2 W/°C.m</m:t>
        </m:r>
      </m:oMath>
      <w:r w:rsidR="002B1CBD">
        <w:rPr>
          <w:rFonts w:eastAsiaTheme="minorEastAsia"/>
        </w:rPr>
        <w:t xml:space="preserve"> (</w:t>
      </w:r>
      <w:r w:rsidR="00FA4BBE">
        <w:rPr>
          <w:rFonts w:eastAsiaTheme="minorEastAsia"/>
        </w:rPr>
        <w:t xml:space="preserve">see SM </w:t>
      </w:r>
      <w:commentRangeStart w:id="2"/>
      <w:r w:rsidR="00FA4BBE">
        <w:rPr>
          <w:rFonts w:eastAsiaTheme="minorEastAsia"/>
        </w:rPr>
        <w:t>1</w:t>
      </w:r>
      <w:commentRangeEnd w:id="2"/>
      <w:r w:rsidR="00FA4BBE">
        <w:rPr>
          <w:rStyle w:val="Marquedecommentaire"/>
          <w:rFonts w:ascii="Calibri" w:eastAsia="Calibri" w:hAnsi="Calibri" w:cs="Calibri"/>
          <w:color w:val="000000"/>
          <w:lang w:eastAsia="en-GB"/>
        </w:rPr>
        <w:commentReference w:id="2"/>
      </w:r>
      <w:r w:rsidR="002B1CBD">
        <w:rPr>
          <w:iCs/>
        </w:rPr>
        <w:t>),</w:t>
      </w:r>
      <w:r w:rsidR="0001750B" w:rsidRPr="00F160E3">
        <w:rPr>
          <w:iCs/>
        </w:rPr>
        <w:t xml:space="preserve"> </w:t>
      </w:r>
      <w:r w:rsidR="009B72BB" w:rsidRPr="00F160E3">
        <w:rPr>
          <w:rFonts w:eastAsiaTheme="minorEastAsia"/>
        </w:rPr>
        <w:t>t</w:t>
      </w:r>
      <w:r w:rsidR="009B72BB" w:rsidRPr="00F160E3">
        <w:t xml:space="preserve">he estimated </w:t>
      </w:r>
      <w:r w:rsidR="009B72BB" w:rsidRPr="00F160E3">
        <w:rPr>
          <w:iCs/>
        </w:rPr>
        <w:t>steady state geothermal heat flux through a homogeneous rock volume is ~</w:t>
      </w:r>
      <w:r w:rsidR="009B72BB" w:rsidRPr="00F160E3">
        <w:t>0.05</w:t>
      </w:r>
      <w:r w:rsidR="00BB3873" w:rsidRPr="00F160E3">
        <w:t>7</w:t>
      </w:r>
      <w:r w:rsidR="009B72BB" w:rsidRPr="00F160E3">
        <w:t xml:space="preserve"> </w:t>
      </w:r>
      <w:r w:rsidR="009B72BB" w:rsidRPr="00F160E3">
        <w:rPr>
          <w:iCs/>
        </w:rPr>
        <w:t>W</w:t>
      </w:r>
      <w:r w:rsidR="009B72BB" w:rsidRPr="00F160E3">
        <w:rPr>
          <w:rFonts w:ascii="Cambria" w:eastAsia="Cambria" w:hAnsi="Cambria" w:cs="Cambria"/>
          <w:iCs/>
        </w:rPr>
        <w:t>/</w:t>
      </w:r>
      <w:r w:rsidR="009B72BB" w:rsidRPr="00F160E3">
        <w:rPr>
          <w:iCs/>
        </w:rPr>
        <w:t>m</w:t>
      </w:r>
      <w:r w:rsidR="009B72BB" w:rsidRPr="00F160E3">
        <w:rPr>
          <w:vertAlign w:val="superscript"/>
        </w:rPr>
        <w:t xml:space="preserve">2 </w:t>
      </w:r>
      <w:r w:rsidR="009B72BB" w:rsidRPr="00F160E3">
        <w:t xml:space="preserve">(Eq. 3). </w:t>
      </w:r>
    </w:p>
    <w:bookmarkStart w:id="3" w:name="_Hlk69250289"/>
    <w:p w14:paraId="1265DBD1" w14:textId="300457E4" w:rsidR="009B72BB" w:rsidRPr="00F160E3" w:rsidRDefault="00CD429A" w:rsidP="009B72BB">
      <w:pPr>
        <w:spacing w:afterLines="80" w:after="192" w:line="480" w:lineRule="auto"/>
        <w:jc w:val="right"/>
      </w:pPr>
      <m:oMath>
        <m:acc>
          <m:accPr>
            <m:chr m:val="̅"/>
            <m:ctrlPr>
              <w:rPr>
                <w:rFonts w:ascii="Cambria Math" w:hAnsi="Cambria Math"/>
                <w:i/>
              </w:rPr>
            </m:ctrlPr>
          </m:accPr>
          <m:e>
            <m:r>
              <w:rPr>
                <w:rFonts w:ascii="Cambria Math" w:hAnsi="Cambria Math"/>
              </w:rPr>
              <m:t>q</m:t>
            </m:r>
          </m:e>
        </m:acc>
        <w:bookmarkEnd w:id="3"/>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dz</m:t>
            </m:r>
          </m:den>
        </m:f>
      </m:oMath>
      <w:r w:rsidR="009B72BB" w:rsidRPr="00F160E3">
        <w:tab/>
      </w:r>
      <w:r w:rsidR="009B72BB" w:rsidRPr="00F160E3">
        <w:tab/>
      </w:r>
      <w:r w:rsidR="0001750B" w:rsidRPr="00F160E3">
        <w:tab/>
      </w:r>
      <w:r w:rsidR="0001750B" w:rsidRPr="00F160E3">
        <w:tab/>
      </w:r>
      <w:r w:rsidR="009B72BB" w:rsidRPr="00F160E3">
        <w:tab/>
      </w:r>
      <w:r w:rsidR="009B72BB" w:rsidRPr="00F160E3">
        <w:tab/>
        <w:t>(3)</w:t>
      </w:r>
    </w:p>
    <w:p w14:paraId="3D30FCF4" w14:textId="67C0CB5F" w:rsidR="00F561C5" w:rsidRPr="00F160E3" w:rsidRDefault="00F561C5" w:rsidP="00767333">
      <w:pPr>
        <w:spacing w:afterLines="80" w:after="192" w:line="480" w:lineRule="auto"/>
        <w:ind w:firstLine="335"/>
      </w:pPr>
      <w:r w:rsidRPr="00F160E3">
        <w:t>We use th</w:t>
      </w:r>
      <w:r w:rsidR="0026548A" w:rsidRPr="00F160E3">
        <w:t>is value</w:t>
      </w:r>
      <w:r w:rsidR="009B72BB" w:rsidRPr="00F160E3">
        <w:t xml:space="preserve"> </w:t>
      </w:r>
      <w:r w:rsidRPr="00F160E3">
        <w:t>to calculate the contribution of the geothermal heat flux</w:t>
      </w:r>
      <w:r w:rsidR="00225CBD" w:rsidRPr="00F160E3">
        <w:t xml:space="preserve"> to the yearly </w:t>
      </w:r>
      <w:r w:rsidRPr="00F160E3">
        <w:t>heat recharge to the borehole.</w:t>
      </w:r>
      <w:r w:rsidR="00225CBD" w:rsidRPr="00F160E3">
        <w:t xml:space="preserve"> Considering the </w:t>
      </w:r>
      <w:r w:rsidRPr="00F160E3">
        <w:t>estimated footprint area of heat extraction</w:t>
      </w:r>
      <w:r w:rsidR="00225CBD" w:rsidRPr="00F160E3">
        <w:t xml:space="preserve"> </w:t>
      </w:r>
      <w:r w:rsidR="0026548A" w:rsidRPr="00F160E3">
        <w:t>from</w:t>
      </w:r>
      <w:r w:rsidR="00225CBD" w:rsidRPr="00F160E3">
        <w:t xml:space="preserve"> a single BHE</w:t>
      </w:r>
      <w:r w:rsidR="0026548A" w:rsidRPr="00F160E3">
        <w:t xml:space="preserve"> after a year</w:t>
      </w:r>
      <w:r w:rsidRPr="00F160E3">
        <w:t xml:space="preserve">, a constant </w:t>
      </w:r>
      <w:r w:rsidR="00E6765E" w:rsidRPr="00F160E3">
        <w:t xml:space="preserve">geothermal </w:t>
      </w:r>
      <w:r w:rsidRPr="00F160E3">
        <w:t xml:space="preserve">flux would </w:t>
      </w:r>
      <w:r w:rsidR="00E6765E" w:rsidRPr="00F160E3">
        <w:t xml:space="preserve">only </w:t>
      </w:r>
      <w:r w:rsidR="004F2CCD" w:rsidRPr="00F160E3">
        <w:t>provide</w:t>
      </w:r>
      <w:r w:rsidRPr="00F160E3">
        <w:t xml:space="preserve"> 0</w:t>
      </w:r>
      <w:r w:rsidRPr="00F160E3">
        <w:rPr>
          <w:rFonts w:ascii="Cambria" w:eastAsia="Cambria" w:hAnsi="Cambria" w:cs="Cambria"/>
          <w:i/>
        </w:rPr>
        <w:t>.</w:t>
      </w:r>
      <w:r w:rsidRPr="00F160E3">
        <w:t>0</w:t>
      </w:r>
      <w:r w:rsidR="009B72BB" w:rsidRPr="00F160E3">
        <w:t>5</w:t>
      </w:r>
      <w:r w:rsidR="0001750B" w:rsidRPr="00F160E3">
        <w:t>7</w:t>
      </w:r>
      <w:r w:rsidRPr="00F160E3">
        <w:t xml:space="preserve"> </w:t>
      </w:r>
      <w:r w:rsidR="0026548A" w:rsidRPr="00F160E3">
        <w:t xml:space="preserve">W/m² </w:t>
      </w:r>
      <w:r w:rsidRPr="00F160E3">
        <w:rPr>
          <w:rFonts w:ascii="Cambria" w:eastAsia="Cambria" w:hAnsi="Cambria" w:cs="Cambria"/>
        </w:rPr>
        <w:t xml:space="preserve">× </w:t>
      </w:r>
      <w:r w:rsidR="00767333">
        <w:t>30</w:t>
      </w:r>
      <w:r w:rsidR="0026548A" w:rsidRPr="00F160E3">
        <w:t xml:space="preserve"> m²</w:t>
      </w:r>
      <w:r w:rsidRPr="00F160E3">
        <w:t xml:space="preserve"> </w:t>
      </w:r>
      <w:r w:rsidRPr="00F160E3">
        <w:rPr>
          <w:rFonts w:ascii="Cambria" w:eastAsia="Cambria" w:hAnsi="Cambria" w:cs="Cambria"/>
        </w:rPr>
        <w:t xml:space="preserve">≈ </w:t>
      </w:r>
      <w:r w:rsidR="00B33B69" w:rsidRPr="00F160E3">
        <w:t>1.</w:t>
      </w:r>
      <w:r w:rsidR="0001750B" w:rsidRPr="00F160E3">
        <w:t>7</w:t>
      </w:r>
      <w:r w:rsidRPr="00F160E3">
        <w:t xml:space="preserve"> </w:t>
      </w:r>
      <w:r w:rsidRPr="00F160E3">
        <w:rPr>
          <w:i/>
        </w:rPr>
        <w:t xml:space="preserve">W </w:t>
      </w:r>
      <w:r w:rsidR="00E6765E" w:rsidRPr="00F160E3">
        <w:t>o</w:t>
      </w:r>
      <w:r w:rsidR="004F2CCD" w:rsidRPr="00F160E3">
        <w:t xml:space="preserve">f heat recharge to the borehole, that is </w:t>
      </w:r>
      <w:r w:rsidR="00E6765E" w:rsidRPr="00F160E3">
        <w:t>0.1</w:t>
      </w:r>
      <w:r w:rsidR="0001750B" w:rsidRPr="00F160E3">
        <w:t>4</w:t>
      </w:r>
      <w:r w:rsidR="00E6765E" w:rsidRPr="00F160E3">
        <w:t>% of the heat consumed by a single house in the UK in one year</w:t>
      </w:r>
      <w:r w:rsidRPr="00F160E3">
        <w:t xml:space="preserve">. </w:t>
      </w:r>
      <w:r w:rsidR="0026548A" w:rsidRPr="00F160E3">
        <w:t xml:space="preserve">Considering a </w:t>
      </w:r>
      <w:r w:rsidR="0001750B" w:rsidRPr="00F160E3">
        <w:t>median garden size for a house across Great Britain of 188 m²</w:t>
      </w:r>
      <w:r w:rsidR="00FA4BBE">
        <w:t xml:space="preserve"> (</w:t>
      </w:r>
      <w:r w:rsidR="00FA4BBE" w:rsidRPr="00FA4BBE">
        <w:t>ons.gov.uk)</w:t>
      </w:r>
      <w:r w:rsidR="00C30AF9" w:rsidRPr="00F160E3">
        <w:t xml:space="preserve">, </w:t>
      </w:r>
      <w:r w:rsidR="004F2CCD" w:rsidRPr="00F160E3">
        <w:t xml:space="preserve">geothermal heat </w:t>
      </w:r>
      <w:r w:rsidR="0026548A" w:rsidRPr="00F160E3">
        <w:t xml:space="preserve">recharge </w:t>
      </w:r>
      <w:r w:rsidR="004F2CCD" w:rsidRPr="00F160E3">
        <w:t xml:space="preserve">could provide </w:t>
      </w:r>
      <w:r w:rsidR="00767333">
        <w:t xml:space="preserve">up to </w:t>
      </w:r>
      <w:r w:rsidR="00014A0C" w:rsidRPr="00F160E3">
        <w:t>10.7</w:t>
      </w:r>
      <w:r w:rsidR="004F2CCD" w:rsidRPr="00F160E3">
        <w:t xml:space="preserve"> W of </w:t>
      </w:r>
      <w:r w:rsidR="00C30AF9" w:rsidRPr="00F160E3">
        <w:t xml:space="preserve">heat </w:t>
      </w:r>
      <w:r w:rsidR="0001750B" w:rsidRPr="00F160E3">
        <w:t>to a single borehole</w:t>
      </w:r>
      <w:r w:rsidR="004F2CCD" w:rsidRPr="00F160E3">
        <w:t xml:space="preserve">, that </w:t>
      </w:r>
      <w:r w:rsidR="00C30AF9" w:rsidRPr="00F160E3">
        <w:t>is</w:t>
      </w:r>
      <w:r w:rsidR="0026548A" w:rsidRPr="00F160E3">
        <w:t xml:space="preserve"> still</w:t>
      </w:r>
      <w:r w:rsidR="00C30AF9" w:rsidRPr="00F160E3">
        <w:t xml:space="preserve"> </w:t>
      </w:r>
      <w:r w:rsidR="004F2CCD" w:rsidRPr="00F160E3">
        <w:t>&lt;</w:t>
      </w:r>
      <w:r w:rsidR="0026548A" w:rsidRPr="00F160E3">
        <w:t xml:space="preserve"> </w:t>
      </w:r>
      <w:r w:rsidR="004F2CCD" w:rsidRPr="00F160E3">
        <w:t xml:space="preserve">1% of the heat consumed over a year.  </w:t>
      </w:r>
      <w:r w:rsidRPr="00F160E3">
        <w:t>Alternatively, if we assume a yearly average geothermal heat flux of about 0.0</w:t>
      </w:r>
      <w:r w:rsidR="00B33B69" w:rsidRPr="00F160E3">
        <w:t>5</w:t>
      </w:r>
      <w:r w:rsidR="00014A0C" w:rsidRPr="00F160E3">
        <w:t>7</w:t>
      </w:r>
      <w:r w:rsidRPr="00F160E3">
        <w:t xml:space="preserve"> W/m</w:t>
      </w:r>
      <w:r w:rsidRPr="00F160E3">
        <w:rPr>
          <w:vertAlign w:val="superscript"/>
        </w:rPr>
        <w:t>2</w:t>
      </w:r>
      <w:r w:rsidRPr="00F160E3">
        <w:t>, the area required to provide</w:t>
      </w:r>
      <w:r w:rsidR="0026548A" w:rsidRPr="00F160E3">
        <w:t xml:space="preserve"> a </w:t>
      </w:r>
      <w:r w:rsidRPr="00F160E3">
        <w:t xml:space="preserve">recharge </w:t>
      </w:r>
      <w:r w:rsidR="0026548A" w:rsidRPr="00F160E3">
        <w:t xml:space="preserve">of </w:t>
      </w:r>
      <w:r w:rsidRPr="00F160E3">
        <w:t>1200 W</w:t>
      </w:r>
      <w:r w:rsidR="0026548A" w:rsidRPr="00F160E3">
        <w:t xml:space="preserve"> to the BHE</w:t>
      </w:r>
      <w:r w:rsidRPr="00F160E3">
        <w:t xml:space="preserve"> </w:t>
      </w:r>
      <w:r w:rsidR="004F2CCD" w:rsidRPr="00F160E3">
        <w:t xml:space="preserve">would be </w:t>
      </w:r>
      <w:r w:rsidRPr="00F160E3">
        <w:t xml:space="preserve">in the order of </w:t>
      </w:r>
      <w:r w:rsidR="00B33B69" w:rsidRPr="00F160E3">
        <w:t>2</w:t>
      </w:r>
      <w:r w:rsidR="00014A0C" w:rsidRPr="00F160E3">
        <w:t>1</w:t>
      </w:r>
      <w:r w:rsidR="00B33B69" w:rsidRPr="00F160E3">
        <w:t xml:space="preserve"> </w:t>
      </w:r>
      <w:r w:rsidR="00014A0C" w:rsidRPr="00F160E3">
        <w:t>0</w:t>
      </w:r>
      <w:r w:rsidRPr="00F160E3">
        <w:t xml:space="preserve">00 </w:t>
      </w:r>
      <w:r w:rsidRPr="00F160E3">
        <w:rPr>
          <w:i/>
        </w:rPr>
        <w:t>m</w:t>
      </w:r>
      <w:r w:rsidRPr="00F160E3">
        <w:rPr>
          <w:vertAlign w:val="superscript"/>
        </w:rPr>
        <w:t>2</w:t>
      </w:r>
      <w:r w:rsidRPr="00F160E3">
        <w:t xml:space="preserve">, </w:t>
      </w:r>
      <w:r w:rsidR="008D4A23" w:rsidRPr="00F160E3">
        <w:t>that is ~1</w:t>
      </w:r>
      <w:r w:rsidR="00014A0C" w:rsidRPr="00F160E3">
        <w:t>10</w:t>
      </w:r>
      <w:r w:rsidRPr="00F160E3">
        <w:t xml:space="preserve"> times the </w:t>
      </w:r>
      <w:r w:rsidR="008D4A23" w:rsidRPr="00F160E3">
        <w:t>median garden size across Great Britain</w:t>
      </w:r>
      <w:r w:rsidRPr="00F160E3">
        <w:t xml:space="preserve">. </w:t>
      </w:r>
    </w:p>
    <w:p w14:paraId="1B64E433" w14:textId="77777777" w:rsidR="00F561C5" w:rsidRPr="00F160E3" w:rsidRDefault="00F561C5" w:rsidP="00F561C5">
      <w:pPr>
        <w:spacing w:afterLines="80" w:after="192" w:line="480" w:lineRule="auto"/>
        <w:ind w:firstLine="335"/>
      </w:pPr>
      <w:commentRangeStart w:id="4"/>
      <w:r w:rsidRPr="00F160E3">
        <w:rPr>
          <w:noProof/>
          <w:lang w:eastAsia="zh-CN"/>
        </w:rPr>
        <w:drawing>
          <wp:inline distT="0" distB="0" distL="0" distR="0" wp14:anchorId="13BAF521" wp14:editId="065AB288">
            <wp:extent cx="6224905" cy="282575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4905" cy="2825750"/>
                    </a:xfrm>
                    <a:prstGeom prst="rect">
                      <a:avLst/>
                    </a:prstGeom>
                  </pic:spPr>
                </pic:pic>
              </a:graphicData>
            </a:graphic>
          </wp:inline>
        </w:drawing>
      </w:r>
      <w:commentRangeEnd w:id="4"/>
      <w:r w:rsidRPr="00F160E3">
        <w:rPr>
          <w:rStyle w:val="Marquedecommentaire"/>
        </w:rPr>
        <w:commentReference w:id="4"/>
      </w:r>
    </w:p>
    <w:p w14:paraId="08933DEA" w14:textId="5A02D420" w:rsidR="00F561C5" w:rsidRPr="00F160E3" w:rsidRDefault="00F561C5" w:rsidP="00F561C5">
      <w:pPr>
        <w:spacing w:afterLines="80" w:after="192" w:line="480" w:lineRule="auto"/>
        <w:rPr>
          <w:sz w:val="18"/>
          <w:szCs w:val="18"/>
        </w:rPr>
      </w:pPr>
      <w:r w:rsidRPr="00F160E3">
        <w:rPr>
          <w:sz w:val="18"/>
          <w:szCs w:val="18"/>
        </w:rPr>
        <w:t xml:space="preserve">Figure 2: Conceptual models for the heat extraction model from vertical BHE. a) Sketch of the 1D and 3D numerical models developed in this study. b) Heat balance around the vertical BHE determined from mathematical models. The thermal state of the models is defined by an initial steady-state temperature gradient of 0.031°C/m and an average effective thermal conductivity of </w:t>
      </w:r>
      <m:oMath>
        <m:acc>
          <m:accPr>
            <m:chr m:val="̅"/>
            <m:ctrlPr>
              <w:rPr>
                <w:rFonts w:ascii="Cambria Math" w:hAnsi="Cambria Math"/>
                <w:i/>
                <w:sz w:val="18"/>
                <w:szCs w:val="18"/>
              </w:rPr>
            </m:ctrlPr>
          </m:accPr>
          <m:e>
            <m:r>
              <w:rPr>
                <w:rFonts w:ascii="Cambria Math" w:hAnsi="Cambria Math"/>
                <w:sz w:val="18"/>
                <w:szCs w:val="18"/>
              </w:rPr>
              <m:t>λ</m:t>
            </m:r>
          </m:e>
        </m:acc>
      </m:oMath>
      <w:r w:rsidRPr="00F160E3">
        <w:rPr>
          <w:sz w:val="18"/>
          <w:szCs w:val="18"/>
        </w:rPr>
        <w:t xml:space="preserve">=2.2 </w:t>
      </w:r>
      <w:r w:rsidRPr="00F160E3">
        <w:rPr>
          <w:i/>
          <w:sz w:val="18"/>
          <w:szCs w:val="18"/>
        </w:rPr>
        <w:t>W</w:t>
      </w:r>
      <w:r w:rsidRPr="00F160E3">
        <w:rPr>
          <w:rFonts w:ascii="Cambria" w:eastAsia="Cambria" w:hAnsi="Cambria" w:cs="Cambria"/>
          <w:i/>
          <w:sz w:val="18"/>
          <w:szCs w:val="18"/>
        </w:rPr>
        <w:t>/</w:t>
      </w:r>
      <w:r w:rsidRPr="00F160E3">
        <w:rPr>
          <w:i/>
          <w:sz w:val="18"/>
          <w:szCs w:val="18"/>
        </w:rPr>
        <w:t>m</w:t>
      </w:r>
      <w:r w:rsidRPr="00F160E3">
        <w:rPr>
          <w:sz w:val="18"/>
          <w:szCs w:val="18"/>
          <w:vertAlign w:val="superscript"/>
        </w:rPr>
        <w:t>2</w:t>
      </w:r>
      <w:r w:rsidRPr="00F160E3">
        <w:rPr>
          <w:sz w:val="18"/>
          <w:szCs w:val="18"/>
        </w:rPr>
        <w:t xml:space="preserve">. The heat flux entering the system from below equals the flux coming out at the surface through purely conductive heat transfers. </w:t>
      </w:r>
    </w:p>
    <w:p w14:paraId="2C7C1A1D" w14:textId="0627A75C" w:rsidR="00DB1565" w:rsidRPr="00F160E3" w:rsidRDefault="00DB1565" w:rsidP="008D4A23">
      <w:pPr>
        <w:pStyle w:val="Paragraphedeliste"/>
        <w:numPr>
          <w:ilvl w:val="1"/>
          <w:numId w:val="1"/>
        </w:numPr>
      </w:pPr>
      <w:r w:rsidRPr="00F160E3">
        <w:t xml:space="preserve">solar heat recharge </w:t>
      </w:r>
    </w:p>
    <w:p w14:paraId="336AF595" w14:textId="1C6DD271" w:rsidR="00225CBD" w:rsidRPr="00F160E3" w:rsidRDefault="00225CBD" w:rsidP="00225CBD">
      <w:pPr>
        <w:spacing w:afterLines="80" w:after="192" w:line="480" w:lineRule="auto"/>
        <w:ind w:left="-4" w:firstLine="339"/>
      </w:pPr>
      <w:r w:rsidRPr="00F160E3">
        <w:t>In the upper 10-25 m below the surface, the effective ground temperature highly depends on the surface climatic conditions such as the air temperature, the amount of solar radiation absorbed</w:t>
      </w:r>
      <w:r w:rsidR="00960D17" w:rsidRPr="00F160E3">
        <w:t>/reflected</w:t>
      </w:r>
      <w:r w:rsidRPr="00F160E3">
        <w:t xml:space="preserve"> by the soil and the longwave radiation emitted from the ground, the wind velocity or the evapo-transpiration processes (Hein</w:t>
      </w:r>
      <w:r w:rsidRPr="00F160E3">
        <w:rPr>
          <w:i/>
          <w:iCs/>
        </w:rPr>
        <w:t xml:space="preserve"> et al.,</w:t>
      </w:r>
      <w:r w:rsidRPr="00F160E3">
        <w:t xml:space="preserve"> 2016). All of these factors tend to determine the amount of heat transmitted between the surface and sub-surface and warm/cool the ground down to </w:t>
      </w:r>
      <w:r w:rsidR="008D4A23" w:rsidRPr="00F160E3">
        <w:t xml:space="preserve">a </w:t>
      </w:r>
      <w:r w:rsidRPr="00F160E3">
        <w:t xml:space="preserve">depth that </w:t>
      </w:r>
      <w:r w:rsidR="008D4A23" w:rsidRPr="00F160E3">
        <w:t xml:space="preserve">mainly </w:t>
      </w:r>
      <w:r w:rsidRPr="00F160E3">
        <w:t>depends on the ground conductivity</w:t>
      </w:r>
      <w:r w:rsidR="00C30AF9" w:rsidRPr="00F160E3">
        <w:t>.</w:t>
      </w:r>
      <w:r w:rsidR="00767333">
        <w:t xml:space="preserve"> In the considered scenario, the damping depth (i.e. </w:t>
      </w:r>
      <w:r w:rsidRPr="00F160E3">
        <w:t>depth of influence of yearly surface temperature variations</w:t>
      </w:r>
      <w:r w:rsidR="00767333">
        <w:t xml:space="preserve">) as defined in </w:t>
      </w:r>
      <w:r w:rsidRPr="00F160E3">
        <w:t xml:space="preserve">Ozgener </w:t>
      </w:r>
      <w:r w:rsidRPr="00F160E3">
        <w:rPr>
          <w:i/>
          <w:iCs/>
        </w:rPr>
        <w:t>et al.</w:t>
      </w:r>
      <w:r w:rsidR="00767333">
        <w:rPr>
          <w:i/>
          <w:iCs/>
        </w:rPr>
        <w:t xml:space="preserve"> (</w:t>
      </w:r>
      <w:r w:rsidRPr="00F160E3">
        <w:t>2013)</w:t>
      </w:r>
      <w:r w:rsidR="00767333">
        <w:t xml:space="preserve"> is</w:t>
      </w:r>
      <w:r w:rsidRPr="00F160E3">
        <w:t>:</w:t>
      </w:r>
      <w:r w:rsidR="00960D17" w:rsidRPr="00F160E3">
        <w:t xml:space="preserve"> </w:t>
      </w:r>
    </w:p>
    <w:p w14:paraId="295C30FE" w14:textId="069D6A07" w:rsidR="00225CBD" w:rsidRPr="00F160E3" w:rsidRDefault="00225CBD" w:rsidP="00225CBD">
      <w:pPr>
        <w:spacing w:afterLines="80" w:after="192" w:line="480" w:lineRule="auto"/>
        <w:ind w:left="-4" w:firstLine="339"/>
        <w:jc w:val="right"/>
      </w:pPr>
      <m:oMath>
        <m:r>
          <w:rPr>
            <w:rFonts w:ascii="Cambria Math" w:hAnsi="Cambria Math"/>
          </w:rPr>
          <m:t>d=</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αP</m:t>
                    </m:r>
                  </m:den>
                </m:f>
              </m:e>
            </m:rad>
          </m:den>
        </m:f>
        <m:r>
          <w:rPr>
            <w:rFonts w:ascii="Cambria Math" w:hAnsi="Cambria Math"/>
          </w:rPr>
          <m:t>=</m:t>
        </m:r>
        <m:r>
          <w:rPr>
            <w:rFonts w:ascii="Cambria Math" w:hAnsi="Cambria Math"/>
          </w:rPr>
          <m:t>43</m:t>
        </m:r>
        <m:r>
          <w:rPr>
            <w:rFonts w:ascii="Cambria Math" w:hAnsi="Cambria Math"/>
          </w:rPr>
          <m:t xml:space="preserve"> m</m:t>
        </m:r>
      </m:oMath>
      <w:r w:rsidRPr="00F160E3">
        <w:tab/>
      </w:r>
      <w:r w:rsidRPr="00F160E3">
        <w:tab/>
      </w:r>
      <w:r w:rsidRPr="00F160E3">
        <w:tab/>
      </w:r>
      <w:r w:rsidRPr="00F160E3">
        <w:tab/>
      </w:r>
      <w:r w:rsidRPr="00F160E3">
        <w:tab/>
      </w:r>
      <w:r w:rsidRPr="00F160E3">
        <w:tab/>
        <w:t>(4)</w:t>
      </w:r>
    </w:p>
    <w:p w14:paraId="08A579D6" w14:textId="5D9214A7" w:rsidR="008D4A23" w:rsidRPr="00F160E3" w:rsidRDefault="00225CBD" w:rsidP="00225CBD">
      <w:pPr>
        <w:spacing w:afterLines="80" w:after="192" w:line="480" w:lineRule="auto"/>
        <w:ind w:left="-4" w:firstLine="339"/>
      </w:pPr>
      <w:r w:rsidRPr="00F160E3">
        <w:t xml:space="preserve">Where </w:t>
      </w:r>
      <m:oMath>
        <m:r>
          <w:rPr>
            <w:rFonts w:ascii="Cambria Math" w:hAnsi="Cambria Math"/>
          </w:rPr>
          <m:t>P=366 days</m:t>
        </m:r>
      </m:oMath>
      <w:r w:rsidRPr="00F160E3">
        <w:t xml:space="preserve"> is the period of oscillations and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eff</m:t>
                </m:r>
              </m:sub>
            </m:sSub>
          </m:num>
          <m:den>
            <m:sSub>
              <m:sSubPr>
                <m:ctrlPr>
                  <w:rPr>
                    <w:rFonts w:ascii="Cambria Math" w:hAnsi="Cambria Math"/>
                    <w:i/>
                  </w:rPr>
                </m:ctrlPr>
              </m:sSubPr>
              <m:e>
                <m:r>
                  <w:rPr>
                    <w:rFonts w:ascii="Cambria Math" w:hAnsi="Cambria Math"/>
                  </w:rPr>
                  <m:t>ρ</m:t>
                </m:r>
              </m:e>
              <m:sub>
                <m:r>
                  <w:rPr>
                    <w:rFonts w:ascii="Cambria Math" w:hAnsi="Cambria Math"/>
                  </w:rPr>
                  <m:t>eff</m:t>
                </m:r>
              </m:sub>
            </m:sSub>
            <m:sSub>
              <m:sSubPr>
                <m:ctrlPr>
                  <w:rPr>
                    <w:rFonts w:ascii="Cambria Math" w:hAnsi="Cambria Math"/>
                    <w:i/>
                  </w:rPr>
                </m:ctrlPr>
              </m:sSubPr>
              <m:e>
                <m:r>
                  <w:rPr>
                    <w:rFonts w:ascii="Cambria Math" w:hAnsi="Cambria Math"/>
                  </w:rPr>
                  <m:t xml:space="preserve"> c</m:t>
                </m:r>
              </m:e>
              <m:sub>
                <m:r>
                  <w:rPr>
                    <w:rFonts w:ascii="Cambria Math" w:hAnsi="Cambria Math"/>
                  </w:rPr>
                  <m:t>eff</m:t>
                </m:r>
              </m:sub>
            </m:sSub>
          </m:den>
        </m:f>
        <m:r>
          <w:rPr>
            <w:rFonts w:ascii="Cambria Math" w:hAnsi="Cambria Math"/>
          </w:rPr>
          <m:t>=</m:t>
        </m:r>
        <m:r>
          <w:rPr>
            <w:rFonts w:ascii="Cambria Math" w:hAnsi="Cambria Math"/>
          </w:rPr>
          <m:t>7.34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r>
          <w:rPr>
            <w:rFonts w:ascii="Cambria Math" w:hAnsi="Cambria Math"/>
          </w:rPr>
          <m:t xml:space="preserve"> m²/s</m:t>
        </m:r>
      </m:oMath>
      <w:r w:rsidRPr="00F160E3">
        <w:t xml:space="preserve"> is the rock thermal diffusivity, with</w:t>
      </w:r>
      <w:r w:rsidR="008D4A23" w:rsidRPr="00F160E3">
        <w:t xml:space="preserve"> </w:t>
      </w:r>
      <m:oMath>
        <m:sSub>
          <m:sSubPr>
            <m:ctrlPr>
              <w:rPr>
                <w:rFonts w:ascii="Cambria Math" w:hAnsi="Cambria Math"/>
                <w:i/>
              </w:rPr>
            </m:ctrlPr>
          </m:sSubPr>
          <m:e>
            <m:r>
              <w:rPr>
                <w:rFonts w:ascii="Cambria Math" w:hAnsi="Cambria Math"/>
              </w:rPr>
              <m:t>ρ</m:t>
            </m:r>
          </m:e>
          <m:sub>
            <m:r>
              <w:rPr>
                <w:rFonts w:ascii="Cambria Math" w:hAnsi="Cambria Math"/>
              </w:rPr>
              <m:t>eff</m:t>
            </m:r>
          </m:sub>
        </m:sSub>
        <m:r>
          <w:rPr>
            <w:rFonts w:ascii="Cambria Math" w:hAnsi="Cambria Math"/>
          </w:rPr>
          <m:t>=2350 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E39EE" w:rsidRPr="00F160E3">
        <w:rPr>
          <w:rFonts w:eastAsiaTheme="minorEastAsia"/>
        </w:rPr>
        <w:t xml:space="preserve"> the effective density</w:t>
      </w:r>
      <w:r w:rsidR="008D4A23" w:rsidRPr="00F160E3">
        <w:t xml:space="preserve">, </w:t>
      </w:r>
      <m:oMath>
        <m:sSub>
          <m:sSubPr>
            <m:ctrlPr>
              <w:rPr>
                <w:rFonts w:ascii="Cambria Math" w:hAnsi="Cambria Math"/>
                <w:i/>
              </w:rPr>
            </m:ctrlPr>
          </m:sSubPr>
          <m:e>
            <m:r>
              <w:rPr>
                <w:rFonts w:ascii="Cambria Math" w:hAnsi="Cambria Math"/>
              </w:rPr>
              <m:t>c</m:t>
            </m:r>
          </m:e>
          <m:sub>
            <m:r>
              <w:rPr>
                <w:rFonts w:ascii="Cambria Math" w:hAnsi="Cambria Math"/>
              </w:rPr>
              <m:t>eff</m:t>
            </m:r>
          </m:sub>
        </m:sSub>
        <m:r>
          <w:rPr>
            <w:rFonts w:ascii="Cambria Math" w:hAnsi="Cambria Math"/>
          </w:rPr>
          <m:t>=</m:t>
        </m:r>
        <m:r>
          <w:rPr>
            <w:rFonts w:ascii="Cambria Math" w:hAnsi="Cambria Math"/>
          </w:rPr>
          <m:t>1276</m:t>
        </m:r>
      </m:oMath>
      <w:r w:rsidR="008D4A23" w:rsidRPr="00F160E3">
        <w:rPr>
          <w:rFonts w:eastAsiaTheme="minorEastAsia"/>
        </w:rPr>
        <w:t xml:space="preserve"> J/Kg</w:t>
      </w:r>
      <w:r w:rsidR="00EE39EE" w:rsidRPr="00F160E3">
        <w:rPr>
          <w:rFonts w:eastAsiaTheme="minorEastAsia"/>
        </w:rPr>
        <w:t>.</w:t>
      </w:r>
      <w:r w:rsidR="008D4A23" w:rsidRPr="00F160E3">
        <w:rPr>
          <w:rFonts w:eastAsiaTheme="minorEastAsia"/>
        </w:rPr>
        <w:t>°C</w:t>
      </w:r>
      <w:r w:rsidR="00EE39EE" w:rsidRPr="00F160E3">
        <w:rPr>
          <w:rFonts w:eastAsiaTheme="minorEastAsia"/>
        </w:rPr>
        <w:t xml:space="preserve"> the effective heat capacity</w:t>
      </w:r>
      <w:r w:rsidR="008D4A23" w:rsidRPr="00F160E3">
        <w:rPr>
          <w:rFonts w:eastAsiaTheme="minorEastAsia"/>
        </w:rPr>
        <w:t xml:space="preserve"> and </w:t>
      </w:r>
      <m:oMath>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=2.2</m:t>
        </m:r>
      </m:oMath>
      <w:r w:rsidR="008D4A23" w:rsidRPr="00F160E3">
        <w:rPr>
          <w:rFonts w:eastAsiaTheme="minorEastAsia"/>
        </w:rPr>
        <w:t xml:space="preserve"> W/°C.m</w:t>
      </w:r>
      <w:r w:rsidR="00EE39EE" w:rsidRPr="00F160E3">
        <w:rPr>
          <w:rFonts w:eastAsiaTheme="minorEastAsia"/>
        </w:rPr>
        <w:t xml:space="preserve"> the effective thermal conductivity of the rock</w:t>
      </w:r>
      <w:r w:rsidR="008D4A23" w:rsidRPr="00F160E3">
        <w:rPr>
          <w:rFonts w:eastAsiaTheme="minorEastAsia"/>
        </w:rPr>
        <w:t>.</w:t>
      </w:r>
      <w:r w:rsidRPr="00F160E3">
        <w:t xml:space="preserve"> </w:t>
      </w:r>
    </w:p>
    <w:p w14:paraId="1E0562A3" w14:textId="25580072" w:rsidR="00225CBD" w:rsidRPr="00F160E3" w:rsidRDefault="00225CBD" w:rsidP="00EA5B2E">
      <w:pPr>
        <w:spacing w:afterLines="80" w:after="192" w:line="480" w:lineRule="auto"/>
        <w:ind w:left="-4" w:firstLine="339"/>
      </w:pPr>
      <w:r w:rsidRPr="00F160E3">
        <w:t xml:space="preserve">Although vertical BHEs are not directly harnessing solar energy in the same way as shallow horizontal BHE, we </w:t>
      </w:r>
      <w:r w:rsidR="003B72F3" w:rsidRPr="00F160E3">
        <w:t xml:space="preserve">here </w:t>
      </w:r>
      <w:r w:rsidRPr="00F160E3">
        <w:t xml:space="preserve">attempt to quantify the impact </w:t>
      </w:r>
      <w:commentRangeStart w:id="5"/>
      <w:r w:rsidRPr="00F160E3">
        <w:t xml:space="preserve">of </w:t>
      </w:r>
      <w:r w:rsidR="003B72F3" w:rsidRPr="00F160E3">
        <w:t xml:space="preserve">the fluctuating </w:t>
      </w:r>
      <w:r w:rsidRPr="00F160E3">
        <w:t xml:space="preserve">surface heat flux </w:t>
      </w:r>
      <w:commentRangeEnd w:id="5"/>
      <w:r w:rsidRPr="00F160E3">
        <w:rPr>
          <w:rStyle w:val="Marquedecommentaire"/>
        </w:rPr>
        <w:commentReference w:id="5"/>
      </w:r>
      <w:r w:rsidRPr="00F160E3">
        <w:t>on the upper part of the geothermal gradient and thus on the available surface heat recharge to the BHE.</w:t>
      </w:r>
      <w:r w:rsidR="00D136B7" w:rsidRPr="00F160E3">
        <w:t xml:space="preserve"> </w:t>
      </w:r>
      <w:r w:rsidRPr="00F160E3">
        <w:t>In Edinburgh, the yearly average rate of insulation (i.e. amount of solar radiation per square meter) is about is about 94 W/m²</w:t>
      </w:r>
      <w:r w:rsidR="00960D17" w:rsidRPr="00F160E3">
        <w:t xml:space="preserve"> </w:t>
      </w:r>
      <w:r w:rsidRPr="00F160E3">
        <w:t xml:space="preserve">(Whitlock </w:t>
      </w:r>
      <w:r w:rsidRPr="00F160E3">
        <w:rPr>
          <w:i/>
          <w:iCs/>
        </w:rPr>
        <w:t>et al.,</w:t>
      </w:r>
      <w:r w:rsidRPr="00F160E3">
        <w:t xml:space="preserve"> 2000). Due to the low diffusivity of soil and all the processes mentioned above, it is expected that the net incoming shortwave radiation into the ground only equals 10s of </w:t>
      </w:r>
      <w:r w:rsidRPr="00F160E3">
        <w:rPr>
          <w:i/>
        </w:rPr>
        <w:t>W</w:t>
      </w:r>
      <w:r w:rsidRPr="00F160E3">
        <w:rPr>
          <w:rFonts w:ascii="Cambria" w:eastAsia="Cambria" w:hAnsi="Cambria" w:cs="Cambria"/>
          <w:i/>
        </w:rPr>
        <w:t>/</w:t>
      </w:r>
      <w:r w:rsidRPr="00F160E3">
        <w:rPr>
          <w:i/>
        </w:rPr>
        <w:t>m</w:t>
      </w:r>
      <w:r w:rsidRPr="00F160E3">
        <w:rPr>
          <w:vertAlign w:val="superscript"/>
        </w:rPr>
        <w:t xml:space="preserve">2 </w:t>
      </w:r>
      <w:r w:rsidRPr="00F160E3">
        <w:t>(Banks, 2008). Assuming that 60%</w:t>
      </w:r>
      <w:r w:rsidR="00E92832" w:rsidRPr="00F160E3">
        <w:t xml:space="preserve"> of solar energy is reflected by</w:t>
      </w:r>
      <w:r w:rsidRPr="00F160E3">
        <w:t xml:space="preserve"> the atmosphere</w:t>
      </w:r>
      <w:r w:rsidR="00E92832" w:rsidRPr="00F160E3">
        <w:t>, among the 40% absorbed by the Earth,</w:t>
      </w:r>
      <w:r w:rsidRPr="00F160E3">
        <w:t xml:space="preserve"> 70% is reflected by the ground surface and 30% penetrate in</w:t>
      </w:r>
      <w:r w:rsidR="00E92832" w:rsidRPr="00F160E3">
        <w:t>to the ground (XX</w:t>
      </w:r>
      <w:r w:rsidR="009A2C9B" w:rsidRPr="00F160E3">
        <w:t>X)</w:t>
      </w:r>
      <w:r w:rsidRPr="00F160E3">
        <w:t>. The</w:t>
      </w:r>
      <w:r w:rsidR="00E92832" w:rsidRPr="00F160E3">
        <w:t xml:space="preserve">refore, the actual solar recharge to the ground </w:t>
      </w:r>
      <w:r w:rsidRPr="00F160E3">
        <w:t xml:space="preserve">is reduced to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0.3×0.4×94 ≈11.5 W/m²</m:t>
        </m:r>
      </m:oMath>
      <w:r w:rsidRPr="00F160E3">
        <w:t xml:space="preserve"> per day, in accordance with the amplitude of conductive heat flux values calculated by Larwa (2018). However, unlike the geothermal flux, solar flux is not continuous over time and highly depends on the relative temperature difference between the ground and the air</w:t>
      </w:r>
      <w:r w:rsidR="00E92832" w:rsidRPr="00F160E3">
        <w:t>.</w:t>
      </w:r>
      <w:r w:rsidRPr="00F160E3">
        <w:t xml:space="preserve"> </w:t>
      </w:r>
      <w:r w:rsidR="00E92832" w:rsidRPr="00F160E3">
        <w:t>Additionally, d</w:t>
      </w:r>
      <w:r w:rsidR="00C30AF9" w:rsidRPr="00F160E3">
        <w:t xml:space="preserve">ue to the delayed response of the sub-surface to a heat pulse at the surface, the ground will tend to be warmer than the air in winter and colder than the air in summer, impacting the direction of the heat fluxes down to the depth of influence of these seasonal fluctuations. </w:t>
      </w:r>
      <w:r w:rsidRPr="00F160E3">
        <w:t xml:space="preserve">To account for the effects of cyclical heat recharge and possible energy losses at the surface during cold periods, we scale up the solar recharge to the ground based on the average </w:t>
      </w:r>
      <w:r w:rsidR="009A2C9B" w:rsidRPr="00F160E3">
        <w:t xml:space="preserve">sunshine hours of </w:t>
      </w:r>
      <w:r w:rsidRPr="00F160E3">
        <w:t xml:space="preserve">1380 h </w:t>
      </w:r>
      <w:r w:rsidR="009A2C9B" w:rsidRPr="00F160E3">
        <w:t xml:space="preserve">per year in Edinburgh (i.e. </w:t>
      </w:r>
      <w:r w:rsidRPr="00F160E3">
        <w:t>16% of the time</w:t>
      </w:r>
      <w:r w:rsidR="009A2C9B" w:rsidRPr="00F160E3">
        <w:t xml:space="preserve">), leading to a scaled </w:t>
      </w:r>
      <w:r w:rsidRPr="00F160E3">
        <w:t xml:space="preserve">solar flux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oMath>
      <w:r w:rsidRPr="00F160E3">
        <w:t>o</w:t>
      </w:r>
      <w:r w:rsidR="009A2C9B" w:rsidRPr="00F160E3">
        <w:t>f</w:t>
      </w:r>
      <w:r w:rsidRPr="00F160E3">
        <w:t xml:space="preserve"> 1.8 W/m². </w:t>
      </w:r>
      <w:r w:rsidR="00EA5B2E" w:rsidRPr="00F160E3">
        <w:t xml:space="preserve">Based on the areal thermal footprint of a single BHE after a year, solar energy could only directly provide 1.8 W/m² </w:t>
      </w:r>
      <m:oMath>
        <m:r>
          <w:rPr>
            <w:rFonts w:ascii="Cambria Math" w:hAnsi="Cambria Math"/>
          </w:rPr>
          <m:t>×</m:t>
        </m:r>
      </m:oMath>
      <w:r w:rsidR="00EA5B2E" w:rsidRPr="00F160E3">
        <w:rPr>
          <w:rFonts w:eastAsiaTheme="minorEastAsia"/>
        </w:rPr>
        <w:t xml:space="preserve"> </w:t>
      </w:r>
      <w:r w:rsidR="007C7D33">
        <w:rPr>
          <w:rFonts w:eastAsiaTheme="minorEastAsia"/>
        </w:rPr>
        <w:t>30</w:t>
      </w:r>
      <w:r w:rsidR="00EA5B2E" w:rsidRPr="00F160E3">
        <w:rPr>
          <w:rFonts w:eastAsiaTheme="minorEastAsia"/>
        </w:rPr>
        <w:t xml:space="preserve"> m² </w:t>
      </w:r>
      <m:oMath>
        <m:r>
          <w:rPr>
            <w:rFonts w:ascii="Cambria Math" w:hAnsi="Cambria Math"/>
          </w:rPr>
          <m:t>≈</m:t>
        </m:r>
      </m:oMath>
      <w:r w:rsidR="00EA5B2E" w:rsidRPr="00F160E3">
        <w:rPr>
          <w:rFonts w:eastAsiaTheme="minorEastAsia"/>
        </w:rPr>
        <w:t xml:space="preserve"> 5</w:t>
      </w:r>
      <w:r w:rsidR="007C7D33">
        <w:rPr>
          <w:rFonts w:eastAsiaTheme="minorEastAsia"/>
        </w:rPr>
        <w:t>4</w:t>
      </w:r>
      <w:r w:rsidR="00EA5B2E" w:rsidRPr="00F160E3">
        <w:rPr>
          <w:rFonts w:eastAsiaTheme="minorEastAsia"/>
        </w:rPr>
        <w:t xml:space="preserve"> W</w:t>
      </w:r>
      <w:r w:rsidR="00EA5B2E" w:rsidRPr="00F160E3">
        <w:t xml:space="preserve"> of heat recharge,</w:t>
      </w:r>
      <w:r w:rsidR="00605ED1" w:rsidRPr="00F160E3">
        <w:t xml:space="preserve"> which represent </w:t>
      </w:r>
      <w:r w:rsidR="00385F69">
        <w:t>~</w:t>
      </w:r>
      <w:r w:rsidR="00605ED1" w:rsidRPr="00F160E3">
        <w:t>4.</w:t>
      </w:r>
      <w:r w:rsidR="00385F69">
        <w:t>6</w:t>
      </w:r>
      <w:r w:rsidR="00605ED1" w:rsidRPr="00F160E3">
        <w:t xml:space="preserve">% </w:t>
      </w:r>
      <w:r w:rsidRPr="00F160E3">
        <w:t>of th</w:t>
      </w:r>
      <w:r w:rsidR="00EA5B2E" w:rsidRPr="00F160E3">
        <w:t>e yearly energy consumption.</w:t>
      </w:r>
      <w:commentRangeStart w:id="6"/>
      <w:r w:rsidRPr="00F160E3">
        <w:t xml:space="preserve"> </w:t>
      </w:r>
      <w:commentRangeEnd w:id="6"/>
      <w:r w:rsidRPr="00F160E3">
        <w:rPr>
          <w:rStyle w:val="Marquedecommentaire"/>
        </w:rPr>
        <w:commentReference w:id="6"/>
      </w:r>
      <w:r w:rsidR="00196E9B" w:rsidRPr="00F160E3">
        <w:t xml:space="preserve">Using the </w:t>
      </w:r>
      <w:r w:rsidR="00E92832" w:rsidRPr="00F160E3">
        <w:t>median garden size of houses in Great Britain (i.e. 188</w:t>
      </w:r>
      <w:r w:rsidR="00196E9B" w:rsidRPr="00F160E3">
        <w:t xml:space="preserve"> m²), the y</w:t>
      </w:r>
      <w:r w:rsidR="009A2C9B" w:rsidRPr="00F160E3">
        <w:t xml:space="preserve">early solar recharge </w:t>
      </w:r>
      <w:r w:rsidR="00196E9B" w:rsidRPr="00F160E3">
        <w:t xml:space="preserve">would equal </w:t>
      </w:r>
      <w:r w:rsidR="00E92832" w:rsidRPr="00F160E3">
        <w:t>338</w:t>
      </w:r>
      <w:r w:rsidR="00EA5B2E" w:rsidRPr="00F160E3">
        <w:t xml:space="preserve"> </w:t>
      </w:r>
      <w:r w:rsidR="00196E9B" w:rsidRPr="00F160E3">
        <w:t xml:space="preserve">W, that is </w:t>
      </w:r>
      <w:r w:rsidR="00E92832" w:rsidRPr="00F160E3">
        <w:t>28</w:t>
      </w:r>
      <w:r w:rsidR="00196E9B" w:rsidRPr="00F160E3">
        <w:t>% of the energy extracted by a single borehole.</w:t>
      </w:r>
    </w:p>
    <w:p w14:paraId="6D21D0C6" w14:textId="0E98FF2E" w:rsidR="007C18D0" w:rsidRPr="00F160E3" w:rsidRDefault="00473CC6" w:rsidP="007C18D0">
      <w:pPr>
        <w:spacing w:afterLines="80" w:after="192" w:line="480" w:lineRule="auto"/>
        <w:ind w:firstLine="360"/>
      </w:pPr>
      <w:commentRangeStart w:id="7"/>
      <w:r w:rsidRPr="00F160E3">
        <w:t>W</w:t>
      </w:r>
      <w:r w:rsidR="007C18D0" w:rsidRPr="00F160E3">
        <w:t>e quantify the amplitude of the variations of the surface heat flux required to reproduce the yearly change in the soil temperature measured in Scotland</w:t>
      </w:r>
      <w:r w:rsidRPr="00F160E3">
        <w:t xml:space="preserve">, using simple 1D </w:t>
      </w:r>
      <w:r w:rsidR="00EE77AB">
        <w:t xml:space="preserve">vertical </w:t>
      </w:r>
      <w:r w:rsidRPr="00F160E3">
        <w:t>models whose properties are defined accordingly to Equations 3 and 4</w:t>
      </w:r>
      <w:r w:rsidR="00CD7DFE" w:rsidRPr="00F160E3">
        <w:t xml:space="preserve">. The </w:t>
      </w:r>
      <w:r w:rsidR="007C18D0" w:rsidRPr="00F160E3">
        <w:t xml:space="preserve">daily heat flux values </w:t>
      </w:r>
      <w:r w:rsidR="00CD7DFE" w:rsidRPr="00F160E3">
        <w:t xml:space="preserve">are calculated for a series of </w:t>
      </w:r>
      <w:r w:rsidR="007C18D0" w:rsidRPr="00F160E3">
        <w:t xml:space="preserve">signal amplitudes, used as </w:t>
      </w:r>
      <w:r w:rsidRPr="00F160E3">
        <w:t>a surface boundary condition to the model of initial surface temperature</w:t>
      </w:r>
      <w:r w:rsidR="00CD7DFE" w:rsidRPr="00F160E3">
        <w:t xml:space="preserve"> T</w:t>
      </w:r>
      <w:r w:rsidR="00CD7DFE" w:rsidRPr="00F160E3">
        <w:rPr>
          <w:vertAlign w:val="subscript"/>
        </w:rPr>
        <w:t>0</w:t>
      </w:r>
      <w:r w:rsidR="00CD7DFE" w:rsidRPr="00F160E3">
        <w:t xml:space="preserve"> = 9°C</w:t>
      </w:r>
      <w:r w:rsidRPr="00F160E3">
        <w:t xml:space="preserve"> corresponding</w:t>
      </w:r>
      <w:r w:rsidR="00CD7DFE" w:rsidRPr="00F160E3">
        <w:t xml:space="preserve"> to the </w:t>
      </w:r>
      <w:r w:rsidR="00717A50" w:rsidRPr="00F160E3">
        <w:t xml:space="preserve">yearly </w:t>
      </w:r>
      <w:r w:rsidR="00CD7DFE" w:rsidRPr="00F160E3">
        <w:t>average air temperature in the UK</w:t>
      </w:r>
      <w:r w:rsidR="007C18D0" w:rsidRPr="00F160E3">
        <w:t xml:space="preserve">. </w:t>
      </w:r>
      <w:commentRangeEnd w:id="7"/>
      <w:r w:rsidR="006526FE">
        <w:rPr>
          <w:rStyle w:val="Marquedecommentaire"/>
          <w:rFonts w:ascii="Calibri" w:eastAsia="Calibri" w:hAnsi="Calibri" w:cs="Calibri"/>
          <w:color w:val="000000"/>
          <w:lang w:eastAsia="en-GB"/>
        </w:rPr>
        <w:commentReference w:id="7"/>
      </w:r>
    </w:p>
    <w:p w14:paraId="455338AF" w14:textId="48A8FAB9" w:rsidR="007C18D0" w:rsidRPr="00F160E3" w:rsidRDefault="007C18D0" w:rsidP="007C18D0">
      <w:pPr>
        <w:tabs>
          <w:tab w:val="center" w:pos="4896"/>
          <w:tab w:val="right" w:pos="9792"/>
        </w:tabs>
        <w:spacing w:afterLines="80" w:after="192" w:line="240" w:lineRule="auto"/>
      </w:pPr>
      <w:r w:rsidRPr="00F160E3">
        <w:tab/>
      </w:r>
      <m:oMath>
        <m:r>
          <w:rPr>
            <w:rFonts w:ascii="Cambria Math" w:hAnsi="Cambria Math"/>
          </w:rPr>
          <m:t>Q= -A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f>
                  <m:fPr>
                    <m:ctrlPr>
                      <w:rPr>
                        <w:rFonts w:ascii="Cambria Math" w:hAnsi="Cambria Math"/>
                        <w:i/>
                      </w:rPr>
                    </m:ctrlPr>
                  </m:fPr>
                  <m:num>
                    <m:r>
                      <w:rPr>
                        <w:rFonts w:ascii="Cambria Math" w:hAnsi="Cambria Math"/>
                      </w:rPr>
                      <m:t>∆T</m:t>
                    </m:r>
                  </m:num>
                  <m:den>
                    <m:r>
                      <w:rPr>
                        <w:rFonts w:ascii="Cambria Math" w:hAnsi="Cambria Math"/>
                      </w:rPr>
                      <m:t>t</m:t>
                    </m:r>
                  </m:den>
                </m:f>
              </m:e>
            </m:d>
          </m:e>
        </m:func>
        <m:r>
          <w:rPr>
            <w:rFonts w:ascii="Cambria Math" w:hAnsi="Cambria Math"/>
          </w:rPr>
          <m:t>-</m:t>
        </m:r>
        <m:acc>
          <m:accPr>
            <m:chr m:val="̅"/>
            <m:ctrlPr>
              <w:rPr>
                <w:rFonts w:ascii="Cambria Math" w:hAnsi="Cambria Math"/>
                <w:i/>
              </w:rPr>
            </m:ctrlPr>
          </m:accPr>
          <m:e>
            <m:r>
              <w:rPr>
                <w:rFonts w:ascii="Cambria Math" w:hAnsi="Cambria Math"/>
              </w:rPr>
              <m:t>q</m:t>
            </m:r>
          </m:e>
        </m:acc>
      </m:oMath>
      <w:r w:rsidRPr="00F160E3">
        <w:rPr>
          <w:i/>
        </w:rPr>
        <w:tab/>
      </w:r>
      <w:r w:rsidRPr="00F160E3">
        <w:t>(8)</w:t>
      </w:r>
    </w:p>
    <w:p w14:paraId="24B27C0D" w14:textId="77777777" w:rsidR="007C18D0" w:rsidRPr="00F160E3" w:rsidRDefault="007C18D0" w:rsidP="007C18D0">
      <w:pPr>
        <w:spacing w:afterLines="80" w:after="192" w:line="240" w:lineRule="auto"/>
        <w:ind w:right="550"/>
      </w:pPr>
    </w:p>
    <w:p w14:paraId="2E1E4416" w14:textId="54BB5B2E" w:rsidR="00473CC6" w:rsidRPr="00F160E3" w:rsidRDefault="007C18D0" w:rsidP="00473CC6">
      <w:pPr>
        <w:spacing w:afterLines="80" w:after="192" w:line="480" w:lineRule="auto"/>
        <w:ind w:left="-4" w:firstLine="339"/>
      </w:pPr>
      <w:r w:rsidRPr="00F160E3">
        <w:t>where Q is the average daily heat flux, t the period of fluctuation (366 days), ∆</w:t>
      </w:r>
      <w:r w:rsidRPr="00F160E3">
        <w:rPr>
          <w:i/>
        </w:rPr>
        <w:t xml:space="preserve">t </w:t>
      </w:r>
      <w:r w:rsidRPr="00F160E3">
        <w:t>the time increment (86400 sec</w:t>
      </w:r>
      <w:r w:rsidR="00CD7DFE" w:rsidRPr="00F160E3">
        <w:t>s</w:t>
      </w:r>
      <w:r w:rsidRPr="00F160E3">
        <w:t>)</w:t>
      </w:r>
      <w:r w:rsidR="00CD7DFE" w:rsidRPr="00F160E3">
        <w:t>,</w:t>
      </w:r>
      <w:r w:rsidRPr="00F160E3">
        <w:t xml:space="preserve"> A the amplitude of the variations</w:t>
      </w:r>
      <w:r w:rsidR="00CD7DFE" w:rsidRPr="00F160E3">
        <w:t xml:space="preserve"> and </w:t>
      </w:r>
      <m:oMath>
        <m:acc>
          <m:accPr>
            <m:chr m:val="̅"/>
            <m:ctrlPr>
              <w:rPr>
                <w:rFonts w:ascii="Cambria Math" w:hAnsi="Cambria Math"/>
                <w:i/>
              </w:rPr>
            </m:ctrlPr>
          </m:accPr>
          <m:e>
            <m:r>
              <w:rPr>
                <w:rFonts w:ascii="Cambria Math" w:hAnsi="Cambria Math"/>
              </w:rPr>
              <m:t>q</m:t>
            </m:r>
          </m:e>
        </m:acc>
      </m:oMath>
      <w:r w:rsidR="00CD7DFE" w:rsidRPr="00F160E3">
        <w:t xml:space="preserve"> the geothermal heat flux set</w:t>
      </w:r>
      <w:r w:rsidRPr="00F160E3">
        <w:t xml:space="preserve"> as bottom boundary condition.</w:t>
      </w:r>
      <w:r w:rsidR="00CD7DFE" w:rsidRPr="00F160E3">
        <w:t xml:space="preserve"> The best-fit surface temperature</w:t>
      </w:r>
      <w:r w:rsidR="00473CC6" w:rsidRPr="00F160E3">
        <w:t>s, calculated for a period of 100 years to ensure stable conditions, are</w:t>
      </w:r>
      <w:r w:rsidR="00CD7DFE" w:rsidRPr="00F160E3">
        <w:t xml:space="preserve"> obtained for A = 8.4 W/m²</w:t>
      </w:r>
      <w:r w:rsidR="00473CC6" w:rsidRPr="00F160E3">
        <w:t xml:space="preserve">. The results moreover indicates that the fluctuating surface heat flux tends to disturb the upper part of the temperature gradient. The depth of influence of the yearly surface temperature variations is at about </w:t>
      </w:r>
      <w:r w:rsidR="00385F69">
        <w:t>XXX</w:t>
      </w:r>
      <w:r w:rsidR="00473CC6" w:rsidRPr="00F160E3">
        <w:t xml:space="preserve"> m, in accordance with the results predicted by Eq (4). At that depth, the ground temperature is about 10°C, that is about 1°C higher than the modelled yearly average surface temperature (e.g. Rybach and Sanner, 2000).  </w:t>
      </w:r>
      <w:r w:rsidR="00473CC6" w:rsidRPr="00385F69">
        <w:rPr>
          <w:highlight w:val="red"/>
        </w:rPr>
        <w:t>Below that depth, results indicate a slight shift in the initial linear temperature gradient toward higher temperatures down to 150 m depth.</w:t>
      </w:r>
      <w:r w:rsidR="00473CC6" w:rsidRPr="00F160E3">
        <w:t xml:space="preserve"> </w:t>
      </w:r>
    </w:p>
    <w:p w14:paraId="7B27D299" w14:textId="77777777" w:rsidR="00A54F75" w:rsidRPr="00F160E3" w:rsidRDefault="00A54F75" w:rsidP="00A54F75">
      <w:pPr>
        <w:spacing w:afterLines="80" w:after="192" w:line="480" w:lineRule="auto"/>
        <w:ind w:left="-4" w:firstLine="364"/>
        <w:rPr>
          <w:noProof/>
        </w:rPr>
      </w:pPr>
      <w:commentRangeStart w:id="8"/>
      <w:r w:rsidRPr="00F160E3">
        <w:rPr>
          <w:noProof/>
          <w:lang w:eastAsia="zh-CN"/>
        </w:rPr>
        <w:drawing>
          <wp:inline distT="0" distB="0" distL="0" distR="0" wp14:anchorId="1F74A0E8" wp14:editId="584D98A8">
            <wp:extent cx="6217920" cy="4836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7920" cy="4836795"/>
                    </a:xfrm>
                    <a:prstGeom prst="rect">
                      <a:avLst/>
                    </a:prstGeom>
                  </pic:spPr>
                </pic:pic>
              </a:graphicData>
            </a:graphic>
          </wp:inline>
        </w:drawing>
      </w:r>
      <w:commentRangeEnd w:id="8"/>
      <w:r w:rsidR="006526FE">
        <w:rPr>
          <w:rStyle w:val="Marquedecommentaire"/>
          <w:rFonts w:ascii="Calibri" w:eastAsia="Calibri" w:hAnsi="Calibri" w:cs="Calibri"/>
          <w:color w:val="000000"/>
          <w:lang w:eastAsia="en-GB"/>
        </w:rPr>
        <w:commentReference w:id="8"/>
      </w:r>
    </w:p>
    <w:p w14:paraId="7ABD63C1" w14:textId="6E9A4113" w:rsidR="00A54F75" w:rsidRPr="00F160E3" w:rsidRDefault="00A54F75" w:rsidP="00717A50">
      <w:pPr>
        <w:spacing w:afterLines="80" w:after="192" w:line="480" w:lineRule="auto"/>
        <w:ind w:left="-4" w:firstLine="339"/>
        <w:rPr>
          <w:sz w:val="18"/>
          <w:szCs w:val="18"/>
        </w:rPr>
      </w:pPr>
      <w:r w:rsidRPr="00F160E3">
        <w:rPr>
          <w:sz w:val="18"/>
          <w:szCs w:val="18"/>
        </w:rPr>
        <w:t xml:space="preserve">Figure 3: a) Input surface heat flux for the time-varying surface boundary conditions (black line) and output surface temperature time series (z = 0 m) for A = 8.4 </w:t>
      </w:r>
      <w:r w:rsidRPr="00F160E3">
        <w:rPr>
          <w:i/>
          <w:sz w:val="18"/>
          <w:szCs w:val="18"/>
        </w:rPr>
        <w:t>W</w:t>
      </w:r>
      <w:r w:rsidRPr="00F160E3">
        <w:rPr>
          <w:rFonts w:ascii="Cambria" w:eastAsia="Cambria" w:hAnsi="Cambria" w:cs="Cambria"/>
          <w:i/>
          <w:sz w:val="18"/>
          <w:szCs w:val="18"/>
        </w:rPr>
        <w:t>/</w:t>
      </w:r>
      <w:r w:rsidRPr="00F160E3">
        <w:rPr>
          <w:i/>
          <w:sz w:val="18"/>
          <w:szCs w:val="18"/>
        </w:rPr>
        <w:t>m</w:t>
      </w:r>
      <w:r w:rsidRPr="00F160E3">
        <w:rPr>
          <w:sz w:val="18"/>
          <w:szCs w:val="18"/>
          <w:vertAlign w:val="superscript"/>
        </w:rPr>
        <w:t>2</w:t>
      </w:r>
      <w:r w:rsidRPr="00F160E3">
        <w:rPr>
          <w:sz w:val="18"/>
          <w:szCs w:val="18"/>
        </w:rPr>
        <w:t xml:space="preserve">. b) comparison between surface heat flux and surface temperature. The temperature change is delayed compared to the heat pulse imposed at the surface. c) Comparison between the data and model output surface temperature. The data used correspond to daily soil temperature measured in 2000 at 30 cm depth at the Paisley station, Glasgow (source: UK Meteorological Office). Results show a better match for the summer data compared to the low winter temperatures.  </w:t>
      </w:r>
    </w:p>
    <w:p w14:paraId="2A169B7B" w14:textId="6A8F344F" w:rsidR="00E92832" w:rsidRPr="00F160E3" w:rsidRDefault="009E707F" w:rsidP="009E707F">
      <w:pPr>
        <w:pStyle w:val="Titre3"/>
        <w:numPr>
          <w:ilvl w:val="0"/>
          <w:numId w:val="1"/>
        </w:numPr>
        <w:spacing w:afterLines="80" w:after="192" w:line="480" w:lineRule="auto"/>
        <w:rPr>
          <w:color w:val="auto"/>
        </w:rPr>
      </w:pPr>
      <w:r w:rsidRPr="00F160E3">
        <w:rPr>
          <w:color w:val="auto"/>
        </w:rPr>
        <w:t>Footprint of heat extraction</w:t>
      </w:r>
    </w:p>
    <w:p w14:paraId="4057762E" w14:textId="3595F70C" w:rsidR="00E92832" w:rsidRPr="00F160E3" w:rsidRDefault="00E92832" w:rsidP="00E92832">
      <w:pPr>
        <w:spacing w:afterLines="80" w:after="192" w:line="480" w:lineRule="auto"/>
        <w:ind w:left="-4" w:firstLine="339"/>
      </w:pPr>
      <w:r w:rsidRPr="00F160E3">
        <w:t>Results from our mathematical model suggests that a geothermal heat flux of 0.057 W/m</w:t>
      </w:r>
      <w:r w:rsidR="00607E13" w:rsidRPr="00F160E3">
        <w:t xml:space="preserve">² together with </w:t>
      </w:r>
      <w:r w:rsidR="00EA5B2E" w:rsidRPr="00F160E3">
        <w:t xml:space="preserve">a solar flux </w:t>
      </w:r>
      <w:r w:rsidR="00607E13" w:rsidRPr="00F160E3">
        <w:t>of 1.8 W/m² cannot provide</w:t>
      </w:r>
      <w:r w:rsidR="00EA5B2E" w:rsidRPr="00F160E3">
        <w:t xml:space="preserve"> a direct heat recharge of</w:t>
      </w:r>
      <w:r w:rsidR="00607E13" w:rsidRPr="00F160E3">
        <w:t xml:space="preserve"> more than </w:t>
      </w:r>
      <w:r w:rsidR="00385F69">
        <w:t>~</w:t>
      </w:r>
      <w:r w:rsidR="00607E13" w:rsidRPr="00F160E3">
        <w:t>5%</w:t>
      </w:r>
      <w:r w:rsidR="00EA5B2E" w:rsidRPr="00F160E3">
        <w:t xml:space="preserve"> of the energy extracted </w:t>
      </w:r>
      <w:r w:rsidR="00607E13" w:rsidRPr="00F160E3">
        <w:t xml:space="preserve">for an individual UK house over a year, considering a footprint area of </w:t>
      </w:r>
      <w:r w:rsidR="00385F69">
        <w:t>30</w:t>
      </w:r>
      <w:r w:rsidR="00607E13" w:rsidRPr="00F160E3">
        <w:t xml:space="preserve"> m² around the 100-m long BHE </w:t>
      </w:r>
      <w:r w:rsidRPr="00F160E3">
        <w:t xml:space="preserve">(Fig. 2). </w:t>
      </w:r>
      <w:r w:rsidR="00607E13" w:rsidRPr="00F160E3">
        <w:t xml:space="preserve">Using </w:t>
      </w:r>
      <w:r w:rsidR="00971482" w:rsidRPr="00F160E3">
        <w:t xml:space="preserve">the average area available for a UK property (i.e. 188 m²), geothermal and solar heat recharge could provide up to </w:t>
      </w:r>
      <w:r w:rsidR="00385F69">
        <w:t>~30</w:t>
      </w:r>
      <w:r w:rsidR="00607E13" w:rsidRPr="00F160E3">
        <w:t xml:space="preserve">% of the heat extracted. </w:t>
      </w:r>
      <w:r w:rsidRPr="00F160E3">
        <w:t>This shows that heat balance cannot be naturally reached in the ground considering th</w:t>
      </w:r>
      <w:r w:rsidR="00607E13" w:rsidRPr="00F160E3">
        <w:t>e</w:t>
      </w:r>
      <w:r w:rsidRPr="00F160E3">
        <w:t xml:space="preserve"> geological and climatic conditions</w:t>
      </w:r>
      <w:r w:rsidR="00607E13" w:rsidRPr="00F160E3">
        <w:t xml:space="preserve"> in the UK</w:t>
      </w:r>
      <w:r w:rsidRPr="00F160E3">
        <w:t>, and thus additional heat needs to be mined from the rock surrounding the borehole</w:t>
      </w:r>
      <w:r w:rsidR="00971482" w:rsidRPr="00F160E3">
        <w:t>. Over time, the imbalance between heat recharge and heat extraction is likely to cause 1) extensive cooling of the ground at the near-surface that might not be compensated by an increase in the surface heat flux, and 2) the expansion of the thermal footprint around the BHE beyond the limit of the property.</w:t>
      </w:r>
    </w:p>
    <w:p w14:paraId="505F8410" w14:textId="74B92793" w:rsidR="005D2DC4" w:rsidRPr="00F160E3" w:rsidRDefault="007B5963" w:rsidP="005D2DC4">
      <w:pPr>
        <w:spacing w:afterLines="80" w:after="192" w:line="480" w:lineRule="auto"/>
        <w:ind w:left="-4" w:firstLine="339"/>
      </w:pPr>
      <w:r w:rsidRPr="00F160E3">
        <w:t xml:space="preserve">Assuming that </w:t>
      </w:r>
      <w:r w:rsidR="00E92832" w:rsidRPr="00F160E3">
        <w:t xml:space="preserve">recharge is </w:t>
      </w:r>
      <w:r w:rsidR="005D2DC4" w:rsidRPr="00F160E3">
        <w:t xml:space="preserve">only </w:t>
      </w:r>
      <w:r w:rsidR="00E92832" w:rsidRPr="00F160E3">
        <w:t xml:space="preserve">provided by </w:t>
      </w:r>
      <w:r w:rsidR="0011300A" w:rsidRPr="00F160E3">
        <w:t>a</w:t>
      </w:r>
      <w:r w:rsidR="00E92832" w:rsidRPr="00F160E3">
        <w:t xml:space="preserve"> geothermal flux</w:t>
      </w:r>
      <w:r w:rsidR="0011300A" w:rsidRPr="00F160E3">
        <w:t xml:space="preserve"> of 0.057 W/m²</w:t>
      </w:r>
      <w:r w:rsidRPr="00F160E3">
        <w:t xml:space="preserve">, </w:t>
      </w:r>
      <w:r w:rsidR="00E92832" w:rsidRPr="00F160E3">
        <w:t xml:space="preserve">the heat balance suggests that </w:t>
      </w:r>
      <w:r w:rsidR="0011300A" w:rsidRPr="00F160E3">
        <w:t>~</w:t>
      </w:r>
      <w:r w:rsidR="00E92832" w:rsidRPr="00F160E3">
        <w:t>119</w:t>
      </w:r>
      <w:r w:rsidRPr="00F160E3">
        <w:t>8</w:t>
      </w:r>
      <w:r w:rsidR="00E92832" w:rsidRPr="00F160E3">
        <w:t xml:space="preserve"> W needs to be mined from surrounding rocks</w:t>
      </w:r>
      <w:r w:rsidR="0011300A" w:rsidRPr="00F160E3">
        <w:t xml:space="preserve">. After a year, </w:t>
      </w:r>
      <w:r w:rsidR="00E92832" w:rsidRPr="00F160E3">
        <w:t xml:space="preserve">the </w:t>
      </w:r>
      <w:r w:rsidRPr="00F160E3">
        <w:t xml:space="preserve">radial </w:t>
      </w:r>
      <w:r w:rsidR="00E92832" w:rsidRPr="00F160E3">
        <w:t>heat flux at</w:t>
      </w:r>
      <w:r w:rsidRPr="00F160E3">
        <w:t xml:space="preserve"> a distance r = 3</w:t>
      </w:r>
      <w:r w:rsidR="005D2DC4" w:rsidRPr="00F160E3">
        <w:t>-</w:t>
      </w:r>
      <w:r w:rsidRPr="00F160E3">
        <w:t xml:space="preserve">m from the BHE (i.e. at the boundary of the </w:t>
      </w:r>
      <w:r w:rsidR="00385F69">
        <w:t>30</w:t>
      </w:r>
      <w:r w:rsidRPr="00F160E3">
        <w:t>-m² footprint area)</w:t>
      </w:r>
      <w:r w:rsidR="005D2DC4" w:rsidRPr="00F160E3">
        <w:t xml:space="preserve"> of length h = 100-m</w:t>
      </w:r>
      <w:r w:rsidR="0011300A" w:rsidRPr="00F160E3">
        <w:t xml:space="preserve"> </w:t>
      </w:r>
      <w:r w:rsidR="00E92832" w:rsidRPr="00F160E3">
        <w:t xml:space="preserve">would be in the order of </w:t>
      </w:r>
      <m:oMath>
        <m:f>
          <m:fPr>
            <m:ctrlPr>
              <w:rPr>
                <w:rFonts w:ascii="Cambria Math" w:hAnsi="Cambria Math"/>
                <w:i/>
              </w:rPr>
            </m:ctrlPr>
          </m:fPr>
          <m:num>
            <m:r>
              <w:rPr>
                <w:rFonts w:ascii="Cambria Math" w:hAnsi="Cambria Math"/>
              </w:rPr>
              <m:t>1200-1.7</m:t>
            </m:r>
          </m:num>
          <m:den>
            <m:r>
              <m:rPr>
                <m:sty m:val="p"/>
              </m:rPr>
              <w:rPr>
                <w:rFonts w:ascii="Cambria Math" w:hAnsi="Cambria Math"/>
              </w:rPr>
              <m:t>2</m:t>
            </m:r>
            <m:r>
              <w:rPr>
                <w:rFonts w:ascii="Cambria Math" w:hAnsi="Cambria Math"/>
              </w:rPr>
              <m:t>πrh</m:t>
            </m:r>
          </m:den>
        </m:f>
        <m:r>
          <w:rPr>
            <w:rFonts w:ascii="Cambria Math" w:hAnsi="Cambria Math"/>
          </w:rPr>
          <m:t>~0.6</m:t>
        </m:r>
        <m:r>
          <w:rPr>
            <w:rFonts w:ascii="Cambria Math" w:hAnsi="Cambria Math"/>
          </w:rPr>
          <m:t>2</m:t>
        </m:r>
      </m:oMath>
      <w:r w:rsidR="00E92832" w:rsidRPr="00F160E3">
        <w:t xml:space="preserve"> </w:t>
      </w:r>
      <w:r w:rsidR="00E92832" w:rsidRPr="00F160E3">
        <w:rPr>
          <w:i/>
        </w:rPr>
        <w:t>W</w:t>
      </w:r>
      <w:r w:rsidR="00E92832" w:rsidRPr="00F160E3">
        <w:rPr>
          <w:rFonts w:ascii="Cambria" w:eastAsia="Cambria" w:hAnsi="Cambria" w:cs="Cambria"/>
          <w:i/>
        </w:rPr>
        <w:t>/</w:t>
      </w:r>
      <w:r w:rsidR="00E92832" w:rsidRPr="00F160E3">
        <w:rPr>
          <w:i/>
        </w:rPr>
        <w:t>m</w:t>
      </w:r>
      <w:r w:rsidR="00E92832" w:rsidRPr="00F160E3">
        <w:rPr>
          <w:vertAlign w:val="superscript"/>
        </w:rPr>
        <w:t xml:space="preserve">2 </w:t>
      </w:r>
      <w:r w:rsidR="00E92832" w:rsidRPr="00F160E3">
        <w:t>(Fig. 2.4)</w:t>
      </w:r>
      <w:r w:rsidRPr="00F160E3">
        <w:t xml:space="preserve">. Adding solar recharge, the lateral flux would be reduced to </w:t>
      </w:r>
      <m:oMath>
        <m:f>
          <m:fPr>
            <m:ctrlPr>
              <w:rPr>
                <w:rFonts w:ascii="Cambria Math" w:hAnsi="Cambria Math"/>
                <w:i/>
              </w:rPr>
            </m:ctrlPr>
          </m:fPr>
          <m:num>
            <m:r>
              <w:rPr>
                <w:rFonts w:ascii="Cambria Math" w:hAnsi="Cambria Math"/>
              </w:rPr>
              <m:t>1200-(1.7+5</m:t>
            </m:r>
            <m:r>
              <w:rPr>
                <w:rFonts w:ascii="Cambria Math" w:hAnsi="Cambria Math"/>
              </w:rPr>
              <m:t>4</m:t>
            </m:r>
            <m:r>
              <w:rPr>
                <w:rFonts w:ascii="Cambria Math" w:hAnsi="Cambria Math"/>
              </w:rPr>
              <m:t>)</m:t>
            </m:r>
          </m:num>
          <m:den>
            <m:r>
              <m:rPr>
                <m:sty m:val="p"/>
              </m:rPr>
              <w:rPr>
                <w:rFonts w:ascii="Cambria Math" w:hAnsi="Cambria Math"/>
              </w:rPr>
              <m:t>2</m:t>
            </m:r>
            <m:r>
              <w:rPr>
                <w:rFonts w:ascii="Cambria Math" w:hAnsi="Cambria Math"/>
              </w:rPr>
              <m:t>π</m:t>
            </m:r>
            <m:r>
              <m:rPr>
                <m:sty m:val="p"/>
              </m:rPr>
              <w:rPr>
                <w:rFonts w:ascii="Cambria Math" w:hAnsi="Cambria Math"/>
              </w:rPr>
              <m:t xml:space="preserve">r </m:t>
            </m:r>
            <m:r>
              <m:rPr>
                <m:sty m:val="p"/>
              </m:rPr>
              <w:rPr>
                <w:rFonts w:ascii="Cambria Math"/>
              </w:rPr>
              <m:t>h</m:t>
            </m:r>
          </m:den>
        </m:f>
        <m:r>
          <w:rPr>
            <w:rFonts w:ascii="Cambria Math" w:hAnsi="Cambria Math"/>
          </w:rPr>
          <m:t>~0.</m:t>
        </m:r>
        <m:r>
          <w:rPr>
            <w:rFonts w:ascii="Cambria Math" w:hAnsi="Cambria Math"/>
          </w:rPr>
          <m:t>59</m:t>
        </m:r>
        <m:r>
          <w:rPr>
            <w:rFonts w:ascii="Cambria Math" w:hAnsi="Cambria Math"/>
          </w:rPr>
          <m:t xml:space="preserve"> </m:t>
        </m:r>
      </m:oMath>
      <w:r w:rsidRPr="00F160E3">
        <w:t>m². This is about half the solar heat recharge</w:t>
      </w:r>
      <w:r w:rsidR="005D2DC4" w:rsidRPr="00F160E3">
        <w:t xml:space="preserve"> but 10 times the geothermal recharge, </w:t>
      </w:r>
      <w:r w:rsidR="00E92832" w:rsidRPr="00F160E3">
        <w:t>which may have a major impact on the areal footprint of heat extraction</w:t>
      </w:r>
      <w:r w:rsidR="005D2DC4" w:rsidRPr="00F160E3">
        <w:t xml:space="preserve">. However, this heat balance approximation ignores the contribution from axial recharge (i.e. from above and below the borehole depth interval) as well as the potential increase in the heat flow at the surface due to cooling of the ground. Although the later contribution might be important in the long-term as the effects of heat extraction reach the surface, it is only trivial for this one-year heat balance approximation. </w:t>
      </w:r>
    </w:p>
    <w:p w14:paraId="0FAEB9CB" w14:textId="12D6A540" w:rsidR="006F4CB7" w:rsidRPr="00F160E3" w:rsidRDefault="00C039B6" w:rsidP="00717A50">
      <w:pPr>
        <w:spacing w:afterLines="80" w:after="192" w:line="480" w:lineRule="auto"/>
        <w:ind w:firstLine="335"/>
      </w:pPr>
      <w:commentRangeStart w:id="9"/>
      <w:r w:rsidRPr="00F160E3">
        <w:t xml:space="preserve">We use the OpenGeosys finite element modelling software (i.e. Kolditz et al., 2012; Chen et al., 2019) to simulate temperature change and calculate the heat fluxes induced in the subsurface due to heat extraction from </w:t>
      </w:r>
      <w:r w:rsidR="00537FF5" w:rsidRPr="00F160E3">
        <w:t>the</w:t>
      </w:r>
      <w:r w:rsidRPr="00F160E3">
        <w:t xml:space="preserve"> BHE. The relative contribution of solar and geothermal recharge is described using 1D model</w:t>
      </w:r>
      <w:r w:rsidR="00537FF5" w:rsidRPr="00F160E3">
        <w:t>s</w:t>
      </w:r>
      <w:r w:rsidRPr="00F160E3">
        <w:t xml:space="preserve"> and lateral heat fluxes are quantified using 3D </w:t>
      </w:r>
      <w:r w:rsidR="00537FF5" w:rsidRPr="00F160E3">
        <w:t xml:space="preserve">diffusion </w:t>
      </w:r>
      <w:r w:rsidRPr="00F160E3">
        <w:t xml:space="preserve">models. </w:t>
      </w:r>
      <w:r w:rsidR="006F4CB7" w:rsidRPr="00F160E3">
        <w:t xml:space="preserve">In both models, the BHE is simplified to a vertical line source embedded in a homogeneous porous medium whose properties are those defined in Eq. 3. </w:t>
      </w:r>
      <w:r w:rsidRPr="00F160E3">
        <w:t>Results are used to validate the mathematical models against the volume of accessible rock and quantify the footprint area of heat extraction over</w:t>
      </w:r>
      <w:r w:rsidR="00B029ED" w:rsidRPr="00F160E3">
        <w:t xml:space="preserve"> 30 years</w:t>
      </w:r>
      <w:commentRangeEnd w:id="9"/>
      <w:r w:rsidR="00197E33" w:rsidRPr="00F160E3">
        <w:t>, assuming that heat transfers in the ground occur only by conduction</w:t>
      </w:r>
      <w:r w:rsidR="006F4CB7" w:rsidRPr="00F160E3">
        <w:t>.</w:t>
      </w:r>
      <w:r w:rsidRPr="00F160E3">
        <w:rPr>
          <w:rStyle w:val="Marquedecommentaire"/>
          <w:rFonts w:ascii="Calibri" w:eastAsia="Calibri" w:hAnsi="Calibri" w:cs="Calibri"/>
          <w:lang w:eastAsia="en-GB"/>
        </w:rPr>
        <w:commentReference w:id="9"/>
      </w:r>
    </w:p>
    <w:p w14:paraId="4F8E46F7" w14:textId="41E2714E" w:rsidR="009E707F" w:rsidRPr="00F160E3" w:rsidRDefault="009E707F" w:rsidP="009E707F">
      <w:pPr>
        <w:pStyle w:val="Paragraphedeliste"/>
        <w:numPr>
          <w:ilvl w:val="0"/>
          <w:numId w:val="7"/>
        </w:numPr>
        <w:spacing w:afterLines="80" w:after="192" w:line="480" w:lineRule="auto"/>
      </w:pPr>
      <w:r w:rsidRPr="00F160E3">
        <w:t xml:space="preserve">Axial recharge </w:t>
      </w:r>
    </w:p>
    <w:p w14:paraId="74FD4827" w14:textId="4AF022D7" w:rsidR="00A10BEB" w:rsidRDefault="009E707F" w:rsidP="009E707F">
      <w:pPr>
        <w:spacing w:afterLines="80" w:after="192" w:line="480" w:lineRule="auto"/>
      </w:pPr>
      <w:r w:rsidRPr="00F160E3">
        <w:t>Fig. XXX</w:t>
      </w:r>
      <w:r w:rsidR="00E636BE">
        <w:t xml:space="preserve"> a and b</w:t>
      </w:r>
      <w:r w:rsidRPr="00F160E3">
        <w:t xml:space="preserve"> shows the temperature profiles after 1 and 30 years of heat extraction from a 1D vertical 1000-m long model and from a 100-m long model representing the BHE interval situated between 10 and 110-m depth. For each scenario, </w:t>
      </w:r>
      <w:r w:rsidR="00A10BEB" w:rsidRPr="00F160E3">
        <w:t xml:space="preserve">surface and bottom heat flux boundaries of </w:t>
      </w:r>
      <w:r w:rsidR="00A10BEB" w:rsidRPr="00F160E3">
        <w:rPr>
          <w:rFonts w:cstheme="minorHAnsi"/>
        </w:rPr>
        <w:t>±</w:t>
      </w:r>
      <w:r w:rsidR="00A10BEB" w:rsidRPr="00F160E3">
        <w:t>0.057 W/m²</w:t>
      </w:r>
      <w:r w:rsidR="00A10BEB">
        <w:t xml:space="preserve"> are</w:t>
      </w:r>
      <w:r w:rsidR="00A10BEB" w:rsidRPr="00F160E3">
        <w:t xml:space="preserve"> used to maintain the geothermal gradient of 25°C/km (with </w:t>
      </w:r>
      <w:r w:rsidR="00A10BEB" w:rsidRPr="00F160E3">
        <w:rPr>
          <w:i/>
        </w:rPr>
        <w:t>T</w:t>
      </w:r>
      <w:r w:rsidR="00A10BEB" w:rsidRPr="00F160E3">
        <w:rPr>
          <w:vertAlign w:val="subscript"/>
        </w:rPr>
        <w:t xml:space="preserve">0 </w:t>
      </w:r>
      <w:r w:rsidR="00A10BEB" w:rsidRPr="00F160E3">
        <w:t>= 9°C)</w:t>
      </w:r>
      <w:r w:rsidR="00A10BEB">
        <w:t xml:space="preserve"> in a scenario without production and </w:t>
      </w:r>
      <w:r w:rsidRPr="00F160E3">
        <w:t>heat is extracted at a constant rate of -1200W equally distributed along the BHE</w:t>
      </w:r>
      <w:r w:rsidR="00A10BEB">
        <w:t xml:space="preserve">. </w:t>
      </w:r>
    </w:p>
    <w:p w14:paraId="00530C90" w14:textId="1A83A03C" w:rsidR="00A10BEB" w:rsidRDefault="00A10BEB" w:rsidP="009E707F">
      <w:pPr>
        <w:spacing w:afterLines="80" w:after="192" w:line="480" w:lineRule="auto"/>
      </w:pPr>
      <w:commentRangeStart w:id="10"/>
      <w:r>
        <w:rPr>
          <w:noProof/>
        </w:rPr>
        <w:drawing>
          <wp:inline distT="0" distB="0" distL="0" distR="0" wp14:anchorId="46A6DF8C" wp14:editId="37C5C144">
            <wp:extent cx="5760720" cy="3072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72130"/>
                    </a:xfrm>
                    <a:prstGeom prst="rect">
                      <a:avLst/>
                    </a:prstGeom>
                  </pic:spPr>
                </pic:pic>
              </a:graphicData>
            </a:graphic>
          </wp:inline>
        </w:drawing>
      </w:r>
      <w:commentRangeEnd w:id="10"/>
      <w:r w:rsidR="006526FE">
        <w:rPr>
          <w:rStyle w:val="Marquedecommentaire"/>
          <w:rFonts w:ascii="Calibri" w:eastAsia="Calibri" w:hAnsi="Calibri" w:cs="Calibri"/>
          <w:color w:val="000000"/>
          <w:lang w:eastAsia="en-GB"/>
        </w:rPr>
        <w:commentReference w:id="10"/>
      </w:r>
    </w:p>
    <w:p w14:paraId="13FDBDA7" w14:textId="707795EA" w:rsidR="006C1C9F" w:rsidRDefault="006C1C9F" w:rsidP="00E636BE">
      <w:pPr>
        <w:spacing w:afterLines="80" w:after="192" w:line="480" w:lineRule="auto"/>
      </w:pPr>
      <w:r>
        <w:t>Based on</w:t>
      </w:r>
      <w:r w:rsidRPr="00E636BE">
        <w:t xml:space="preserve"> model area</w:t>
      </w:r>
      <w:r>
        <w:t>s</w:t>
      </w:r>
      <w:r w:rsidRPr="00E636BE">
        <w:t xml:space="preserve"> of </w:t>
      </w:r>
      <w:r w:rsidR="00A10BEB">
        <w:t>30-</w:t>
      </w:r>
      <w:r w:rsidRPr="00E636BE">
        <w:t xml:space="preserve">m² and </w:t>
      </w:r>
      <w:r w:rsidR="00A10BEB">
        <w:t>908-</w:t>
      </w:r>
      <w:r w:rsidRPr="00E636BE">
        <w:t>m²</w:t>
      </w:r>
      <w:r>
        <w:t xml:space="preserve">, results of heat extraction from the 100-m long model </w:t>
      </w:r>
      <w:r w:rsidR="005A447C">
        <w:t xml:space="preserve">(dark blue line) </w:t>
      </w:r>
      <w:r>
        <w:t>with constant heat flux boundaries for periods of</w:t>
      </w:r>
      <w:r w:rsidRPr="00E636BE">
        <w:t xml:space="preserve"> 1</w:t>
      </w:r>
      <w:r>
        <w:t xml:space="preserve"> </w:t>
      </w:r>
      <w:r w:rsidRPr="00E636BE">
        <w:t>year and 30</w:t>
      </w:r>
      <w:r>
        <w:t xml:space="preserve"> </w:t>
      </w:r>
      <w:r w:rsidRPr="00E636BE">
        <w:t>year</w:t>
      </w:r>
      <w:r>
        <w:t xml:space="preserve">, respectively, confirm a uniform temperature decline of 5°C along the BHE, in accordance with the mathematical model. </w:t>
      </w:r>
      <w:r w:rsidR="00EE6FB2" w:rsidRPr="00F160E3">
        <w:t xml:space="preserve">We </w:t>
      </w:r>
      <w:r>
        <w:t xml:space="preserve">therefore </w:t>
      </w:r>
      <w:r w:rsidR="00EE6FB2" w:rsidRPr="00F160E3">
        <w:t xml:space="preserve">use the relative energy change in the BHE interval </w:t>
      </w:r>
      <w:r w:rsidR="005A447C">
        <w:t xml:space="preserve">and in the surrounding rocks </w:t>
      </w:r>
      <w:r w:rsidR="00EE6FB2" w:rsidRPr="00F160E3">
        <w:t xml:space="preserve">in the </w:t>
      </w:r>
      <w:r w:rsidR="00197E33" w:rsidRPr="00F160E3">
        <w:t>1000-m long model</w:t>
      </w:r>
      <w:r w:rsidR="005A447C">
        <w:t xml:space="preserve"> (light blue line) </w:t>
      </w:r>
      <w:r w:rsidR="00EE6FB2" w:rsidRPr="00F160E3">
        <w:t xml:space="preserve">to </w:t>
      </w:r>
      <w:r w:rsidR="00326E98" w:rsidRPr="00F160E3">
        <w:t xml:space="preserve">quantify the contribution of axial </w:t>
      </w:r>
      <w:r w:rsidR="00EE6FB2" w:rsidRPr="00F160E3">
        <w:t xml:space="preserve">heat </w:t>
      </w:r>
      <w:r w:rsidR="00E636BE">
        <w:t xml:space="preserve">recharge (i.e. </w:t>
      </w:r>
      <w:r w:rsidR="00AC3DB8">
        <w:t xml:space="preserve">heat recharge from rocks located above/below </w:t>
      </w:r>
      <w:r w:rsidR="00E636BE" w:rsidRPr="00F160E3">
        <w:t>the borehole</w:t>
      </w:r>
      <w:r w:rsidR="00AC3DB8">
        <w:t xml:space="preserve"> via diffusion</w:t>
      </w:r>
      <w:r>
        <w:t xml:space="preserve">). </w:t>
      </w:r>
      <w:r w:rsidR="00E636BE">
        <w:t xml:space="preserve"> </w:t>
      </w:r>
      <w:r>
        <w:t>Results suggests that although a</w:t>
      </w:r>
      <w:r w:rsidR="00E636BE" w:rsidRPr="009646E1">
        <w:t xml:space="preserve">xial recharge is limited to </w:t>
      </w:r>
      <w:r w:rsidR="00AD2823">
        <w:t>&lt;5</w:t>
      </w:r>
      <w:r w:rsidR="00E636BE" w:rsidRPr="009646E1">
        <w:t>% within the first year</w:t>
      </w:r>
      <w:r>
        <w:t xml:space="preserve"> (using the </w:t>
      </w:r>
      <w:r w:rsidR="00A10BEB">
        <w:t>30</w:t>
      </w:r>
      <w:r>
        <w:t xml:space="preserve"> m² model)</w:t>
      </w:r>
      <w:r w:rsidR="00E636BE" w:rsidRPr="009646E1">
        <w:t xml:space="preserve">, this effect </w:t>
      </w:r>
      <w:r w:rsidR="005A447C">
        <w:t xml:space="preserve">increases up to </w:t>
      </w:r>
      <w:r w:rsidR="00AD2823">
        <w:t>~</w:t>
      </w:r>
      <w:r>
        <w:t>1</w:t>
      </w:r>
      <w:r w:rsidR="00AD2823">
        <w:t>8</w:t>
      </w:r>
      <w:r>
        <w:t xml:space="preserve">% </w:t>
      </w:r>
      <w:r w:rsidR="005A447C" w:rsidRPr="009646E1">
        <w:t xml:space="preserve">after 30 years of heat </w:t>
      </w:r>
      <w:commentRangeStart w:id="11"/>
      <w:r w:rsidR="005A447C" w:rsidRPr="009646E1">
        <w:t>extraction</w:t>
      </w:r>
      <w:commentRangeEnd w:id="11"/>
      <w:r w:rsidR="009B3F89">
        <w:rPr>
          <w:rStyle w:val="Marquedecommentaire"/>
          <w:rFonts w:ascii="Calibri" w:eastAsia="Calibri" w:hAnsi="Calibri" w:cs="Calibri"/>
          <w:color w:val="000000"/>
          <w:lang w:eastAsia="en-GB"/>
        </w:rPr>
        <w:commentReference w:id="11"/>
      </w:r>
      <w:r w:rsidR="005A447C" w:rsidRPr="009646E1">
        <w:t xml:space="preserve"> (</w:t>
      </w:r>
      <w:r w:rsidR="00A10BEB">
        <w:t>908</w:t>
      </w:r>
      <w:r w:rsidR="005A447C" w:rsidRPr="009646E1">
        <w:t xml:space="preserve"> m² model)</w:t>
      </w:r>
      <w:r w:rsidR="009B3F89">
        <w:t xml:space="preserve">, reducing the </w:t>
      </w:r>
      <w:r w:rsidR="009B3F89" w:rsidRPr="009B3F89">
        <w:t>temperature drop at the borehole predicted by the finite BHE model.</w:t>
      </w:r>
      <w:r w:rsidR="00417C95">
        <w:t xml:space="preserve"> </w:t>
      </w:r>
      <w:r w:rsidR="00417C95">
        <w:t xml:space="preserve">As the production time increases, axial heat fluxes </w:t>
      </w:r>
      <w:r w:rsidR="00417C95">
        <w:t xml:space="preserve">therefore </w:t>
      </w:r>
      <w:r w:rsidR="00417C95">
        <w:t>become an essential contribution to the heat recharge</w:t>
      </w:r>
      <w:r w:rsidR="00417C95">
        <w:t>.</w:t>
      </w:r>
    </w:p>
    <w:p w14:paraId="144572A2" w14:textId="33A89803" w:rsidR="009B3F89" w:rsidRDefault="001E3C01" w:rsidP="00197E33">
      <w:pPr>
        <w:spacing w:afterLines="80" w:after="192" w:line="480" w:lineRule="auto"/>
        <w:ind w:left="-4" w:firstLine="339"/>
      </w:pPr>
      <w:r w:rsidRPr="00F160E3">
        <w:t xml:space="preserve">Although </w:t>
      </w:r>
      <w:r w:rsidR="009B3F89">
        <w:t>1D models</w:t>
      </w:r>
      <w:r w:rsidRPr="00F160E3">
        <w:t xml:space="preserve"> can be used to calculate steady-state conditions</w:t>
      </w:r>
      <w:r w:rsidR="009B3F89">
        <w:t xml:space="preserve"> using a given </w:t>
      </w:r>
      <w:r w:rsidR="009B3F89" w:rsidRPr="00F160E3">
        <w:t>heat extraction rate and model area</w:t>
      </w:r>
      <w:r w:rsidRPr="00F160E3">
        <w:t xml:space="preserve">, </w:t>
      </w:r>
      <w:r w:rsidR="009B3F89">
        <w:t>they cannot give insights on the actual extent of the temperature drawdown around the borehole</w:t>
      </w:r>
      <w:r w:rsidR="009B3F89" w:rsidRPr="00F160E3">
        <w:t>.</w:t>
      </w:r>
      <w:r w:rsidR="009B3F89">
        <w:t xml:space="preserve"> We therefore use 3D models to determine the footprint area of heat extraction over time and quantify the amplitude of lateral heat fluxes (i.e. lateral heat mining).</w:t>
      </w:r>
    </w:p>
    <w:p w14:paraId="4443A333" w14:textId="5FCBFA36" w:rsidR="0013687F" w:rsidRPr="00F160E3" w:rsidRDefault="009E707F" w:rsidP="009E707F">
      <w:pPr>
        <w:pStyle w:val="Paragraphedeliste"/>
        <w:numPr>
          <w:ilvl w:val="0"/>
          <w:numId w:val="7"/>
        </w:numPr>
        <w:spacing w:afterLines="80" w:after="192" w:line="480" w:lineRule="auto"/>
      </w:pPr>
      <w:r w:rsidRPr="00F160E3">
        <w:t xml:space="preserve">Footprint area </w:t>
      </w:r>
    </w:p>
    <w:p w14:paraId="5D284071" w14:textId="219DE3A6" w:rsidR="00634518" w:rsidRDefault="00F160E3" w:rsidP="002F461C">
      <w:pPr>
        <w:spacing w:afterLines="80" w:after="192" w:line="480" w:lineRule="auto"/>
        <w:ind w:left="-4" w:firstLine="339"/>
      </w:pPr>
      <w:r w:rsidRPr="00F160E3">
        <w:t>As for the 1D models, two 3D models are developed in order to quantify the contribution of radial recharge and the extent of thermal footprint caused by heat extraction from the BHE</w:t>
      </w:r>
      <w:r w:rsidR="005B43F3">
        <w:t xml:space="preserve"> over time</w:t>
      </w:r>
      <w:r w:rsidRPr="00F160E3">
        <w:t xml:space="preserve">. </w:t>
      </w:r>
      <w:r w:rsidR="00197E33" w:rsidRPr="00F160E3">
        <w:t xml:space="preserve">The models consist of </w:t>
      </w:r>
      <w:r w:rsidRPr="00F160E3">
        <w:t xml:space="preserve">a </w:t>
      </w:r>
      <w:r w:rsidR="00A10BEB">
        <w:t>16</w:t>
      </w:r>
      <w:r w:rsidRPr="00F160E3">
        <w:t xml:space="preserve">0-m deep and a 100-m thick </w:t>
      </w:r>
      <w:r w:rsidR="005B43F3">
        <w:t>3</w:t>
      </w:r>
      <w:r w:rsidR="00197E33" w:rsidRPr="00F160E3">
        <w:t xml:space="preserve">00 x 300 m </w:t>
      </w:r>
      <w:r w:rsidR="005B43F3">
        <w:t>homogeneous porous medium</w:t>
      </w:r>
      <w:r w:rsidR="00197E33" w:rsidRPr="00F160E3">
        <w:t xml:space="preserve"> composed of </w:t>
      </w:r>
      <w:r w:rsidRPr="00F160E3">
        <w:t xml:space="preserve">xxx and </w:t>
      </w:r>
      <w:r w:rsidR="009E707F" w:rsidRPr="00F160E3">
        <w:t>xxx</w:t>
      </w:r>
      <w:r w:rsidR="00197E33" w:rsidRPr="00F160E3">
        <w:t xml:space="preserve"> prismatic elements</w:t>
      </w:r>
      <w:r w:rsidRPr="00F160E3">
        <w:t>, respectively (Fig.2)</w:t>
      </w:r>
      <w:r w:rsidR="00197E33" w:rsidRPr="00F160E3">
        <w:t xml:space="preserve">. </w:t>
      </w:r>
      <w:r w:rsidRPr="00F160E3">
        <w:t>In both models, t</w:t>
      </w:r>
      <w:r w:rsidR="00197E33" w:rsidRPr="00F160E3">
        <w:t xml:space="preserve">he borehole is situated between </w:t>
      </w:r>
      <w:r w:rsidR="00432C0E" w:rsidRPr="00F160E3">
        <w:t>1</w:t>
      </w:r>
      <w:r w:rsidR="00197E33" w:rsidRPr="00F160E3">
        <w:t xml:space="preserve">0 and </w:t>
      </w:r>
      <w:r w:rsidR="00432C0E" w:rsidRPr="00F160E3">
        <w:t>10</w:t>
      </w:r>
      <w:r w:rsidR="00197E33" w:rsidRPr="00F160E3">
        <w:t>0 m depth</w:t>
      </w:r>
      <w:r w:rsidR="00432C0E" w:rsidRPr="00F160E3">
        <w:t>, in the centre of two nested cylindrical volume with radii of 3-m and 1</w:t>
      </w:r>
      <w:r w:rsidR="00A10BEB">
        <w:t>7</w:t>
      </w:r>
      <w:r w:rsidR="00432C0E" w:rsidRPr="00F160E3">
        <w:t xml:space="preserve">-m </w:t>
      </w:r>
      <w:r w:rsidR="00197E33" w:rsidRPr="00F160E3">
        <w:t xml:space="preserve">(i.e. radius of the area </w:t>
      </w:r>
      <w:r w:rsidR="002F461C">
        <w:t xml:space="preserve">required </w:t>
      </w:r>
      <w:r w:rsidR="00197E33" w:rsidRPr="00F160E3">
        <w:t xml:space="preserve">for a </w:t>
      </w:r>
      <w:r w:rsidR="00432C0E" w:rsidRPr="00F160E3">
        <w:t xml:space="preserve">1-year and </w:t>
      </w:r>
      <w:r w:rsidR="00197E33" w:rsidRPr="00F160E3">
        <w:t xml:space="preserve">30-year </w:t>
      </w:r>
      <w:r w:rsidR="002F461C">
        <w:t xml:space="preserve">heat </w:t>
      </w:r>
      <w:r w:rsidR="00197E33" w:rsidRPr="00F160E3">
        <w:t>extraction period</w:t>
      </w:r>
      <w:r w:rsidR="002F461C">
        <w:t xml:space="preserve"> in the 1D scenario</w:t>
      </w:r>
      <w:r w:rsidR="00197E33" w:rsidRPr="00F160E3">
        <w:t>)</w:t>
      </w:r>
      <w:r w:rsidR="00432C0E" w:rsidRPr="00F160E3">
        <w:t>, that define</w:t>
      </w:r>
      <w:r w:rsidR="00197E33" w:rsidRPr="00F160E3">
        <w:t xml:space="preserve"> a zone with a high-resolution mesh</w:t>
      </w:r>
      <w:r w:rsidR="00432C0E" w:rsidRPr="00F160E3">
        <w:t>.</w:t>
      </w:r>
      <w:r w:rsidRPr="00F160E3">
        <w:t xml:space="preserve"> </w:t>
      </w:r>
      <w:r w:rsidR="00E636BE">
        <w:t xml:space="preserve">Fig xxx c and d shows the temperature profiles extracted from the 3D models </w:t>
      </w:r>
      <w:r w:rsidR="005B43F3">
        <w:t>at the borehole location and at distances x = 3 m and x = 1</w:t>
      </w:r>
      <w:r w:rsidR="002F461C">
        <w:t>7</w:t>
      </w:r>
      <w:r w:rsidR="005B43F3">
        <w:t xml:space="preserve"> m</w:t>
      </w:r>
      <w:r w:rsidR="002F461C">
        <w:t xml:space="preserve"> after 1 and 30 years of heat extraction, respectively, using </w:t>
      </w:r>
      <w:r w:rsidR="002F461C" w:rsidRPr="00F160E3">
        <w:t>surface and bottom heat flux</w:t>
      </w:r>
      <w:r w:rsidR="002F461C">
        <w:t>es</w:t>
      </w:r>
      <w:r w:rsidR="002F461C" w:rsidRPr="00F160E3">
        <w:t xml:space="preserve"> of </w:t>
      </w:r>
      <w:r w:rsidR="002F461C" w:rsidRPr="00F160E3">
        <w:rPr>
          <w:rFonts w:cstheme="minorHAnsi"/>
        </w:rPr>
        <w:t>±</w:t>
      </w:r>
      <w:r w:rsidR="002F461C" w:rsidRPr="00F160E3">
        <w:t>0.057 W/m²</w:t>
      </w:r>
      <w:r w:rsidR="002F461C">
        <w:t xml:space="preserve">. </w:t>
      </w:r>
      <w:r w:rsidR="002F461C">
        <w:t>Assuming that 1D models represents far field conditions</w:t>
      </w:r>
      <w:r w:rsidR="002F461C">
        <w:t>, t</w:t>
      </w:r>
      <w:r w:rsidR="005B43F3">
        <w:t xml:space="preserve">hose profiles are compared to the </w:t>
      </w:r>
      <w:r w:rsidR="002F461C">
        <w:t xml:space="preserve">final </w:t>
      </w:r>
      <w:r w:rsidR="005B43F3">
        <w:t xml:space="preserve">temperature distribution in the 1D </w:t>
      </w:r>
      <w:r w:rsidR="002F461C">
        <w:t>30</w:t>
      </w:r>
      <w:r w:rsidR="005B43F3">
        <w:t xml:space="preserve"> m² and </w:t>
      </w:r>
      <w:r w:rsidR="002F461C">
        <w:t>908</w:t>
      </w:r>
      <w:r w:rsidR="005B43F3">
        <w:t xml:space="preserve"> m² </w:t>
      </w:r>
      <w:r w:rsidR="005B43F3" w:rsidRPr="004C3EFA">
        <w:t>model</w:t>
      </w:r>
      <w:r w:rsidR="005B43F3">
        <w:t xml:space="preserve">s </w:t>
      </w:r>
      <w:r w:rsidR="002F461C">
        <w:t xml:space="preserve">to determine the contribution for radial recharge to the borehole after </w:t>
      </w:r>
      <w:r w:rsidR="005B43F3">
        <w:t>1 and 30 years, respectively</w:t>
      </w:r>
      <w:r w:rsidR="00634518">
        <w:t xml:space="preserve">. </w:t>
      </w:r>
    </w:p>
    <w:p w14:paraId="510E1467" w14:textId="6EE12351" w:rsidR="000A73D2" w:rsidRDefault="005B43F3" w:rsidP="000A73D2">
      <w:pPr>
        <w:spacing w:afterLines="80" w:after="192" w:line="480" w:lineRule="auto"/>
      </w:pPr>
      <w:r>
        <w:t xml:space="preserve">We calculate the energy change within the finite volume of rocks situated at distances x &lt; 3 m, 3 m &lt; x &lt; </w:t>
      </w:r>
      <w:r w:rsidR="002F461C">
        <w:t>17</w:t>
      </w:r>
      <w:r>
        <w:t xml:space="preserve"> m and x &gt; 1</w:t>
      </w:r>
      <w:r w:rsidR="002F461C">
        <w:t>7</w:t>
      </w:r>
      <w:r>
        <w:t xml:space="preserve"> m from the borehole (Fig. 6) to determine the relative contribution from radial heat recharge to the </w:t>
      </w:r>
      <w:r w:rsidRPr="00804B7C">
        <w:t xml:space="preserve">borehole. </w:t>
      </w:r>
      <w:r w:rsidR="00634518" w:rsidRPr="00804B7C">
        <w:t>Results indicate that ~</w:t>
      </w:r>
      <w:r w:rsidR="006E5C95" w:rsidRPr="00804B7C">
        <w:t>20</w:t>
      </w:r>
      <w:r w:rsidR="00634518" w:rsidRPr="00804B7C">
        <w:t xml:space="preserve">% of the heat is mined from the area surrounding the borehole (x &lt; </w:t>
      </w:r>
      <w:r w:rsidR="006E5C95" w:rsidRPr="00804B7C">
        <w:t xml:space="preserve">3 </w:t>
      </w:r>
      <w:r w:rsidR="00634518" w:rsidRPr="00804B7C">
        <w:t xml:space="preserve">m) </w:t>
      </w:r>
      <w:r w:rsidR="000446A9">
        <w:t xml:space="preserve">within the first year, with </w:t>
      </w:r>
      <w:r w:rsidR="006E5C95" w:rsidRPr="00804B7C">
        <w:t>90%</w:t>
      </w:r>
      <w:r w:rsidR="00634518" w:rsidRPr="00804B7C">
        <w:t xml:space="preserve"> of the energy </w:t>
      </w:r>
      <w:r w:rsidR="000446A9">
        <w:t xml:space="preserve">being </w:t>
      </w:r>
      <w:r w:rsidR="00634518" w:rsidRPr="00804B7C">
        <w:t xml:space="preserve">mined from the area comprised </w:t>
      </w:r>
      <w:r w:rsidR="000446A9">
        <w:t>at</w:t>
      </w:r>
      <w:r w:rsidR="00634518" w:rsidRPr="00804B7C">
        <w:t xml:space="preserve"> x &lt; </w:t>
      </w:r>
      <w:r w:rsidR="006E5C95" w:rsidRPr="00804B7C">
        <w:t>1</w:t>
      </w:r>
      <w:r w:rsidR="002F461C">
        <w:t>7</w:t>
      </w:r>
      <w:r w:rsidR="00634518" w:rsidRPr="00804B7C">
        <w:t xml:space="preserve"> m</w:t>
      </w:r>
      <w:r w:rsidR="008D7899">
        <w:t xml:space="preserve"> w</w:t>
      </w:r>
      <w:r w:rsidR="000446A9">
        <w:t>hen not axial recharge is allowed</w:t>
      </w:r>
      <w:r w:rsidR="002F461C">
        <w:t xml:space="preserve"> (i.e. 10% of the heat is mined from a distance x &gt; 17m)</w:t>
      </w:r>
      <w:r w:rsidR="000446A9">
        <w:t xml:space="preserve">. </w:t>
      </w:r>
      <w:r w:rsidR="00634518" w:rsidRPr="00804B7C">
        <w:t xml:space="preserve">After 30 years, </w:t>
      </w:r>
      <w:r w:rsidR="002F461C">
        <w:t xml:space="preserve">about 75% </w:t>
      </w:r>
      <w:r w:rsidR="00634518" w:rsidRPr="00804B7C">
        <w:t xml:space="preserve">of the recharge is provided by the volume of rock located at x &gt; </w:t>
      </w:r>
      <w:r w:rsidR="006E5C95" w:rsidRPr="00804B7C">
        <w:t>1</w:t>
      </w:r>
      <w:r w:rsidR="002F461C">
        <w:t>7</w:t>
      </w:r>
      <w:r w:rsidR="00634518" w:rsidRPr="00804B7C">
        <w:t xml:space="preserve"> m</w:t>
      </w:r>
      <w:r w:rsidR="002F461C">
        <w:t xml:space="preserve">, while </w:t>
      </w:r>
      <w:r w:rsidR="00E82F0D">
        <w:t xml:space="preserve">only 2% of the heat is sourced from the area </w:t>
      </w:r>
      <w:r w:rsidR="002F461C">
        <w:t>surrounding the BHE (x &lt; 3m)</w:t>
      </w:r>
      <w:r w:rsidR="00634518" w:rsidRPr="00804B7C">
        <w:t xml:space="preserve">. At x = </w:t>
      </w:r>
      <w:r w:rsidR="006E5C95" w:rsidRPr="00804B7C">
        <w:t>3</w:t>
      </w:r>
      <w:r w:rsidR="00634518" w:rsidRPr="00804B7C">
        <w:t xml:space="preserve"> m, the radial heat fluxes </w:t>
      </w:r>
      <w:r w:rsidR="006E5C95" w:rsidRPr="00804B7C">
        <w:t>are of ~0.</w:t>
      </w:r>
      <w:r w:rsidR="003678CF">
        <w:t>36</w:t>
      </w:r>
      <w:r w:rsidR="006E5C95" w:rsidRPr="00804B7C">
        <w:t xml:space="preserve"> W/m² during the first year</w:t>
      </w:r>
      <w:r w:rsidR="007226AA">
        <w:t xml:space="preserve"> </w:t>
      </w:r>
      <w:r w:rsidR="006E5C95" w:rsidRPr="00804B7C">
        <w:t>and reach a stea</w:t>
      </w:r>
      <w:r w:rsidR="00634518" w:rsidRPr="00804B7C">
        <w:t>dy rate of ~</w:t>
      </w:r>
      <w:r w:rsidR="003678CF">
        <w:t>0.61</w:t>
      </w:r>
      <w:r w:rsidR="00634518" w:rsidRPr="00804B7C">
        <w:t xml:space="preserve"> W/m² after ~10 years</w:t>
      </w:r>
      <w:r w:rsidR="003678CF">
        <w:t xml:space="preserve">, in accordance with the mathematical solution presented in section XXX </w:t>
      </w:r>
      <w:r w:rsidR="00634518" w:rsidRPr="00804B7C">
        <w:t>(Fig. 6)</w:t>
      </w:r>
      <w:r w:rsidR="00804B7C" w:rsidRPr="00804B7C">
        <w:t xml:space="preserve">. </w:t>
      </w:r>
      <w:r w:rsidR="000A73D2">
        <w:t xml:space="preserve">When axial recharge from above/below is allowed… </w:t>
      </w:r>
      <w:commentRangeStart w:id="12"/>
      <w:commentRangeEnd w:id="12"/>
      <w:r w:rsidR="000A73D2">
        <w:rPr>
          <w:rStyle w:val="Marquedecommentaire"/>
          <w:rFonts w:ascii="Calibri" w:eastAsia="Calibri" w:hAnsi="Calibri" w:cs="Calibri"/>
          <w:color w:val="000000"/>
          <w:lang w:eastAsia="en-GB"/>
        </w:rPr>
        <w:commentReference w:id="12"/>
      </w:r>
      <w:r w:rsidR="000A73D2">
        <w:t xml:space="preserve"> </w:t>
      </w:r>
    </w:p>
    <w:p w14:paraId="01BE7131" w14:textId="0A3840D0" w:rsidR="00E82F0D" w:rsidRDefault="00E82F0D" w:rsidP="00E82F0D">
      <w:pPr>
        <w:spacing w:afterLines="80" w:after="192" w:line="480" w:lineRule="auto"/>
        <w:rPr>
          <w:noProof/>
        </w:rPr>
      </w:pPr>
      <w:r>
        <w:rPr>
          <w:noProof/>
        </w:rPr>
        <w:drawing>
          <wp:inline distT="0" distB="0" distL="0" distR="0" wp14:anchorId="02092551" wp14:editId="33E956F7">
            <wp:extent cx="2796540" cy="1898269"/>
            <wp:effectExtent l="0" t="0" r="381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917" cy="1908028"/>
                    </a:xfrm>
                    <a:prstGeom prst="rect">
                      <a:avLst/>
                    </a:prstGeom>
                  </pic:spPr>
                </pic:pic>
              </a:graphicData>
            </a:graphic>
          </wp:inline>
        </w:drawing>
      </w:r>
      <w:r w:rsidRPr="00804B7C">
        <w:rPr>
          <w:noProof/>
        </w:rPr>
        <w:t xml:space="preserve"> </w:t>
      </w:r>
      <w:r>
        <w:rPr>
          <w:noProof/>
        </w:rPr>
        <w:drawing>
          <wp:inline distT="0" distB="0" distL="0" distR="0" wp14:anchorId="19BA1799" wp14:editId="1327FA90">
            <wp:extent cx="2840106" cy="19278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575" cy="1943093"/>
                    </a:xfrm>
                    <a:prstGeom prst="rect">
                      <a:avLst/>
                    </a:prstGeom>
                  </pic:spPr>
                </pic:pic>
              </a:graphicData>
            </a:graphic>
          </wp:inline>
        </w:drawing>
      </w:r>
      <w:r w:rsidRPr="00E64505">
        <w:rPr>
          <w:noProof/>
        </w:rPr>
        <w:t xml:space="preserve"> </w:t>
      </w:r>
      <w:commentRangeStart w:id="13"/>
      <w:r>
        <w:rPr>
          <w:noProof/>
        </w:rPr>
        <w:drawing>
          <wp:inline distT="0" distB="0" distL="0" distR="0" wp14:anchorId="7FC41FB4" wp14:editId="220141D7">
            <wp:extent cx="2795231" cy="1897380"/>
            <wp:effectExtent l="0" t="0" r="571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223" cy="1904163"/>
                    </a:xfrm>
                    <a:prstGeom prst="rect">
                      <a:avLst/>
                    </a:prstGeom>
                  </pic:spPr>
                </pic:pic>
              </a:graphicData>
            </a:graphic>
          </wp:inline>
        </w:drawing>
      </w:r>
      <w:commentRangeEnd w:id="13"/>
      <w:r w:rsidR="006526FE">
        <w:rPr>
          <w:rStyle w:val="Marquedecommentaire"/>
          <w:rFonts w:ascii="Calibri" w:eastAsia="Calibri" w:hAnsi="Calibri" w:cs="Calibri"/>
          <w:color w:val="000000"/>
          <w:lang w:eastAsia="en-GB"/>
        </w:rPr>
        <w:commentReference w:id="13"/>
      </w:r>
      <w:r w:rsidRPr="008D7899">
        <w:rPr>
          <w:noProof/>
        </w:rPr>
        <w:t xml:space="preserve"> </w:t>
      </w:r>
      <w:r>
        <w:rPr>
          <w:noProof/>
        </w:rPr>
        <w:drawing>
          <wp:inline distT="0" distB="0" distL="0" distR="0" wp14:anchorId="25479BEA" wp14:editId="47352C6F">
            <wp:extent cx="2857500" cy="193964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2952" cy="1943349"/>
                    </a:xfrm>
                    <a:prstGeom prst="rect">
                      <a:avLst/>
                    </a:prstGeom>
                  </pic:spPr>
                </pic:pic>
              </a:graphicData>
            </a:graphic>
          </wp:inline>
        </w:drawing>
      </w:r>
    </w:p>
    <w:p w14:paraId="1A8B751D" w14:textId="77777777" w:rsidR="00417C95" w:rsidRDefault="007A0603" w:rsidP="00E82F0D">
      <w:pPr>
        <w:spacing w:afterLines="80" w:after="192" w:line="480" w:lineRule="auto"/>
        <w:ind w:firstLine="335"/>
      </w:pPr>
      <w:r>
        <w:t>Fig</w:t>
      </w:r>
      <w:r w:rsidR="002D5964">
        <w:t>.</w:t>
      </w:r>
      <w:r>
        <w:t xml:space="preserve"> XXX shows the vertical and radial heat fluxes</w:t>
      </w:r>
      <w:r w:rsidRPr="007A0603">
        <w:t xml:space="preserve"> across a 2D temperature profile extracted at different time steps from the 3D </w:t>
      </w:r>
      <w:r w:rsidR="000A73D2">
        <w:t>16</w:t>
      </w:r>
      <w:r>
        <w:t>0-m deep model. It suggests that</w:t>
      </w:r>
      <w:r w:rsidRPr="007A0603">
        <w:t xml:space="preserve"> as the production time increases, the 3D model allows the mining of heat further away from the borehole though an expansion of radial heat transfers. Although</w:t>
      </w:r>
      <w:r w:rsidR="00417C95">
        <w:t xml:space="preserve"> </w:t>
      </w:r>
      <w:r w:rsidR="00417C95">
        <w:t>steady radial heat flux</w:t>
      </w:r>
      <w:r w:rsidR="00417C95">
        <w:t>es are reached after ~</w:t>
      </w:r>
      <w:r w:rsidR="00417C95">
        <w:t>10 years</w:t>
      </w:r>
      <w:r w:rsidR="00417C95">
        <w:t xml:space="preserve"> (i.e. constant temperature decline), </w:t>
      </w:r>
      <w:r w:rsidRPr="007A0603">
        <w:t xml:space="preserve">the lateral expansion of the volume of rock depleted in heat participates to an increase in the vertical temperature contrasts away from the borehole, enhancing the axial fluxes. </w:t>
      </w:r>
    </w:p>
    <w:p w14:paraId="1358F610" w14:textId="77777777" w:rsidR="00417C95" w:rsidRDefault="00417C95" w:rsidP="00E82F0D">
      <w:pPr>
        <w:spacing w:afterLines="80" w:after="192" w:line="480" w:lineRule="auto"/>
        <w:ind w:firstLine="335"/>
      </w:pPr>
    </w:p>
    <w:p w14:paraId="0A8A8581" w14:textId="7318A403" w:rsidR="005B43F3" w:rsidRDefault="007A0603" w:rsidP="00E82F0D">
      <w:pPr>
        <w:spacing w:afterLines="80" w:after="192" w:line="480" w:lineRule="auto"/>
        <w:ind w:firstLine="335"/>
      </w:pPr>
      <w:r w:rsidRPr="007A0603">
        <w:t xml:space="preserve">Fig. 7 shows that the area contributing to the downward heat fluxes induced by heat extraction keeps expanding over time above the borehole, suggesting a lack of recharge at the surface and an insufficient upward geothermal heat flux. </w:t>
      </w:r>
    </w:p>
    <w:p w14:paraId="3C7BC636" w14:textId="7FE74A44" w:rsidR="000566BD" w:rsidRDefault="000566BD" w:rsidP="000566BD">
      <w:pPr>
        <w:spacing w:afterLines="80" w:after="192" w:line="480" w:lineRule="auto"/>
        <w:ind w:left="-4"/>
      </w:pPr>
      <w:r>
        <w:rPr>
          <w:noProof/>
        </w:rPr>
        <w:drawing>
          <wp:inline distT="0" distB="0" distL="0" distR="0" wp14:anchorId="00EBE9C7" wp14:editId="1E10F420">
            <wp:extent cx="5760720" cy="14782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78280"/>
                    </a:xfrm>
                    <a:prstGeom prst="rect">
                      <a:avLst/>
                    </a:prstGeom>
                  </pic:spPr>
                </pic:pic>
              </a:graphicData>
            </a:graphic>
          </wp:inline>
        </w:drawing>
      </w:r>
      <w:r w:rsidR="003678CF" w:rsidRPr="003678CF">
        <w:rPr>
          <w:noProof/>
        </w:rPr>
        <w:t xml:space="preserve"> </w:t>
      </w:r>
      <w:r w:rsidR="003678CF">
        <w:rPr>
          <w:noProof/>
        </w:rPr>
        <w:drawing>
          <wp:inline distT="0" distB="0" distL="0" distR="0" wp14:anchorId="58440702" wp14:editId="1E333002">
            <wp:extent cx="5707380" cy="1481578"/>
            <wp:effectExtent l="0" t="0" r="762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6576" cy="1483965"/>
                    </a:xfrm>
                    <a:prstGeom prst="rect">
                      <a:avLst/>
                    </a:prstGeom>
                  </pic:spPr>
                </pic:pic>
              </a:graphicData>
            </a:graphic>
          </wp:inline>
        </w:drawing>
      </w:r>
      <w:r w:rsidR="00394C24" w:rsidRPr="00394C24">
        <w:rPr>
          <w:noProof/>
        </w:rPr>
        <w:t xml:space="preserve"> </w:t>
      </w:r>
      <w:r w:rsidR="00394C24">
        <w:rPr>
          <w:noProof/>
        </w:rPr>
        <w:drawing>
          <wp:inline distT="0" distB="0" distL="0" distR="0" wp14:anchorId="4FFDDDE0" wp14:editId="1480ED47">
            <wp:extent cx="5707380" cy="1462705"/>
            <wp:effectExtent l="0" t="0" r="762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8901" cy="1465658"/>
                    </a:xfrm>
                    <a:prstGeom prst="rect">
                      <a:avLst/>
                    </a:prstGeom>
                  </pic:spPr>
                </pic:pic>
              </a:graphicData>
            </a:graphic>
          </wp:inline>
        </w:drawing>
      </w:r>
    </w:p>
    <w:p w14:paraId="5C2840B0" w14:textId="7B4985DA" w:rsidR="00AA4B6E" w:rsidRDefault="000A73D2" w:rsidP="00C733B0">
      <w:pPr>
        <w:spacing w:afterLines="80" w:after="192" w:line="480" w:lineRule="auto"/>
        <w:ind w:left="-4" w:firstLine="339"/>
      </w:pPr>
      <w:r>
        <w:t xml:space="preserve">We use two horizontal profiles </w:t>
      </w:r>
      <w:r>
        <w:t xml:space="preserve">extracted </w:t>
      </w:r>
      <w:r>
        <w:t xml:space="preserve">at the surface </w:t>
      </w:r>
      <w:r>
        <w:t xml:space="preserve">( z = 0 m) </w:t>
      </w:r>
      <w:r>
        <w:t>and at the mid-borehole (z = - 60 m)</w:t>
      </w:r>
      <w:r w:rsidR="00E7477A">
        <w:t xml:space="preserve"> </w:t>
      </w:r>
      <w:r w:rsidR="00E7477A">
        <w:t>from the 3D 160-m thick model</w:t>
      </w:r>
      <w:r>
        <w:t xml:space="preserve"> </w:t>
      </w:r>
      <w:r>
        <w:t>t</w:t>
      </w:r>
      <w:r>
        <w:t xml:space="preserve">o measure the radius of the area impacted by heat extraction around the borehole </w:t>
      </w:r>
      <w:r>
        <w:t>a</w:t>
      </w:r>
      <w:r>
        <w:t>fter 1 and 30 years</w:t>
      </w:r>
      <w:r>
        <w:t>.</w:t>
      </w:r>
      <w:r>
        <w:t xml:space="preserve"> </w:t>
      </w:r>
      <w:r>
        <w:t>The</w:t>
      </w:r>
      <w:r>
        <w:t xml:space="preserve"> lateral extent of the drawdown is </w:t>
      </w:r>
      <w:r>
        <w:t xml:space="preserve">defined </w:t>
      </w:r>
      <w:r>
        <w:t xml:space="preserve">based on a temperature </w:t>
      </w:r>
      <w:r>
        <w:t>change of 0.1°C</w:t>
      </w:r>
      <w:r w:rsidR="003673DF">
        <w:t xml:space="preserve"> </w:t>
      </w:r>
      <w:r>
        <w:t xml:space="preserve">relative to the undisturbed temperature. Fig 8 </w:t>
      </w:r>
      <w:r w:rsidR="00E7477A">
        <w:t xml:space="preserve">shows that for a homogeneous medium with </w:t>
      </w:r>
      <m:oMath>
        <m:sSub>
          <m:sSubPr>
            <m:ctrlPr>
              <w:rPr>
                <w:rFonts w:ascii="Cambria Math" w:hAnsi="Cambria Math"/>
                <w:i/>
              </w:rPr>
            </m:ctrlPr>
          </m:sSubPr>
          <m:e>
            <m:r>
              <w:rPr>
                <w:rFonts w:ascii="Cambria Math" w:hAnsi="Cambria Math"/>
              </w:rPr>
              <m:t>λ</m:t>
            </m:r>
          </m:e>
          <m:sub>
            <m:r>
              <w:rPr>
                <w:rFonts w:ascii="Cambria Math" w:hAnsi="Cambria Math"/>
              </w:rPr>
              <m:t>eff</m:t>
            </m:r>
          </m:sub>
        </m:sSub>
      </m:oMath>
      <w:r w:rsidR="00E7477A">
        <w:rPr>
          <w:rFonts w:eastAsiaTheme="minorEastAsia"/>
        </w:rPr>
        <w:t xml:space="preserve"> = 2.2 W</w:t>
      </w:r>
      <w:r>
        <w:t>/°C.m</w:t>
      </w:r>
      <w:r w:rsidR="00E7477A">
        <w:t xml:space="preserve">, the thermal footprint of heat extraction reaches distance </w:t>
      </w:r>
      <w:r>
        <w:t>of ~</w:t>
      </w:r>
      <w:r w:rsidR="00FC2D59">
        <w:t>10</w:t>
      </w:r>
      <w:r>
        <w:t xml:space="preserve"> m </w:t>
      </w:r>
      <w:r w:rsidR="003673DF">
        <w:t xml:space="preserve">away from the BHE </w:t>
      </w:r>
      <w:r>
        <w:t>after 1 year</w:t>
      </w:r>
      <w:r w:rsidR="00FC2D59">
        <w:t xml:space="preserve"> (at the mid-BHE depth only)</w:t>
      </w:r>
      <w:r>
        <w:t xml:space="preserve"> and of ~</w:t>
      </w:r>
      <w:r w:rsidR="00E7477A">
        <w:t>5</w:t>
      </w:r>
      <w:r w:rsidR="00FC2D59">
        <w:t>0</w:t>
      </w:r>
      <w:r>
        <w:t xml:space="preserve"> m after 30 years</w:t>
      </w:r>
      <w:r w:rsidR="00FC2D59">
        <w:t xml:space="preserve"> (both at the surface and at the mid-BHE depth)</w:t>
      </w:r>
      <w:r w:rsidR="00AA4B6E">
        <w:t>. This represents a</w:t>
      </w:r>
      <w:r w:rsidR="00AA4B6E">
        <w:t xml:space="preserve"> footprint area</w:t>
      </w:r>
      <w:r w:rsidR="00AA4B6E">
        <w:t xml:space="preserve"> of ~8000 m</w:t>
      </w:r>
      <w:r w:rsidR="00C733B0">
        <w:t>², which is about 10 times the area predicted from the mathematical approaches (i.e. 908 m²) after 30 years. This larger area r</w:t>
      </w:r>
      <w:r w:rsidR="00AA4B6E">
        <w:t xml:space="preserve">esults from the combination of the discretisation effects (i.e. delayed propagation of the heat pulse away from the line source) and from the small threshold used to delineate the cone of depression (i.e. 0.1°C rather than 5°C). However, results suggests that constant heat extraction from BHE with limited geothermal heat recharge such as the UK can lead, over the long term, to ground temperature disturbances over large areas </w:t>
      </w:r>
      <w:commentRangeStart w:id="14"/>
      <w:r w:rsidR="00AA4B6E">
        <w:t>(i.e. about 40 times the surficial area of a single UK house),</w:t>
      </w:r>
      <w:commentRangeEnd w:id="14"/>
      <w:r w:rsidR="00AA4B6E">
        <w:rPr>
          <w:rStyle w:val="Marquedecommentaire"/>
        </w:rPr>
        <w:commentReference w:id="14"/>
      </w:r>
      <w:r w:rsidR="00AA4B6E">
        <w:t xml:space="preserve"> which can cause both environmental and engineering issues (i.e. interferences)</w:t>
      </w:r>
    </w:p>
    <w:p w14:paraId="25719A9D" w14:textId="1B03ACE2" w:rsidR="00AA4B6E" w:rsidRDefault="00AA4B6E" w:rsidP="00AA4B6E">
      <w:pPr>
        <w:spacing w:afterLines="80" w:after="192" w:line="480" w:lineRule="auto"/>
        <w:ind w:left="-4" w:firstLine="339"/>
        <w:jc w:val="center"/>
      </w:pPr>
      <w:r>
        <w:rPr>
          <w:noProof/>
        </w:rPr>
        <w:drawing>
          <wp:inline distT="0" distB="0" distL="0" distR="0" wp14:anchorId="0616893E" wp14:editId="4E973CC8">
            <wp:extent cx="4566285" cy="3719195"/>
            <wp:effectExtent l="0" t="0" r="571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6285" cy="3719195"/>
                    </a:xfrm>
                    <a:prstGeom prst="rect">
                      <a:avLst/>
                    </a:prstGeom>
                    <a:noFill/>
                  </pic:spPr>
                </pic:pic>
              </a:graphicData>
            </a:graphic>
          </wp:inline>
        </w:drawing>
      </w:r>
    </w:p>
    <w:p w14:paraId="5C037578" w14:textId="77777777" w:rsidR="00FC2D59" w:rsidRPr="000A73D2" w:rsidRDefault="00FC2D59" w:rsidP="000A73D2">
      <w:pPr>
        <w:pStyle w:val="Paragraphedeliste"/>
        <w:spacing w:afterLines="80" w:after="192" w:line="480" w:lineRule="auto"/>
      </w:pPr>
    </w:p>
    <w:p w14:paraId="326B6B87" w14:textId="3086B6D3" w:rsidR="000A73D2" w:rsidRDefault="000A73D2" w:rsidP="000A73D2">
      <w:pPr>
        <w:pStyle w:val="Paragraphedeliste"/>
        <w:numPr>
          <w:ilvl w:val="0"/>
          <w:numId w:val="1"/>
        </w:numPr>
        <w:spacing w:afterLines="80" w:after="192" w:line="480" w:lineRule="auto"/>
        <w:rPr>
          <w:color w:val="FF0000"/>
        </w:rPr>
      </w:pPr>
      <w:r>
        <w:rPr>
          <w:color w:val="FF0000"/>
        </w:rPr>
        <w:t>Discussion</w:t>
      </w:r>
    </w:p>
    <w:p w14:paraId="3B20803D" w14:textId="60418597" w:rsidR="00417C95" w:rsidRPr="00417C95" w:rsidRDefault="00417C95" w:rsidP="00417C95">
      <w:pPr>
        <w:spacing w:afterLines="80" w:after="192" w:line="480" w:lineRule="auto"/>
        <w:rPr>
          <w:color w:val="FF0000"/>
        </w:rPr>
      </w:pPr>
      <w:r>
        <w:t xml:space="preserve">The model described in this study represents a specific scenario that highly depends on the choice of the geometrical parameters and medium properties. Further analysis aimed at assessing the contribution from </w:t>
      </w:r>
      <w:r>
        <w:t xml:space="preserve">the </w:t>
      </w:r>
      <w:r>
        <w:t xml:space="preserve">borehole depth (i.e. distance from the upper boundary), borehole length (i.e. specific heat absorption rate), </w:t>
      </w:r>
      <w:r>
        <w:t xml:space="preserve">rock </w:t>
      </w:r>
      <w:r>
        <w:t>thermal conductivity</w:t>
      </w:r>
      <w:r>
        <w:t xml:space="preserve"> and </w:t>
      </w:r>
      <w:r>
        <w:t xml:space="preserve">model area on axial recharge and extent of temperature change in the system is </w:t>
      </w:r>
      <w:r>
        <w:t>here discussed</w:t>
      </w:r>
      <w:r>
        <w:t>.</w:t>
      </w:r>
    </w:p>
    <w:p w14:paraId="6BE700F7" w14:textId="61AA74E2" w:rsidR="00E82F0D" w:rsidRPr="00E82F0D" w:rsidRDefault="00E82F0D" w:rsidP="00E82F0D">
      <w:pPr>
        <w:pStyle w:val="Paragraphedeliste"/>
        <w:numPr>
          <w:ilvl w:val="1"/>
          <w:numId w:val="1"/>
        </w:numPr>
        <w:spacing w:afterLines="80" w:after="192" w:line="480" w:lineRule="auto"/>
        <w:rPr>
          <w:color w:val="FF0000"/>
        </w:rPr>
      </w:pPr>
      <w:r>
        <w:rPr>
          <w:color w:val="FF0000"/>
        </w:rPr>
        <w:t xml:space="preserve">Effects of borehole depth and length </w:t>
      </w:r>
    </w:p>
    <w:p w14:paraId="683900D1" w14:textId="40187A80" w:rsidR="00C733B0" w:rsidRDefault="00C733B0" w:rsidP="00C733B0">
      <w:pPr>
        <w:spacing w:afterLines="80" w:after="192" w:line="480" w:lineRule="auto"/>
        <w:rPr>
          <w:color w:val="FF0000"/>
        </w:rPr>
      </w:pPr>
      <w:r>
        <w:rPr>
          <w:color w:val="FF0000"/>
        </w:rPr>
        <w:t>D</w:t>
      </w:r>
      <w:r w:rsidRPr="00C733B0">
        <w:rPr>
          <w:color w:val="FF0000"/>
        </w:rPr>
        <w:t xml:space="preserve">uring </w:t>
      </w:r>
      <w:r>
        <w:rPr>
          <w:color w:val="FF0000"/>
        </w:rPr>
        <w:t xml:space="preserve">heat extraction, </w:t>
      </w:r>
      <w:r w:rsidRPr="00C733B0">
        <w:rPr>
          <w:color w:val="FF0000"/>
        </w:rPr>
        <w:t>the temperature distribution around BHEs is not equal to the undisturbed ground temperature from the surface to the bottom, and axial effects (i.e. vertical heat transfers) become important at both ends of the borehole</w:t>
      </w:r>
      <w:r>
        <w:rPr>
          <w:color w:val="FF0000"/>
        </w:rPr>
        <w:t xml:space="preserve"> (</w:t>
      </w:r>
      <w:r w:rsidRPr="00C733B0">
        <w:rPr>
          <w:color w:val="FF0000"/>
        </w:rPr>
        <w:t>Erol et al.</w:t>
      </w:r>
      <w:r>
        <w:rPr>
          <w:color w:val="FF0000"/>
        </w:rPr>
        <w:t xml:space="preserve">, </w:t>
      </w:r>
      <w:r w:rsidRPr="00C733B0">
        <w:rPr>
          <w:color w:val="FF0000"/>
        </w:rPr>
        <w:t>2015).</w:t>
      </w:r>
      <w:r>
        <w:rPr>
          <w:color w:val="FF0000"/>
        </w:rPr>
        <w:t xml:space="preserve"> </w:t>
      </w:r>
      <w:r w:rsidRPr="00C733B0">
        <w:rPr>
          <w:color w:val="FF0000"/>
        </w:rPr>
        <w:t xml:space="preserve">Using surface heat </w:t>
      </w:r>
      <w:r>
        <w:rPr>
          <w:color w:val="FF0000"/>
        </w:rPr>
        <w:t xml:space="preserve">flux </w:t>
      </w:r>
      <w:r w:rsidRPr="00C733B0">
        <w:rPr>
          <w:color w:val="FF0000"/>
        </w:rPr>
        <w:t xml:space="preserve">(e.g. Saadi and Gomri, 2017; Erol et al., 2015) rather than a constant temperature (e.g. Zhao </w:t>
      </w:r>
      <w:r w:rsidRPr="00C733B0">
        <w:rPr>
          <w:i/>
          <w:iCs/>
          <w:color w:val="FF0000"/>
        </w:rPr>
        <w:t>et al.,</w:t>
      </w:r>
      <w:r w:rsidRPr="00C733B0">
        <w:rPr>
          <w:color w:val="FF0000"/>
        </w:rPr>
        <w:t xml:space="preserve"> 2020)</w:t>
      </w:r>
      <w:r>
        <w:rPr>
          <w:color w:val="FF0000"/>
        </w:rPr>
        <w:t xml:space="preserve"> at the surface </w:t>
      </w:r>
      <w:r w:rsidRPr="00C733B0">
        <w:rPr>
          <w:color w:val="FF0000"/>
        </w:rPr>
        <w:t>permits to account for potential temperature decline at the surface and avoid overestimating the available recharge</w:t>
      </w:r>
      <w:r>
        <w:rPr>
          <w:color w:val="FF0000"/>
        </w:rPr>
        <w:t xml:space="preserve"> when heat is extracted from shallow depths.</w:t>
      </w:r>
    </w:p>
    <w:p w14:paraId="523A33D0" w14:textId="19E2FE0E" w:rsidR="00100BF3" w:rsidRDefault="008A4E2E" w:rsidP="00D51AE9">
      <w:pPr>
        <w:spacing w:afterLines="80" w:after="192" w:line="480" w:lineRule="auto"/>
        <w:rPr>
          <w:color w:val="FF0000"/>
        </w:rPr>
      </w:pPr>
      <w:r>
        <w:rPr>
          <w:color w:val="FF0000"/>
        </w:rPr>
        <w:t xml:space="preserve">We investigate the effects of a greater borehole depth (i.e. located between 50 and 150-m depth) and smaller borehole length (i.e. 40-m long) on the relative contribution of axial and radial heat recharge over time. Results presented in Supplementary Material SM xxx suggests that </w:t>
      </w:r>
      <w:r w:rsidR="00330943">
        <w:rPr>
          <w:color w:val="FF0000"/>
        </w:rPr>
        <w:t xml:space="preserve">increasing the depth by 40-m below the surface </w:t>
      </w:r>
      <w:r>
        <w:rPr>
          <w:color w:val="FF0000"/>
        </w:rPr>
        <w:t xml:space="preserve">increases the contribution from axial recharge </w:t>
      </w:r>
      <w:r w:rsidR="00201EF0">
        <w:rPr>
          <w:color w:val="FF0000"/>
        </w:rPr>
        <w:t xml:space="preserve">only </w:t>
      </w:r>
      <w:r>
        <w:rPr>
          <w:color w:val="FF0000"/>
        </w:rPr>
        <w:t>by 4% after 30 years</w:t>
      </w:r>
      <w:r w:rsidR="00330943">
        <w:rPr>
          <w:color w:val="FF0000"/>
        </w:rPr>
        <w:t xml:space="preserve"> </w:t>
      </w:r>
      <w:r w:rsidR="00330943">
        <w:rPr>
          <w:color w:val="FF0000"/>
        </w:rPr>
        <w:t>for a 100-m long BHE,</w:t>
      </w:r>
      <w:r>
        <w:rPr>
          <w:color w:val="FF0000"/>
        </w:rPr>
        <w:t xml:space="preserve"> </w:t>
      </w:r>
      <w:r w:rsidR="00330943">
        <w:rPr>
          <w:color w:val="FF0000"/>
        </w:rPr>
        <w:t xml:space="preserve">and by 8% for a smaller 40-m long BHE. </w:t>
      </w:r>
    </w:p>
    <w:p w14:paraId="24F13D90" w14:textId="4BF04859" w:rsidR="00D51AE9" w:rsidRDefault="00201EF0" w:rsidP="00D51AE9">
      <w:pPr>
        <w:spacing w:afterLines="80" w:after="192" w:line="480" w:lineRule="auto"/>
        <w:rPr>
          <w:color w:val="FF0000"/>
        </w:rPr>
      </w:pPr>
      <w:r>
        <w:rPr>
          <w:color w:val="FF0000"/>
        </w:rPr>
        <w:t xml:space="preserve"> </w:t>
      </w:r>
      <w:r w:rsidR="00330943">
        <w:rPr>
          <w:color w:val="FF0000"/>
        </w:rPr>
        <w:t xml:space="preserve">In a scenario with a smaller borehole, the volume of rock located </w:t>
      </w:r>
      <w:r w:rsidR="008A4E2E">
        <w:rPr>
          <w:color w:val="FF0000"/>
        </w:rPr>
        <w:t xml:space="preserve">above the borehole </w:t>
      </w:r>
      <w:r w:rsidR="00330943">
        <w:rPr>
          <w:color w:val="FF0000"/>
        </w:rPr>
        <w:t xml:space="preserve">is larger than for a longer BHE, as the impact area is increased in order to </w:t>
      </w:r>
      <w:r w:rsidR="008A4E2E">
        <w:rPr>
          <w:color w:val="FF0000"/>
        </w:rPr>
        <w:t>match the volume of rock required for heat extraction (i.e. section XXX</w:t>
      </w:r>
      <w:r>
        <w:rPr>
          <w:color w:val="FF0000"/>
        </w:rPr>
        <w:t>)</w:t>
      </w:r>
      <w:r w:rsidR="00330943">
        <w:rPr>
          <w:color w:val="FF0000"/>
        </w:rPr>
        <w:t xml:space="preserve">, which explain the higher contribution from axial recharge. </w:t>
      </w:r>
      <w:r>
        <w:rPr>
          <w:color w:val="FF0000"/>
        </w:rPr>
        <w:t xml:space="preserve"> </w:t>
      </w:r>
      <w:r w:rsidR="00330943">
        <w:rPr>
          <w:color w:val="FF0000"/>
        </w:rPr>
        <w:t xml:space="preserve">For a </w:t>
      </w:r>
      <w:r w:rsidR="009C1022">
        <w:rPr>
          <w:color w:val="FF0000"/>
        </w:rPr>
        <w:t>shallow 40-m long borehole</w:t>
      </w:r>
      <w:r w:rsidR="00330943">
        <w:rPr>
          <w:color w:val="FF0000"/>
        </w:rPr>
        <w:t>, those are in the order of 10% after 1 year and 40% after 30 years (against 5% and 18% for the 100-m BHE, respectively). The larger impact area</w:t>
      </w:r>
      <w:r w:rsidR="009C1022">
        <w:rPr>
          <w:color w:val="FF0000"/>
        </w:rPr>
        <w:t xml:space="preserve"> (i.e. 73-m² after </w:t>
      </w:r>
      <w:r w:rsidR="00D51AE9">
        <w:rPr>
          <w:color w:val="FF0000"/>
        </w:rPr>
        <w:t>1</w:t>
      </w:r>
      <w:r w:rsidR="009C1022">
        <w:rPr>
          <w:color w:val="FF0000"/>
        </w:rPr>
        <w:t xml:space="preserve"> year and 2180-m² after 30 years)</w:t>
      </w:r>
      <w:r w:rsidR="00330943">
        <w:rPr>
          <w:color w:val="FF0000"/>
        </w:rPr>
        <w:t xml:space="preserve"> also tends to </w:t>
      </w:r>
      <w:r w:rsidR="009C1022">
        <w:rPr>
          <w:color w:val="FF0000"/>
        </w:rPr>
        <w:t xml:space="preserve">increase the contribution </w:t>
      </w:r>
      <w:r w:rsidR="00D51AE9">
        <w:rPr>
          <w:color w:val="FF0000"/>
        </w:rPr>
        <w:t xml:space="preserve">of the corresponding volume of rocks in the 3D models, up to 36% for the area located at x &lt; 4.8-m within the first year </w:t>
      </w:r>
      <w:r w:rsidR="007345A9">
        <w:rPr>
          <w:color w:val="FF0000"/>
        </w:rPr>
        <w:t xml:space="preserve">(and 98% from the area located at x &lt; 26.3-m) </w:t>
      </w:r>
      <w:r w:rsidR="00D51AE9">
        <w:rPr>
          <w:color w:val="FF0000"/>
        </w:rPr>
        <w:t xml:space="preserve">and up to 44% for the area located at </w:t>
      </w:r>
      <w:r w:rsidR="00D51AE9">
        <w:rPr>
          <w:color w:val="FF0000"/>
        </w:rPr>
        <w:t>x &lt; 26.3-m</w:t>
      </w:r>
      <w:r w:rsidR="00D51AE9">
        <w:rPr>
          <w:color w:val="FF0000"/>
        </w:rPr>
        <w:t xml:space="preserve"> after 30 years (against 21% and 25% for the 100-m BHE).</w:t>
      </w:r>
    </w:p>
    <w:p w14:paraId="6E36C9EC" w14:textId="3BC3FB0B" w:rsidR="00417C95" w:rsidRDefault="00417C95" w:rsidP="00B92F75">
      <w:pPr>
        <w:spacing w:afterLines="80" w:after="192" w:line="480" w:lineRule="auto"/>
        <w:ind w:left="-4" w:firstLine="717"/>
      </w:pPr>
      <w:r w:rsidRPr="00AC138C">
        <w:t xml:space="preserve">As the extension of the layer impacted by downward fluxes reach the surface, the lack of </w:t>
      </w:r>
      <w:r>
        <w:t xml:space="preserve">recharge at the surface implies that </w:t>
      </w:r>
      <w:r w:rsidRPr="00AC138C">
        <w:t xml:space="preserve">steady </w:t>
      </w:r>
      <w:r>
        <w:t xml:space="preserve">axial fluxes cannot be reached above the borehole, resulting in a </w:t>
      </w:r>
      <w:r w:rsidR="00B92F75">
        <w:t>higher temperature drop</w:t>
      </w:r>
      <w:r>
        <w:t xml:space="preserve">. </w:t>
      </w:r>
      <w:r w:rsidR="00B92F75" w:rsidRPr="007A0603">
        <w:t xml:space="preserve">This heat mining effect </w:t>
      </w:r>
      <w:r w:rsidR="00B92F75">
        <w:t xml:space="preserve">close to the surface </w:t>
      </w:r>
      <w:r w:rsidR="00B92F75">
        <w:t xml:space="preserve">is particularly visible in the 1D models, where the amount of heat available is constrained by the model area and no recharge is provided from lateral areas (Fig. 5). </w:t>
      </w:r>
      <w:r w:rsidR="00B92F75">
        <w:t xml:space="preserve">It is also </w:t>
      </w:r>
      <w:r w:rsidR="00B92F75" w:rsidRPr="007A0603">
        <w:t>amplified by the proximity of the borehole to the top boundary of the model</w:t>
      </w:r>
      <w:r w:rsidR="00B92F75">
        <w:t xml:space="preserve">. </w:t>
      </w:r>
      <w:r w:rsidR="00B92F75">
        <w:t xml:space="preserve">Although increasing the borehole depth favours axial recharge and restrains the drop in temperature at the borehole, this has a limited effect on the areal impact of heat extraction. </w:t>
      </w:r>
    </w:p>
    <w:p w14:paraId="2A107B70" w14:textId="43FC7CE7" w:rsidR="00586617" w:rsidRDefault="00586617" w:rsidP="00586617">
      <w:pPr>
        <w:pStyle w:val="Paragraphedeliste"/>
        <w:numPr>
          <w:ilvl w:val="1"/>
          <w:numId w:val="1"/>
        </w:numPr>
        <w:spacing w:afterLines="80" w:after="192" w:line="480" w:lineRule="auto"/>
      </w:pPr>
      <w:r>
        <w:t xml:space="preserve">Effect of the ground heat conductivity </w:t>
      </w:r>
    </w:p>
    <w:p w14:paraId="54B09F7A" w14:textId="77777777" w:rsidR="00B92F75" w:rsidRDefault="00B92F75" w:rsidP="00B92F75">
      <w:pPr>
        <w:spacing w:afterLines="80" w:after="192" w:line="480" w:lineRule="auto"/>
      </w:pPr>
      <w:r>
        <w:t xml:space="preserve">Increasing the borehole length allows decreasing the specific heat extraction rate from 25 W/m for a 40-m long borehole to 5 W/m for a 200 m long borehole. However, a deep borehole generally required significant investment costs, and therefore improving the thermal conductivity of the medium around the heat exchanger is often seen as a more effective means to access the energy required over the long term and prevent from the accumulation of cold at the borehole (Chen </w:t>
      </w:r>
      <w:r w:rsidRPr="00B92F75">
        <w:rPr>
          <w:i/>
          <w:iCs/>
        </w:rPr>
        <w:t>et al.,</w:t>
      </w:r>
      <w:r>
        <w:t xml:space="preserve"> 2020).  </w:t>
      </w:r>
      <w:commentRangeStart w:id="15"/>
      <w:r>
        <w:t xml:space="preserve">However, this study highlights the antagonism between the need to ensure the BHE efficiency and the sustainability of a geological resource within a constrained footprint area. </w:t>
      </w:r>
      <w:commentRangeEnd w:id="15"/>
      <w:r>
        <w:rPr>
          <w:rStyle w:val="Marquedecommentaire"/>
        </w:rPr>
        <w:commentReference w:id="15"/>
      </w:r>
    </w:p>
    <w:p w14:paraId="08C94E46" w14:textId="0DD2A7FA" w:rsidR="00417C95" w:rsidRDefault="00417C95" w:rsidP="00586617">
      <w:pPr>
        <w:spacing w:afterLines="80" w:after="192" w:line="480" w:lineRule="auto"/>
      </w:pPr>
      <w:r>
        <w:t xml:space="preserve">The result of the sensitivity analysis presented in SM 2 shows that for a given production time the areal impact of heat extraction mostly depends on the thermal conductivity of the rock and on the borehole length, which are inversely proportional to the temperature decline at the borehole. </w:t>
      </w:r>
    </w:p>
    <w:p w14:paraId="027C24AF" w14:textId="6D00DC94" w:rsidR="00C733B0" w:rsidRPr="00586617" w:rsidRDefault="00C733B0" w:rsidP="00586617">
      <w:pPr>
        <w:pStyle w:val="Paragraphedeliste"/>
        <w:numPr>
          <w:ilvl w:val="1"/>
          <w:numId w:val="1"/>
        </w:numPr>
        <w:spacing w:afterLines="80" w:after="192" w:line="480" w:lineRule="auto"/>
        <w:rPr>
          <w:color w:val="FF0000"/>
        </w:rPr>
      </w:pPr>
      <w:r w:rsidRPr="00586617">
        <w:rPr>
          <w:color w:val="FF0000"/>
        </w:rPr>
        <w:t xml:space="preserve">Effects of </w:t>
      </w:r>
      <w:r w:rsidRPr="00586617">
        <w:rPr>
          <w:color w:val="FF0000"/>
        </w:rPr>
        <w:t>solar variations</w:t>
      </w:r>
      <w:r w:rsidRPr="00586617">
        <w:rPr>
          <w:color w:val="FF0000"/>
        </w:rPr>
        <w:t xml:space="preserve"> </w:t>
      </w:r>
    </w:p>
    <w:p w14:paraId="15618708" w14:textId="097A881E" w:rsidR="002D5964" w:rsidRDefault="00C733B0" w:rsidP="00586617">
      <w:pPr>
        <w:spacing w:afterLines="80" w:after="192" w:line="480" w:lineRule="auto"/>
      </w:pPr>
      <w:r>
        <w:t xml:space="preserve">Although the models presented use heat flux boundary conditions, here we neglect the increase in surface heat flux from the atmosphere to the ground induced by cooling at the ground </w:t>
      </w:r>
      <w:commentRangeStart w:id="16"/>
      <w:r>
        <w:t>surface</w:t>
      </w:r>
      <w:commentRangeEnd w:id="16"/>
      <w:r>
        <w:rPr>
          <w:rStyle w:val="Marquedecommentaire"/>
        </w:rPr>
        <w:commentReference w:id="16"/>
      </w:r>
      <w:r>
        <w:t xml:space="preserve">. </w:t>
      </w:r>
    </w:p>
    <w:p w14:paraId="5EA51810" w14:textId="40E249DE" w:rsidR="00417C95" w:rsidRDefault="00417C95" w:rsidP="00417C95">
      <w:pPr>
        <w:spacing w:afterLines="80" w:after="192" w:line="480" w:lineRule="auto"/>
        <w:ind w:left="-4" w:firstLine="717"/>
      </w:pPr>
      <w:r>
        <w:t xml:space="preserve">Using a fluctuating surface heat flux representing the yearly fluctuations in the surface temperature, numerical results show that recharge from the surface can be increased by 10%, in accordance with the analytical model presented in section </w:t>
      </w:r>
      <w:r>
        <w:t>xxx</w:t>
      </w:r>
    </w:p>
    <w:p w14:paraId="3CC4A2C4" w14:textId="41120EBE" w:rsidR="00417C95" w:rsidRDefault="00B92F75" w:rsidP="00B92F75">
      <w:pPr>
        <w:pStyle w:val="Paragraphedeliste"/>
        <w:numPr>
          <w:ilvl w:val="1"/>
          <w:numId w:val="1"/>
        </w:numPr>
        <w:spacing w:afterLines="80" w:after="192" w:line="480" w:lineRule="auto"/>
      </w:pPr>
      <w:commentRangeStart w:id="17"/>
      <w:r>
        <w:t>Sustainability and cyclical heat extraction</w:t>
      </w:r>
      <w:commentRangeEnd w:id="17"/>
      <w:r w:rsidR="006526FE">
        <w:rPr>
          <w:rStyle w:val="Marquedecommentaire"/>
          <w:rFonts w:ascii="Calibri" w:eastAsia="Calibri" w:hAnsi="Calibri" w:cs="Calibri"/>
          <w:color w:val="000000"/>
          <w:lang w:eastAsia="en-GB"/>
        </w:rPr>
        <w:commentReference w:id="17"/>
      </w:r>
    </w:p>
    <w:p w14:paraId="6CCC5CDF" w14:textId="1B63BC0F" w:rsidR="00B92F75" w:rsidRDefault="00B92F75" w:rsidP="00B92F75">
      <w:pPr>
        <w:spacing w:afterLines="80" w:after="192" w:line="480" w:lineRule="auto"/>
      </w:pPr>
    </w:p>
    <w:p w14:paraId="622BD5E9" w14:textId="77777777" w:rsidR="00F57D5F" w:rsidRDefault="00F57D5F" w:rsidP="00F57D5F">
      <w:pPr>
        <w:spacing w:afterLines="80" w:after="192" w:line="480" w:lineRule="auto"/>
        <w:ind w:left="-4" w:firstLine="339"/>
      </w:pPr>
      <w:r>
        <w:t>S</w:t>
      </w:r>
      <w:r w:rsidR="00B92F75">
        <w:t xml:space="preserve">tudies in China (i.e. Li and Lai, 2015; Wang </w:t>
      </w:r>
      <w:r w:rsidR="00B92F75" w:rsidRPr="005639F0">
        <w:rPr>
          <w:i/>
          <w:iCs/>
        </w:rPr>
        <w:t>et al.,</w:t>
      </w:r>
      <w:r w:rsidR="00B92F75">
        <w:t xml:space="preserve"> 2012) have warned on the irreversible cooling of the ground caused by yearly imbalances in heat extraction/injection from </w:t>
      </w:r>
      <w:r>
        <w:t>vertical GSHP</w:t>
      </w:r>
      <w:r w:rsidR="00B92F75">
        <w:t xml:space="preserve"> in cold areas where the cooling needs are low and for large-scale systems with long operational periods (Gao </w:t>
      </w:r>
      <w:r w:rsidR="00B92F75" w:rsidRPr="005639F0">
        <w:rPr>
          <w:i/>
          <w:iCs/>
        </w:rPr>
        <w:t>et al.,</w:t>
      </w:r>
      <w:r w:rsidR="00B92F75">
        <w:t xml:space="preserve"> 2015). Several studies have shown that sustainable heat extraction and elimination of the cooling load accumulated into the ground can be achieved by cyclic production or through the provision of additional artificial heat recharge during the non-heating season, such as solar thermal energy and industrial waste heat recharge (Cui </w:t>
      </w:r>
      <w:r w:rsidR="00B92F75" w:rsidRPr="005639F0">
        <w:rPr>
          <w:i/>
          <w:iCs/>
        </w:rPr>
        <w:t>et al.,</w:t>
      </w:r>
      <w:r w:rsidR="00B92F75">
        <w:t xml:space="preserve"> 2015; Cruickshank and Baldwin, 2016). Experimental studies conducted by Trillat-Berdal </w:t>
      </w:r>
      <w:r w:rsidR="00B92F75" w:rsidRPr="005639F0">
        <w:rPr>
          <w:i/>
          <w:iCs/>
        </w:rPr>
        <w:t>et al.</w:t>
      </w:r>
      <w:r w:rsidR="00B92F75">
        <w:rPr>
          <w:i/>
          <w:iCs/>
        </w:rPr>
        <w:t xml:space="preserve"> </w:t>
      </w:r>
      <w:r w:rsidR="00B92F75">
        <w:t>(2006) showed that the ground thermal loads could be balanced by a system combining a geothermal coupled heat pump and thermal solar collector, when the excess heat not used for hot water heating is injected into the ground, and the heat pump is used in either cooling or heating mode. Cui et al. (2015) performed similar analysis on the performances of seasonal storage of industrial waste heat, by developing a heat transfer model for vertical GHE boreholes with multi-stage series connections</w:t>
      </w:r>
      <w:r>
        <w:t>.</w:t>
      </w:r>
    </w:p>
    <w:p w14:paraId="61304207" w14:textId="6016B508" w:rsidR="00F57D5F" w:rsidRPr="00F57D5F" w:rsidRDefault="00B92F75" w:rsidP="00F57D5F">
      <w:pPr>
        <w:spacing w:afterLines="80" w:after="192" w:line="480" w:lineRule="auto"/>
        <w:ind w:left="-4" w:firstLine="339"/>
      </w:pPr>
      <w:r>
        <w:t xml:space="preserve"> The analysis presented in Fig. 5 confirmed that </w:t>
      </w:r>
      <w:r w:rsidR="00F57D5F" w:rsidRPr="00F57D5F">
        <w:t xml:space="preserve">although steady-state temperatures can be achieved at the borehole in the conditions of our case study, our analysis indicates that stable borehole temperatures are not indicative of a non-evolving thermal footprint. As the thermal footprint continues to expand with continued extraction, this has major implications for planning and licensing of BHEs in close proximity due to the potential risk of thermal interference and reduced performance. </w:t>
      </w:r>
    </w:p>
    <w:p w14:paraId="4A870072" w14:textId="76AFCEFB" w:rsidR="00E82F0D" w:rsidRDefault="00C733B0" w:rsidP="00C733B0">
      <w:pPr>
        <w:pStyle w:val="Paragraphedeliste"/>
        <w:numPr>
          <w:ilvl w:val="0"/>
          <w:numId w:val="1"/>
        </w:numPr>
        <w:spacing w:afterLines="80" w:after="192" w:line="480" w:lineRule="auto"/>
        <w:rPr>
          <w:color w:val="FF0000"/>
        </w:rPr>
      </w:pPr>
      <w:r>
        <w:rPr>
          <w:color w:val="FF0000"/>
        </w:rPr>
        <w:t>Conclusion</w:t>
      </w:r>
    </w:p>
    <w:p w14:paraId="2B475E11" w14:textId="77777777" w:rsidR="00F57D5F" w:rsidRDefault="00F57D5F" w:rsidP="00F57D5F">
      <w:pPr>
        <w:spacing w:afterLines="80" w:after="192" w:line="480" w:lineRule="auto"/>
        <w:rPr>
          <w:color w:val="FF0000"/>
        </w:rPr>
      </w:pPr>
      <w:r>
        <w:rPr>
          <w:color w:val="FF0000"/>
        </w:rPr>
        <w:t>Based on a combination of sub-surface energy balance for the Midland Valley of Scotland, heat consumption data, analytical and numerical models, we showed that:</w:t>
      </w:r>
    </w:p>
    <w:p w14:paraId="47BD398B" w14:textId="36734974" w:rsidR="00677955" w:rsidRPr="00677955" w:rsidRDefault="00677955" w:rsidP="00677955">
      <w:pPr>
        <w:pStyle w:val="Paragraphedeliste"/>
        <w:numPr>
          <w:ilvl w:val="0"/>
          <w:numId w:val="10"/>
        </w:numPr>
        <w:spacing w:afterLines="80" w:after="192" w:line="480" w:lineRule="auto"/>
        <w:rPr>
          <w:color w:val="FF0000"/>
        </w:rPr>
      </w:pPr>
      <w:r>
        <w:t>Sustainability near surface energy – engineering but not from resource perspective</w:t>
      </w:r>
      <w:r>
        <w:t xml:space="preserve">: </w:t>
      </w:r>
      <w:r w:rsidRPr="004D73DF">
        <w:t>energy balance in the shallow sub-surface (i.e. &lt; 100 m) cannot be</w:t>
      </w:r>
      <w:commentRangeStart w:id="18"/>
      <w:r w:rsidRPr="004D73DF">
        <w:t xml:space="preserve"> naturally reached over the long term</w:t>
      </w:r>
      <w:r>
        <w:t xml:space="preserve"> </w:t>
      </w:r>
      <w:commentRangeEnd w:id="18"/>
      <w:r>
        <w:rPr>
          <w:rStyle w:val="Marquedecommentaire"/>
        </w:rPr>
        <w:commentReference w:id="18"/>
      </w:r>
      <w:r>
        <w:t>and thus steady-state temperature conditions cannot be reached away from the borehole</w:t>
      </w:r>
    </w:p>
    <w:p w14:paraId="7DA1B222" w14:textId="77777777" w:rsidR="00677955" w:rsidRPr="00677955" w:rsidRDefault="00677955" w:rsidP="00677955">
      <w:pPr>
        <w:pStyle w:val="Paragraphedeliste"/>
        <w:numPr>
          <w:ilvl w:val="0"/>
          <w:numId w:val="10"/>
        </w:numPr>
        <w:spacing w:afterLines="80" w:after="192" w:line="480" w:lineRule="auto"/>
        <w:rPr>
          <w:color w:val="FF0000"/>
        </w:rPr>
      </w:pPr>
      <w:r w:rsidRPr="00677955">
        <w:rPr>
          <w:lang w:val="fr-FR"/>
        </w:rPr>
        <w:t xml:space="preserve">Solar recharge 1.8 W/m² -- 11% maximum </w:t>
      </w:r>
    </w:p>
    <w:p w14:paraId="1E371056" w14:textId="5163C26A" w:rsidR="00677955" w:rsidRPr="00677955" w:rsidRDefault="00677955" w:rsidP="00677955">
      <w:pPr>
        <w:pStyle w:val="Paragraphedeliste"/>
        <w:numPr>
          <w:ilvl w:val="0"/>
          <w:numId w:val="10"/>
        </w:numPr>
        <w:spacing w:afterLines="80" w:after="192" w:line="480" w:lineRule="auto"/>
        <w:rPr>
          <w:color w:val="FF0000"/>
        </w:rPr>
      </w:pPr>
      <w:r>
        <w:t>Interaction heat extraction – footprint for extracting 15 000 W/m² (single house)</w:t>
      </w:r>
      <w:r>
        <w:t xml:space="preserve"> int he considered scenario– </w:t>
      </w:r>
      <w:r>
        <w:t xml:space="preserve">Although high conductivity rocks are generally preferred to avoid a fast cooling at the borehole location and ensure sustainable BHE, </w:t>
      </w:r>
      <w:r w:rsidRPr="00A34334">
        <w:t>it also considerably impacts the extent of heat depletion.</w:t>
      </w:r>
      <w:r>
        <w:t xml:space="preserve"> In a context where geothermal energy becomes of real interest, constraining the footprint area of heat extraction is essential to avoid interferences.</w:t>
      </w:r>
    </w:p>
    <w:p w14:paraId="08EDD781" w14:textId="6EB9E215" w:rsidR="00677955" w:rsidRPr="00677955" w:rsidRDefault="00677955" w:rsidP="00F57D5F">
      <w:pPr>
        <w:pStyle w:val="Paragraphedeliste"/>
        <w:numPr>
          <w:ilvl w:val="0"/>
          <w:numId w:val="10"/>
        </w:numPr>
        <w:spacing w:afterLines="80" w:after="192" w:line="480" w:lineRule="auto"/>
        <w:rPr>
          <w:color w:val="FF0000"/>
        </w:rPr>
      </w:pPr>
      <w:r>
        <w:t xml:space="preserve">Equivalent area house needs to extract – artificial heat recharge </w:t>
      </w:r>
      <w:r>
        <w:t xml:space="preserve">: </w:t>
      </w:r>
      <w:r>
        <w:t>This study confirms that in geographical areas with low geothermal heat flux and low in-situ heat production, cyclical production and/or artificial heat recharge of BHEs is required to ensure sustainable heat extraction and limit the footprint area impacted by heat mining</w:t>
      </w:r>
    </w:p>
    <w:p w14:paraId="51A46A8B" w14:textId="03FCF4F1" w:rsidR="00F57D5F" w:rsidRDefault="00F57D5F" w:rsidP="00F57D5F">
      <w:pPr>
        <w:pStyle w:val="Paragraphedeliste"/>
        <w:numPr>
          <w:ilvl w:val="0"/>
          <w:numId w:val="10"/>
        </w:numPr>
        <w:spacing w:afterLines="80" w:after="192" w:line="480" w:lineRule="auto"/>
        <w:rPr>
          <w:color w:val="FF0000"/>
        </w:rPr>
      </w:pPr>
      <w:r w:rsidRPr="00F57D5F">
        <w:rPr>
          <w:color w:val="FF0000"/>
        </w:rPr>
        <w:t xml:space="preserve"> </w:t>
      </w:r>
    </w:p>
    <w:p w14:paraId="1A4D6B97" w14:textId="78E59277" w:rsidR="006526FE" w:rsidRDefault="006526FE" w:rsidP="006526FE">
      <w:pPr>
        <w:spacing w:afterLines="80" w:after="192" w:line="480" w:lineRule="auto"/>
        <w:rPr>
          <w:color w:val="FF0000"/>
        </w:rPr>
      </w:pPr>
    </w:p>
    <w:p w14:paraId="1A30D3AC" w14:textId="5E352B73" w:rsidR="006526FE" w:rsidRDefault="006526FE" w:rsidP="006526FE">
      <w:pPr>
        <w:spacing w:afterLines="80" w:after="192" w:line="480" w:lineRule="auto"/>
        <w:rPr>
          <w:color w:val="FF0000"/>
        </w:rPr>
      </w:pPr>
    </w:p>
    <w:p w14:paraId="5E4F4524" w14:textId="77777777" w:rsidR="006526FE" w:rsidRDefault="006526FE" w:rsidP="006526FE">
      <w:r>
        <w:rPr>
          <w:color w:val="FF0000"/>
        </w:rPr>
        <w:t xml:space="preserve">Check story: </w:t>
      </w:r>
      <w:r>
        <w:t xml:space="preserve">Gas boiler </w:t>
      </w:r>
      <w:r>
        <w:sym w:font="Wingdings" w:char="F0E0"/>
      </w:r>
      <w:r>
        <w:t xml:space="preserve"> get rid of it </w:t>
      </w:r>
      <w:r>
        <w:sym w:font="Wingdings" w:char="F0E0"/>
      </w:r>
      <w:r>
        <w:t xml:space="preserve"> extract heat </w:t>
      </w:r>
      <w:r>
        <w:sym w:font="Wingdings" w:char="F0E0"/>
      </w:r>
      <w:r>
        <w:t xml:space="preserve"> who owns it / available </w:t>
      </w:r>
      <w:r>
        <w:sym w:font="Wingdings" w:char="F0E0"/>
      </w:r>
      <w:r>
        <w:t xml:space="preserve"> not as warm as they thought </w:t>
      </w:r>
    </w:p>
    <w:p w14:paraId="067D2B58" w14:textId="77777777" w:rsidR="00565CC0" w:rsidRPr="006407F6" w:rsidRDefault="00565CC0" w:rsidP="00565CC0">
      <w:pPr>
        <w:pStyle w:val="Paragraphedeliste"/>
        <w:numPr>
          <w:ilvl w:val="0"/>
          <w:numId w:val="4"/>
        </w:numPr>
      </w:pPr>
      <w:r w:rsidRPr="006407F6">
        <w:t xml:space="preserve">Heat balance </w:t>
      </w:r>
    </w:p>
    <w:p w14:paraId="0AF4775C" w14:textId="77777777" w:rsidR="00565CC0" w:rsidRDefault="00565CC0" w:rsidP="00565CC0">
      <w:pPr>
        <w:pStyle w:val="Paragraphedeliste"/>
        <w:numPr>
          <w:ilvl w:val="1"/>
          <w:numId w:val="1"/>
        </w:numPr>
      </w:pPr>
      <w:bookmarkStart w:id="19" w:name="_Hlk68766275"/>
      <w:r w:rsidRPr="006407F6">
        <w:t xml:space="preserve">Energy requirements </w:t>
      </w:r>
      <w:r>
        <w:t>for a single UK house</w:t>
      </w:r>
    </w:p>
    <w:p w14:paraId="5F93B439" w14:textId="77777777" w:rsidR="00565CC0" w:rsidRDefault="00565CC0" w:rsidP="00565CC0">
      <w:pPr>
        <w:pStyle w:val="Paragraphedeliste"/>
        <w:numPr>
          <w:ilvl w:val="1"/>
          <w:numId w:val="1"/>
        </w:numPr>
      </w:pPr>
      <w:r w:rsidRPr="006407F6">
        <w:t xml:space="preserve">Geothermal flux </w:t>
      </w:r>
    </w:p>
    <w:p w14:paraId="4075EA90" w14:textId="77777777" w:rsidR="00565CC0" w:rsidRPr="006407F6" w:rsidRDefault="00565CC0" w:rsidP="00565CC0">
      <w:pPr>
        <w:pStyle w:val="Paragraphedeliste"/>
        <w:numPr>
          <w:ilvl w:val="1"/>
          <w:numId w:val="1"/>
        </w:numPr>
      </w:pPr>
      <w:r w:rsidRPr="006407F6">
        <w:t>solar heat recharge</w:t>
      </w:r>
      <w:r>
        <w:t xml:space="preserve">: </w:t>
      </w:r>
      <w:r w:rsidRPr="002F193F">
        <w:t xml:space="preserve">Solar recharge 1.8 W/m² -- 11% maximum </w:t>
      </w:r>
    </w:p>
    <w:bookmarkEnd w:id="19"/>
    <w:p w14:paraId="06B479D2" w14:textId="77777777" w:rsidR="00565CC0" w:rsidRPr="006407F6" w:rsidRDefault="00565CC0" w:rsidP="00565CC0">
      <w:pPr>
        <w:pStyle w:val="Paragraphedeliste"/>
        <w:numPr>
          <w:ilvl w:val="0"/>
          <w:numId w:val="4"/>
        </w:numPr>
      </w:pPr>
      <w:r w:rsidRPr="006407F6">
        <w:t xml:space="preserve">Footprint area of heat extraction from numerical modelling </w:t>
      </w:r>
    </w:p>
    <w:p w14:paraId="54B22928" w14:textId="77777777" w:rsidR="00565CC0" w:rsidRPr="006407F6" w:rsidRDefault="00565CC0" w:rsidP="00565CC0">
      <w:pPr>
        <w:pStyle w:val="Paragraphedeliste"/>
        <w:numPr>
          <w:ilvl w:val="1"/>
          <w:numId w:val="1"/>
        </w:numPr>
      </w:pPr>
      <w:r w:rsidRPr="006407F6">
        <w:t>Areal impact</w:t>
      </w:r>
      <w:r>
        <w:t xml:space="preserve"> from interaction heat extraction – footprint for extracting 15 000 W/m² (single house)</w:t>
      </w:r>
    </w:p>
    <w:p w14:paraId="51E1C264" w14:textId="77777777" w:rsidR="00565CC0" w:rsidRPr="006407F6" w:rsidRDefault="00565CC0" w:rsidP="00565CC0">
      <w:pPr>
        <w:pStyle w:val="Paragraphedeliste"/>
        <w:numPr>
          <w:ilvl w:val="1"/>
          <w:numId w:val="1"/>
        </w:numPr>
      </w:pPr>
      <w:r w:rsidRPr="006407F6">
        <w:t>Sustainability of near surface</w:t>
      </w:r>
      <w:r w:rsidRPr="002F193F">
        <w:t xml:space="preserve"> </w:t>
      </w:r>
      <w:r>
        <w:t xml:space="preserve">- </w:t>
      </w:r>
      <w:r w:rsidRPr="002F193F">
        <w:t>engineering but not from resource perspective</w:t>
      </w:r>
    </w:p>
    <w:p w14:paraId="5CEB4E84" w14:textId="77777777" w:rsidR="00565CC0" w:rsidRDefault="00565CC0" w:rsidP="00565CC0">
      <w:pPr>
        <w:pStyle w:val="Paragraphedeliste"/>
        <w:numPr>
          <w:ilvl w:val="0"/>
          <w:numId w:val="4"/>
        </w:numPr>
      </w:pPr>
      <w:r w:rsidRPr="006407F6">
        <w:t xml:space="preserve">Discussion </w:t>
      </w:r>
      <w:r>
        <w:t>–</w:t>
      </w:r>
      <w:r w:rsidRPr="006407F6">
        <w:t xml:space="preserve"> </w:t>
      </w:r>
    </w:p>
    <w:p w14:paraId="4A301623" w14:textId="77777777" w:rsidR="00565CC0" w:rsidRDefault="00565CC0" w:rsidP="00565CC0">
      <w:pPr>
        <w:pStyle w:val="Paragraphedeliste"/>
        <w:numPr>
          <w:ilvl w:val="0"/>
          <w:numId w:val="2"/>
        </w:numPr>
      </w:pPr>
      <w:r w:rsidRPr="006407F6">
        <w:t xml:space="preserve">Artificial heat recharge requirements </w:t>
      </w:r>
    </w:p>
    <w:p w14:paraId="31CE240B" w14:textId="77777777" w:rsidR="00565CC0" w:rsidRDefault="00565CC0" w:rsidP="00565CC0">
      <w:pPr>
        <w:pStyle w:val="Paragraphedeliste"/>
        <w:numPr>
          <w:ilvl w:val="0"/>
          <w:numId w:val="2"/>
        </w:numPr>
      </w:pPr>
      <w:r>
        <w:t>Soil not as warm as we though</w:t>
      </w:r>
    </w:p>
    <w:p w14:paraId="38D0BCEF" w14:textId="221C5936" w:rsidR="006526FE" w:rsidRPr="006526FE" w:rsidRDefault="006526FE" w:rsidP="006526FE">
      <w:pPr>
        <w:spacing w:afterLines="80" w:after="192" w:line="480" w:lineRule="auto"/>
        <w:rPr>
          <w:color w:val="FF0000"/>
        </w:rPr>
      </w:pPr>
    </w:p>
    <w:p w14:paraId="3F3939CC" w14:textId="77777777" w:rsidR="00F57D5F" w:rsidRPr="00F57D5F" w:rsidRDefault="00F57D5F" w:rsidP="00F57D5F">
      <w:pPr>
        <w:pStyle w:val="Paragraphedeliste"/>
        <w:numPr>
          <w:ilvl w:val="0"/>
          <w:numId w:val="9"/>
        </w:numPr>
        <w:spacing w:afterLines="80" w:after="192" w:line="480" w:lineRule="auto"/>
        <w:rPr>
          <w:color w:val="FF0000"/>
        </w:rPr>
      </w:pPr>
    </w:p>
    <w:p w14:paraId="168BF57C" w14:textId="12555716" w:rsidR="00E82F0D" w:rsidRDefault="00E82F0D" w:rsidP="00717A50">
      <w:pPr>
        <w:spacing w:afterLines="80" w:after="192" w:line="480" w:lineRule="auto"/>
        <w:ind w:firstLine="335"/>
        <w:rPr>
          <w:color w:val="FF0000"/>
        </w:rPr>
      </w:pPr>
    </w:p>
    <w:p w14:paraId="6EFAB3F1" w14:textId="22D6134C" w:rsidR="00E82F0D" w:rsidRDefault="00E82F0D" w:rsidP="00717A50">
      <w:pPr>
        <w:spacing w:afterLines="80" w:after="192" w:line="480" w:lineRule="auto"/>
        <w:ind w:firstLine="335"/>
        <w:rPr>
          <w:color w:val="FF0000"/>
        </w:rPr>
      </w:pPr>
    </w:p>
    <w:p w14:paraId="36AB79D1" w14:textId="77777777" w:rsidR="00DB1565" w:rsidRDefault="00DB1565" w:rsidP="00C733B0">
      <w:pPr>
        <w:spacing w:afterLines="80" w:after="192" w:line="480" w:lineRule="auto"/>
      </w:pPr>
    </w:p>
    <w:p w14:paraId="227042EB" w14:textId="77777777" w:rsidR="00DC0B94" w:rsidRDefault="00DC0B94" w:rsidP="00DC0B94">
      <w:pPr>
        <w:spacing w:afterLines="80" w:after="192" w:line="480" w:lineRule="auto"/>
        <w:ind w:firstLine="335"/>
      </w:pPr>
    </w:p>
    <w:p w14:paraId="73B2E15C" w14:textId="77777777" w:rsidR="00521A8C" w:rsidRDefault="00521A8C" w:rsidP="00521A8C">
      <w:pPr>
        <w:spacing w:afterLines="80" w:after="192" w:line="480" w:lineRule="auto"/>
        <w:ind w:left="-4" w:firstLine="339"/>
      </w:pPr>
    </w:p>
    <w:sectPr w:rsidR="00521A8C" w:rsidSect="0048560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ylène RECEVEUR" w:date="2021-04-22T22:24:00Z" w:initials="MR">
    <w:p w14:paraId="0EDDD77C" w14:textId="77777777" w:rsidR="006526FE" w:rsidRDefault="006526FE" w:rsidP="006526FE">
      <w:r>
        <w:rPr>
          <w:rStyle w:val="Marquedecommentaire"/>
        </w:rPr>
        <w:annotationRef/>
      </w:r>
      <w:r>
        <w:t xml:space="preserve">Heat ownership issue: no way to monitor until interferences occur. 3D of drawdown needs to be taken into account. License needs to be considered in 3D space. </w:t>
      </w:r>
    </w:p>
    <w:p w14:paraId="6FA078F3" w14:textId="77777777" w:rsidR="006526FE" w:rsidRDefault="006526FE" w:rsidP="006526FE">
      <w:r>
        <w:t>2025 – backdrop fossil fuel gas boiler no longer allowed so massive rise in technology expected.</w:t>
      </w:r>
    </w:p>
    <w:p w14:paraId="4797924B" w14:textId="7A4CF85C" w:rsidR="006526FE" w:rsidRDefault="006526FE">
      <w:pPr>
        <w:pStyle w:val="Commentaire"/>
      </w:pPr>
    </w:p>
  </w:comment>
  <w:comment w:id="1" w:author="MCDERMOTT Christopher" w:date="2021-03-15T09:14:00Z" w:initials="MC">
    <w:p w14:paraId="223F4F3D" w14:textId="77777777" w:rsidR="00CD429A" w:rsidRDefault="00CD429A" w:rsidP="00FD14ED">
      <w:pPr>
        <w:pStyle w:val="Commentaire"/>
      </w:pPr>
      <w:r>
        <w:rPr>
          <w:rStyle w:val="Marquedecommentaire"/>
        </w:rPr>
        <w:annotationRef/>
      </w:r>
      <w:r>
        <w:t>You have different numbers in the abstract.</w:t>
      </w:r>
    </w:p>
  </w:comment>
  <w:comment w:id="2" w:author="Mylène RECEVEUR" w:date="2021-04-24T16:38:00Z" w:initials="MR">
    <w:p w14:paraId="64EDDE26" w14:textId="2F94D3F5" w:rsidR="00FA4BBE" w:rsidRDefault="00FA4BBE">
      <w:pPr>
        <w:pStyle w:val="Commentaire"/>
      </w:pPr>
      <w:r>
        <w:rPr>
          <w:rStyle w:val="Marquedecommentaire"/>
        </w:rPr>
        <w:annotationRef/>
      </w:r>
      <w:r>
        <w:rPr>
          <w:rFonts w:eastAsiaTheme="minorEastAsia"/>
        </w:rPr>
        <w:t xml:space="preserve">calculated from </w:t>
      </w:r>
      <w:r>
        <w:t xml:space="preserve">the thickness of the </w:t>
      </w:r>
      <w:r w:rsidRPr="00F160E3">
        <w:rPr>
          <w:iCs/>
        </w:rPr>
        <w:t>Carboniferous formations i</w:t>
      </w:r>
      <w:r>
        <w:rPr>
          <w:iCs/>
        </w:rPr>
        <w:t>n</w:t>
      </w:r>
      <w:r w:rsidRPr="00F160E3">
        <w:rPr>
          <w:iCs/>
        </w:rPr>
        <w:t xml:space="preserve"> the Carrington-1 borehole</w:t>
      </w:r>
      <w:r>
        <w:rPr>
          <w:iCs/>
        </w:rPr>
        <w:t xml:space="preserve"> and their heat conductivity values determined by Busby, 2019</w:t>
      </w:r>
    </w:p>
  </w:comment>
  <w:comment w:id="4" w:author="FRASER HARRIS Andrew" w:date="2021-03-11T16:23:00Z" w:initials="FHA">
    <w:p w14:paraId="35B9891C" w14:textId="77777777" w:rsidR="00CD429A" w:rsidRDefault="00CD429A" w:rsidP="00F561C5">
      <w:pPr>
        <w:pStyle w:val="Commentaire"/>
      </w:pPr>
      <w:r>
        <w:rPr>
          <w:rStyle w:val="Marquedecommentaire"/>
        </w:rPr>
        <w:annotationRef/>
      </w:r>
      <w:r>
        <w:t>Think you need an A and B on the figure (or so it seems from the caption?)</w:t>
      </w:r>
    </w:p>
  </w:comment>
  <w:comment w:id="5" w:author="FRASER HARRIS Andrew" w:date="2021-03-11T16:27:00Z" w:initials="FHA">
    <w:p w14:paraId="26A9CAF0" w14:textId="77777777" w:rsidR="00CD429A" w:rsidRDefault="00CD429A" w:rsidP="00225CBD">
      <w:pPr>
        <w:pStyle w:val="Commentaire"/>
      </w:pPr>
      <w:r>
        <w:rPr>
          <w:rStyle w:val="Marquedecommentaire"/>
        </w:rPr>
        <w:annotationRef/>
      </w:r>
      <w:r>
        <w:t>Is this the amalgamation of all the processes you mention earlier or is it the contribution of solar?</w:t>
      </w:r>
    </w:p>
  </w:comment>
  <w:comment w:id="6" w:author="MCDERMOTT Christopher" w:date="2021-03-15T09:28:00Z" w:initials="MC">
    <w:p w14:paraId="5ADB149B" w14:textId="77777777" w:rsidR="00CD429A" w:rsidRDefault="00CD429A" w:rsidP="00225CBD">
      <w:pPr>
        <w:pStyle w:val="Commentaire"/>
      </w:pPr>
      <w:r>
        <w:rPr>
          <w:rStyle w:val="Marquedecommentaire"/>
        </w:rPr>
        <w:annotationRef/>
      </w:r>
      <w:r>
        <w:t>Do you want to mention the modelling you undertook as well?, showing that any more heat input would lead to unrealisitic surface temepratures?</w:t>
      </w:r>
    </w:p>
  </w:comment>
  <w:comment w:id="7" w:author="Mylène RECEVEUR" w:date="2021-04-22T22:23:00Z" w:initials="MR">
    <w:p w14:paraId="62A1D3BE" w14:textId="77777777" w:rsidR="006526FE" w:rsidRDefault="006526FE" w:rsidP="006526FE">
      <w:pPr>
        <w:pStyle w:val="Paragraphedeliste"/>
        <w:numPr>
          <w:ilvl w:val="0"/>
          <w:numId w:val="3"/>
        </w:numPr>
      </w:pPr>
      <w:r>
        <w:rPr>
          <w:rStyle w:val="Marquedecommentaire"/>
        </w:rPr>
        <w:annotationRef/>
      </w:r>
      <w:r>
        <w:t>How you’ve calculated amount of flux – solar recharge by matching temperature profile by real flux – assess what is the realistic amount of energy in the 10 top meters.</w:t>
      </w:r>
    </w:p>
    <w:p w14:paraId="1E8250FE" w14:textId="75450E8A" w:rsidR="006526FE" w:rsidRDefault="006526FE">
      <w:pPr>
        <w:pStyle w:val="Commentaire"/>
      </w:pPr>
    </w:p>
  </w:comment>
  <w:comment w:id="8" w:author="Mylène RECEVEUR" w:date="2021-04-22T22:29:00Z" w:initials="MR">
    <w:p w14:paraId="46D807A1" w14:textId="348F5CFA" w:rsidR="006526FE" w:rsidRDefault="006526FE">
      <w:pPr>
        <w:pStyle w:val="Commentaire"/>
      </w:pPr>
      <w:r>
        <w:rPr>
          <w:rStyle w:val="Marquedecommentaire"/>
        </w:rPr>
        <w:annotationRef/>
      </w:r>
      <w:r>
        <w:t>Swap axis</w:t>
      </w:r>
    </w:p>
  </w:comment>
  <w:comment w:id="9" w:author="Mylène RECEVEUR" w:date="2021-04-13T23:12:00Z" w:initials="MR">
    <w:p w14:paraId="4B8ED1F9" w14:textId="77777777" w:rsidR="00CD429A" w:rsidRDefault="00CD429A" w:rsidP="00C039B6">
      <w:pPr>
        <w:spacing w:afterLines="80" w:after="192" w:line="480" w:lineRule="auto"/>
        <w:ind w:left="-4" w:firstLine="339"/>
      </w:pPr>
      <w:r>
        <w:rPr>
          <w:rStyle w:val="Marquedecommentaire"/>
        </w:rPr>
        <w:annotationRef/>
      </w:r>
      <w:r>
        <w:t xml:space="preserve">We use 1D and 3D numerical approaches to quantify the contribution of axial heat fluxes induced by the BHE over a 30-year period together with the areal footprint of heat extraction. </w:t>
      </w:r>
    </w:p>
    <w:p w14:paraId="649C45F9" w14:textId="411A1F04" w:rsidR="00CD429A" w:rsidRDefault="00CD429A">
      <w:pPr>
        <w:pStyle w:val="Commentaire"/>
      </w:pPr>
    </w:p>
  </w:comment>
  <w:comment w:id="10" w:author="Mylène RECEVEUR" w:date="2021-04-22T22:30:00Z" w:initials="MR">
    <w:p w14:paraId="61FF2E3D" w14:textId="2FBF38B3" w:rsidR="006526FE" w:rsidRDefault="006526FE">
      <w:pPr>
        <w:pStyle w:val="Commentaire"/>
      </w:pPr>
      <w:r>
        <w:rPr>
          <w:rStyle w:val="Marquedecommentaire"/>
        </w:rPr>
        <w:annotationRef/>
      </w:r>
      <w:r>
        <w:t>Swap axis</w:t>
      </w:r>
    </w:p>
  </w:comment>
  <w:comment w:id="11" w:author="Mylène RECEVEUR" w:date="2021-04-15T14:21:00Z" w:initials="MR">
    <w:p w14:paraId="0220A51C" w14:textId="39915739" w:rsidR="00CD429A" w:rsidRDefault="00CD429A">
      <w:pPr>
        <w:pStyle w:val="Commentaire"/>
      </w:pPr>
      <w:r>
        <w:rPr>
          <w:rStyle w:val="Marquedecommentaire"/>
        </w:rPr>
        <w:annotationRef/>
      </w:r>
      <w:r>
        <w:t>Discuss how increasing the BHE depth favors axial heat recharge + results from Marcotte et al</w:t>
      </w:r>
    </w:p>
  </w:comment>
  <w:comment w:id="12" w:author="Mylène RECEVEUR" w:date="2021-04-15T15:29:00Z" w:initials="MR">
    <w:p w14:paraId="1B5B5648" w14:textId="77777777" w:rsidR="000A73D2" w:rsidRPr="00634518" w:rsidRDefault="000A73D2" w:rsidP="000A73D2">
      <w:pPr>
        <w:spacing w:afterLines="80" w:after="192" w:line="480" w:lineRule="auto"/>
        <w:rPr>
          <w:color w:val="FF0000"/>
        </w:rPr>
      </w:pPr>
      <w:r>
        <w:rPr>
          <w:rStyle w:val="Marquedecommentaire"/>
        </w:rPr>
        <w:annotationRef/>
      </w:r>
      <w:r w:rsidRPr="00804B7C">
        <w:t xml:space="preserve"> </w:t>
      </w:r>
      <w:r w:rsidRPr="00634518">
        <w:rPr>
          <w:color w:val="FF0000"/>
        </w:rPr>
        <w:t>Based on the contribution from axial fluxes calculated numerically in section 4.2, we finally calculate that in a semi-infinite volume, axial and radial heat fluxes account for 15% and 60% of the recharge during the first year (i.e. within a 73 m² area), and for 60% and 30% after 30 years (i.e. within a 2200 m² area), respectively. This suggests that although the footprint area keeps expanding after 30 years, most of the heat is mined through axial (vertical) heat recharge.</w:t>
      </w:r>
    </w:p>
    <w:p w14:paraId="1A09C826" w14:textId="77777777" w:rsidR="000A73D2" w:rsidRDefault="000A73D2" w:rsidP="000A73D2">
      <w:pPr>
        <w:pStyle w:val="Commentaire"/>
      </w:pPr>
    </w:p>
    <w:p w14:paraId="045011EE" w14:textId="77777777" w:rsidR="000A73D2" w:rsidRDefault="000A73D2" w:rsidP="000A73D2">
      <w:pPr>
        <w:pStyle w:val="Commentaire"/>
      </w:pPr>
    </w:p>
    <w:p w14:paraId="0ECC8CD0" w14:textId="77777777" w:rsidR="000A73D2" w:rsidRDefault="000A73D2" w:rsidP="000A73D2">
      <w:pPr>
        <w:pStyle w:val="Commentaire"/>
      </w:pPr>
    </w:p>
    <w:p w14:paraId="5842C7A0" w14:textId="77777777" w:rsidR="000A73D2" w:rsidRDefault="000A73D2" w:rsidP="000A73D2">
      <w:pPr>
        <w:pStyle w:val="Commentaire"/>
      </w:pPr>
      <w:r>
        <w:t>UPDATE OR USE THE 210m 3D MODEL IN THE BHE INTERVAL</w:t>
      </w:r>
    </w:p>
  </w:comment>
  <w:comment w:id="13" w:author="Mylène RECEVEUR" w:date="2021-04-22T22:30:00Z" w:initials="MR">
    <w:p w14:paraId="67C828EE" w14:textId="027A719D" w:rsidR="006526FE" w:rsidRDefault="006526FE">
      <w:pPr>
        <w:pStyle w:val="Commentaire"/>
      </w:pPr>
      <w:r>
        <w:rPr>
          <w:rStyle w:val="Marquedecommentaire"/>
        </w:rPr>
        <w:annotationRef/>
      </w:r>
      <w:r>
        <w:t>Where heat is coming from</w:t>
      </w:r>
    </w:p>
  </w:comment>
  <w:comment w:id="14" w:author="FRASER HARRIS Andrew" w:date="2021-03-12T16:14:00Z" w:initials="FHA">
    <w:p w14:paraId="5D2F6D04" w14:textId="77777777" w:rsidR="00AA4B6E" w:rsidRDefault="00AA4B6E" w:rsidP="00AA4B6E">
      <w:pPr>
        <w:pStyle w:val="Commentaire"/>
      </w:pPr>
      <w:r>
        <w:rPr>
          <w:rStyle w:val="Marquedecommentaire"/>
        </w:rPr>
        <w:annotationRef/>
      </w:r>
      <w:r>
        <w:t xml:space="preserve">This is interesting. For my understanding, the larger thermal drawdown at the horizon of the well leads to a larger influence in the subsurface than the surface. Because the temperatures are reduced in the subsurface this increases the flux from the surface, thereby limiting the surface impacts? </w:t>
      </w:r>
    </w:p>
    <w:p w14:paraId="7F7628FC" w14:textId="77777777" w:rsidR="00AA4B6E" w:rsidRDefault="00AA4B6E" w:rsidP="00AA4B6E">
      <w:pPr>
        <w:pStyle w:val="Commentaire"/>
      </w:pPr>
    </w:p>
    <w:p w14:paraId="730F5962" w14:textId="77777777" w:rsidR="00AA4B6E" w:rsidRDefault="00AA4B6E" w:rsidP="00AA4B6E">
      <w:pPr>
        <w:pStyle w:val="Commentaire"/>
      </w:pPr>
      <w:r>
        <w:t xml:space="preserve">If this is the case then I think it has implications for how we monitor whether multiple BHEs are interacting. Both our monitoring points (surface and borehole) are not really showing us the extent of the thermal drawdown which means we do not really have a pre-emptive way of preventing interactions through monitoring. </w:t>
      </w:r>
    </w:p>
  </w:comment>
  <w:comment w:id="15" w:author="FRASER HARRIS Andrew" w:date="2021-03-12T16:38:00Z" w:initials="FHA">
    <w:p w14:paraId="16E2E277" w14:textId="77777777" w:rsidR="00B92F75" w:rsidRDefault="00B92F75" w:rsidP="00B92F75">
      <w:pPr>
        <w:pStyle w:val="Commentaire"/>
      </w:pPr>
      <w:r>
        <w:rPr>
          <w:rStyle w:val="Marquedecommentaire"/>
        </w:rPr>
        <w:annotationRef/>
      </w:r>
      <w:r>
        <w:t xml:space="preserve">Are you saying that increasing BHE efficiency of a given length is not as sustainable a solution as having a deeper BHE? (from the possibility of engineering interference perspective) </w:t>
      </w:r>
    </w:p>
  </w:comment>
  <w:comment w:id="16" w:author="FRASER HARRIS Andrew" w:date="2021-03-11T13:51:00Z" w:initials="FHA">
    <w:p w14:paraId="6E83930A" w14:textId="77777777" w:rsidR="00C733B0" w:rsidRDefault="00C733B0" w:rsidP="00C733B0">
      <w:pPr>
        <w:pStyle w:val="Commentaire"/>
      </w:pPr>
      <w:r>
        <w:rPr>
          <w:rStyle w:val="Marquedecommentaire"/>
        </w:rPr>
        <w:annotationRef/>
      </w:r>
      <w:r>
        <w:t>Is this because you approximate that process with your boundary conditions? If so, you could briefly mention this here</w:t>
      </w:r>
    </w:p>
  </w:comment>
  <w:comment w:id="17" w:author="Mylène RECEVEUR" w:date="2021-04-22T22:24:00Z" w:initials="MR">
    <w:p w14:paraId="1F44C8CC" w14:textId="77777777" w:rsidR="006526FE" w:rsidRDefault="006526FE" w:rsidP="006526FE">
      <w:r>
        <w:rPr>
          <w:rStyle w:val="Marquedecommentaire"/>
        </w:rPr>
        <w:annotationRef/>
      </w:r>
      <w:r>
        <w:t xml:space="preserve">Whatever where it is, need to recharge the system – active recharge is important. 11% </w:t>
      </w:r>
    </w:p>
    <w:p w14:paraId="798A890F" w14:textId="2CD7F3CE" w:rsidR="006526FE" w:rsidRDefault="006526FE">
      <w:pPr>
        <w:pStyle w:val="Commentaire"/>
      </w:pPr>
    </w:p>
  </w:comment>
  <w:comment w:id="18" w:author="Stuart Gilfillan" w:date="2021-03-08T14:59:00Z" w:initials="SG">
    <w:p w14:paraId="1583019F" w14:textId="77777777" w:rsidR="00677955" w:rsidRDefault="00677955" w:rsidP="00677955">
      <w:pPr>
        <w:pStyle w:val="Commentaire"/>
      </w:pPr>
      <w:r>
        <w:rPr>
          <w:rStyle w:val="Marquedecommentaire"/>
        </w:rPr>
        <w:annotationRef/>
      </w:r>
      <w:r>
        <w:t>What exact timescale? 30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7924B" w15:done="0"/>
  <w15:commentEx w15:paraId="223F4F3D" w15:done="0"/>
  <w15:commentEx w15:paraId="64EDDE26" w15:done="0"/>
  <w15:commentEx w15:paraId="35B9891C" w15:done="0"/>
  <w15:commentEx w15:paraId="26A9CAF0" w15:done="0"/>
  <w15:commentEx w15:paraId="5ADB149B" w15:done="0"/>
  <w15:commentEx w15:paraId="1E8250FE" w15:done="0"/>
  <w15:commentEx w15:paraId="46D807A1" w15:done="0"/>
  <w15:commentEx w15:paraId="649C45F9" w15:done="0"/>
  <w15:commentEx w15:paraId="61FF2E3D" w15:done="0"/>
  <w15:commentEx w15:paraId="0220A51C" w15:done="0"/>
  <w15:commentEx w15:paraId="5842C7A0" w15:done="0"/>
  <w15:commentEx w15:paraId="67C828EE" w15:done="0"/>
  <w15:commentEx w15:paraId="730F5962" w15:done="0"/>
  <w15:commentEx w15:paraId="16E2E277" w15:done="0"/>
  <w15:commentEx w15:paraId="6E83930A" w15:done="0"/>
  <w15:commentEx w15:paraId="798A890F" w15:done="0"/>
  <w15:commentEx w15:paraId="15830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7601" w16cex:dateUtc="2021-04-22T21:24:00Z"/>
  <w16cex:commentExtensible w16cex:durableId="242EC7FE" w16cex:dateUtc="2021-04-24T15:38:00Z"/>
  <w16cex:commentExtensible w16cex:durableId="242C75E0" w16cex:dateUtc="2021-04-22T21:23:00Z"/>
  <w16cex:commentExtensible w16cex:durableId="242C7753" w16cex:dateUtc="2021-04-22T21:29:00Z"/>
  <w16cex:commentExtensible w16cex:durableId="2420A3F0" w16cex:dateUtc="2021-04-13T22:12:00Z"/>
  <w16cex:commentExtensible w16cex:durableId="242C778E" w16cex:dateUtc="2021-04-22T21:30:00Z"/>
  <w16cex:commentExtensible w16cex:durableId="2422CA4E" w16cex:dateUtc="2021-04-15T13:21:00Z"/>
  <w16cex:commentExtensible w16cex:durableId="2422DA50" w16cex:dateUtc="2021-04-15T14:29:00Z"/>
  <w16cex:commentExtensible w16cex:durableId="242C776D" w16cex:dateUtc="2021-04-22T21:30:00Z"/>
  <w16cex:commentExtensible w16cex:durableId="242C762F" w16cex:dateUtc="2021-04-2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7924B" w16cid:durableId="242C7601"/>
  <w16cid:commentId w16cid:paraId="223F4F3D" w16cid:durableId="23F9B4DD"/>
  <w16cid:commentId w16cid:paraId="64EDDE26" w16cid:durableId="242EC7FE"/>
  <w16cid:commentId w16cid:paraId="35B9891C" w16cid:durableId="23F9B4E1"/>
  <w16cid:commentId w16cid:paraId="26A9CAF0" w16cid:durableId="23F9B4E2"/>
  <w16cid:commentId w16cid:paraId="5ADB149B" w16cid:durableId="23F9B4E3"/>
  <w16cid:commentId w16cid:paraId="1E8250FE" w16cid:durableId="242C75E0"/>
  <w16cid:commentId w16cid:paraId="46D807A1" w16cid:durableId="242C7753"/>
  <w16cid:commentId w16cid:paraId="649C45F9" w16cid:durableId="2420A3F0"/>
  <w16cid:commentId w16cid:paraId="61FF2E3D" w16cid:durableId="242C778E"/>
  <w16cid:commentId w16cid:paraId="0220A51C" w16cid:durableId="2422CA4E"/>
  <w16cid:commentId w16cid:paraId="5842C7A0" w16cid:durableId="2422DA50"/>
  <w16cid:commentId w16cid:paraId="67C828EE" w16cid:durableId="242C776D"/>
  <w16cid:commentId w16cid:paraId="730F5962" w16cid:durableId="23F9B4F7"/>
  <w16cid:commentId w16cid:paraId="16E2E277" w16cid:durableId="23F9B4FE"/>
  <w16cid:commentId w16cid:paraId="6E83930A" w16cid:durableId="23F9B4D8"/>
  <w16cid:commentId w16cid:paraId="798A890F" w16cid:durableId="242C762F"/>
  <w16cid:commentId w16cid:paraId="1583019F" w16cid:durableId="23F9B5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EF75" w14:textId="77777777" w:rsidR="00DE4F44" w:rsidRDefault="00DE4F44" w:rsidP="00D329A9">
      <w:pPr>
        <w:spacing w:after="0" w:line="240" w:lineRule="auto"/>
      </w:pPr>
      <w:r>
        <w:separator/>
      </w:r>
    </w:p>
  </w:endnote>
  <w:endnote w:type="continuationSeparator" w:id="0">
    <w:p w14:paraId="7A7EAA66" w14:textId="77777777" w:rsidR="00DE4F44" w:rsidRDefault="00DE4F44" w:rsidP="00D32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50F9" w14:textId="77777777" w:rsidR="00CD429A" w:rsidRDefault="00CD429A">
    <w:pPr>
      <w:spacing w:after="0"/>
      <w:ind w:left="11"/>
      <w:jc w:val="center"/>
    </w:pPr>
    <w:r>
      <w:fldChar w:fldCharType="begin"/>
    </w:r>
    <w:r>
      <w:instrText xml:space="preserve"> PAGE   \* MERGEFORMAT </w:instrText>
    </w:r>
    <w:r>
      <w:fldChar w:fldCharType="separate"/>
    </w:r>
    <w:r>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01DA" w14:textId="77777777" w:rsidR="00CD429A" w:rsidRDefault="00CD429A">
    <w:pPr>
      <w:spacing w:after="0"/>
      <w:ind w:left="11"/>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B770" w14:textId="77777777" w:rsidR="00CD429A" w:rsidRDefault="00CD429A">
    <w:pPr>
      <w:spacing w:after="0"/>
      <w:ind w:left="11"/>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8101" w14:textId="77777777" w:rsidR="00DE4F44" w:rsidRDefault="00DE4F44" w:rsidP="00D329A9">
      <w:pPr>
        <w:spacing w:after="0" w:line="240" w:lineRule="auto"/>
      </w:pPr>
      <w:r>
        <w:separator/>
      </w:r>
    </w:p>
  </w:footnote>
  <w:footnote w:type="continuationSeparator" w:id="0">
    <w:p w14:paraId="27DD62EC" w14:textId="77777777" w:rsidR="00DE4F44" w:rsidRDefault="00DE4F44" w:rsidP="00D32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8DE6" w14:textId="77777777" w:rsidR="00CD429A" w:rsidRDefault="00CD429A">
    <w:pPr>
      <w:tabs>
        <w:tab w:val="right" w:pos="9803"/>
      </w:tabs>
      <w:spacing w:after="0"/>
    </w:pPr>
    <w:r>
      <w:rPr>
        <w:noProof/>
        <w:lang w:eastAsia="zh-CN"/>
      </w:rPr>
      <mc:AlternateContent>
        <mc:Choice Requires="wpg">
          <w:drawing>
            <wp:anchor distT="0" distB="0" distL="114300" distR="114300" simplePos="0" relativeHeight="251659264" behindDoc="0" locked="0" layoutInCell="1" allowOverlap="1" wp14:anchorId="050DC86A" wp14:editId="7CCE41BA">
              <wp:simplePos x="0" y="0"/>
              <wp:positionH relativeFrom="page">
                <wp:posOffset>777240</wp:posOffset>
              </wp:positionH>
              <wp:positionV relativeFrom="page">
                <wp:posOffset>483705</wp:posOffset>
              </wp:positionV>
              <wp:extent cx="6217908" cy="5055"/>
              <wp:effectExtent l="0" t="0" r="0" b="0"/>
              <wp:wrapSquare wrapText="bothSides"/>
              <wp:docPr id="38245" name="Group 38245"/>
              <wp:cNvGraphicFramePr/>
              <a:graphic xmlns:a="http://schemas.openxmlformats.org/drawingml/2006/main">
                <a:graphicData uri="http://schemas.microsoft.com/office/word/2010/wordprocessingGroup">
                  <wpg:wgp>
                    <wpg:cNvGrpSpPr/>
                    <wpg:grpSpPr>
                      <a:xfrm>
                        <a:off x="0" y="0"/>
                        <a:ext cx="6217908" cy="5055"/>
                        <a:chOff x="0" y="0"/>
                        <a:chExt cx="6217908" cy="5055"/>
                      </a:xfrm>
                    </wpg:grpSpPr>
                    <wps:wsp>
                      <wps:cNvPr id="38246" name="Shape 38246"/>
                      <wps:cNvSpPr/>
                      <wps:spPr>
                        <a:xfrm>
                          <a:off x="0" y="0"/>
                          <a:ext cx="6217908" cy="0"/>
                        </a:xfrm>
                        <a:custGeom>
                          <a:avLst/>
                          <a:gdLst/>
                          <a:ahLst/>
                          <a:cxnLst/>
                          <a:rect l="0" t="0" r="0" b="0"/>
                          <a:pathLst>
                            <a:path w="6217908">
                              <a:moveTo>
                                <a:pt x="0" y="0"/>
                              </a:moveTo>
                              <a:lnTo>
                                <a:pt x="62179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49496B" id="Group 38245" o:spid="_x0000_s1026" style="position:absolute;margin-left:61.2pt;margin-top:38.1pt;width:489.6pt;height:.4pt;z-index:251659264;mso-position-horizontal-relative:page;mso-position-vertical-relative:page" coordsize="621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">
              <v:shape id="Shape 38246" o:spid="_x0000_s1027" style="position:absolute;width:62179;height:0;visibility:visible;mso-wrap-style:square;v-text-anchor:top" coordsize="621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" path="m,l6217908,e" filled="f" strokeweight=".14042mm">
                <v:stroke miterlimit="83231f" joinstyle="miter"/>
                <v:path arrowok="t" textboxrect="0,0,6217908,0"/>
              </v:shape>
              <w10:wrap type="square" anchorx="page" anchory="page"/>
            </v:group>
          </w:pict>
        </mc:Fallback>
      </mc:AlternateContent>
    </w:r>
    <w:r>
      <w:t>Conceptualization of mine-water temperatures</w:t>
    </w:r>
    <w:r>
      <w:tab/>
      <w:t>Mylene Receveur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97CE" w14:textId="77777777" w:rsidR="00CD429A" w:rsidRDefault="00CD429A">
    <w:pPr>
      <w:tabs>
        <w:tab w:val="right" w:pos="9803"/>
      </w:tabs>
      <w:spacing w:after="0"/>
    </w:pPr>
    <w:r>
      <w:rPr>
        <w:noProof/>
        <w:lang w:eastAsia="zh-CN"/>
      </w:rPr>
      <mc:AlternateContent>
        <mc:Choice Requires="wpg">
          <w:drawing>
            <wp:anchor distT="0" distB="0" distL="114300" distR="114300" simplePos="0" relativeHeight="251660288" behindDoc="0" locked="0" layoutInCell="1" allowOverlap="1" wp14:anchorId="0FBC77C1" wp14:editId="4C4AF244">
              <wp:simplePos x="0" y="0"/>
              <wp:positionH relativeFrom="page">
                <wp:posOffset>777240</wp:posOffset>
              </wp:positionH>
              <wp:positionV relativeFrom="page">
                <wp:posOffset>483705</wp:posOffset>
              </wp:positionV>
              <wp:extent cx="6217908" cy="5055"/>
              <wp:effectExtent l="0" t="0" r="0" b="0"/>
              <wp:wrapSquare wrapText="bothSides"/>
              <wp:docPr id="38229" name="Group 38229"/>
              <wp:cNvGraphicFramePr/>
              <a:graphic xmlns:a="http://schemas.openxmlformats.org/drawingml/2006/main">
                <a:graphicData uri="http://schemas.microsoft.com/office/word/2010/wordprocessingGroup">
                  <wpg:wgp>
                    <wpg:cNvGrpSpPr/>
                    <wpg:grpSpPr>
                      <a:xfrm>
                        <a:off x="0" y="0"/>
                        <a:ext cx="6217908" cy="5055"/>
                        <a:chOff x="0" y="0"/>
                        <a:chExt cx="6217908" cy="5055"/>
                      </a:xfrm>
                    </wpg:grpSpPr>
                    <wps:wsp>
                      <wps:cNvPr id="38230" name="Shape 38230"/>
                      <wps:cNvSpPr/>
                      <wps:spPr>
                        <a:xfrm>
                          <a:off x="0" y="0"/>
                          <a:ext cx="6217908" cy="0"/>
                        </a:xfrm>
                        <a:custGeom>
                          <a:avLst/>
                          <a:gdLst/>
                          <a:ahLst/>
                          <a:cxnLst/>
                          <a:rect l="0" t="0" r="0" b="0"/>
                          <a:pathLst>
                            <a:path w="6217908">
                              <a:moveTo>
                                <a:pt x="0" y="0"/>
                              </a:moveTo>
                              <a:lnTo>
                                <a:pt x="62179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4B774D" id="Group 38229" o:spid="_x0000_s1026" style="position:absolute;margin-left:61.2pt;margin-top:38.1pt;width:489.6pt;height:.4pt;z-index:251660288;mso-position-horizontal-relative:page;mso-position-vertical-relative:page" coordsize="621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">
              <v:shape id="Shape 38230" o:spid="_x0000_s1027" style="position:absolute;width:62179;height:0;visibility:visible;mso-wrap-style:square;v-text-anchor:top" coordsize="621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" path="m,l6217908,e" filled="f" strokeweight=".14042mm">
                <v:stroke miterlimit="83231f" joinstyle="miter"/>
                <v:path arrowok="t" textboxrect="0,0,6217908,0"/>
              </v:shape>
              <w10:wrap type="square" anchorx="page" anchory="page"/>
            </v:group>
          </w:pict>
        </mc:Fallback>
      </mc:AlternateContent>
    </w:r>
    <w:r>
      <w:t>Conceptualization of mine-water temperatures</w:t>
    </w:r>
    <w:r>
      <w:tab/>
      <w:t>Mylene Receveur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E79A" w14:textId="77777777" w:rsidR="00CD429A" w:rsidRDefault="00CD429A">
    <w:pPr>
      <w:tabs>
        <w:tab w:val="right" w:pos="9803"/>
      </w:tabs>
      <w:spacing w:after="0"/>
    </w:pPr>
    <w:r>
      <w:rPr>
        <w:noProof/>
        <w:lang w:eastAsia="zh-CN"/>
      </w:rPr>
      <mc:AlternateContent>
        <mc:Choice Requires="wpg">
          <w:drawing>
            <wp:anchor distT="0" distB="0" distL="114300" distR="114300" simplePos="0" relativeHeight="251661312" behindDoc="0" locked="0" layoutInCell="1" allowOverlap="1" wp14:anchorId="723CFBA8" wp14:editId="288F5DE2">
              <wp:simplePos x="0" y="0"/>
              <wp:positionH relativeFrom="page">
                <wp:posOffset>777240</wp:posOffset>
              </wp:positionH>
              <wp:positionV relativeFrom="page">
                <wp:posOffset>483705</wp:posOffset>
              </wp:positionV>
              <wp:extent cx="6217908" cy="5055"/>
              <wp:effectExtent l="0" t="0" r="0" b="0"/>
              <wp:wrapSquare wrapText="bothSides"/>
              <wp:docPr id="38213" name="Group 38213"/>
              <wp:cNvGraphicFramePr/>
              <a:graphic xmlns:a="http://schemas.openxmlformats.org/drawingml/2006/main">
                <a:graphicData uri="http://schemas.microsoft.com/office/word/2010/wordprocessingGroup">
                  <wpg:wgp>
                    <wpg:cNvGrpSpPr/>
                    <wpg:grpSpPr>
                      <a:xfrm>
                        <a:off x="0" y="0"/>
                        <a:ext cx="6217908" cy="5055"/>
                        <a:chOff x="0" y="0"/>
                        <a:chExt cx="6217908" cy="5055"/>
                      </a:xfrm>
                    </wpg:grpSpPr>
                    <wps:wsp>
                      <wps:cNvPr id="38214" name="Shape 38214"/>
                      <wps:cNvSpPr/>
                      <wps:spPr>
                        <a:xfrm>
                          <a:off x="0" y="0"/>
                          <a:ext cx="6217908" cy="0"/>
                        </a:xfrm>
                        <a:custGeom>
                          <a:avLst/>
                          <a:gdLst/>
                          <a:ahLst/>
                          <a:cxnLst/>
                          <a:rect l="0" t="0" r="0" b="0"/>
                          <a:pathLst>
                            <a:path w="6217908">
                              <a:moveTo>
                                <a:pt x="0" y="0"/>
                              </a:moveTo>
                              <a:lnTo>
                                <a:pt x="62179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F9E7B" id="Group 38213" o:spid="_x0000_s1026" style="position:absolute;margin-left:61.2pt;margin-top:38.1pt;width:489.6pt;height:.4pt;z-index:251661312;mso-position-horizontal-relative:page;mso-position-vertical-relative:page" coordsize="621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">
              <v:shape id="Shape 38214" o:spid="_x0000_s1027" style="position:absolute;width:62179;height:0;visibility:visible;mso-wrap-style:square;v-text-anchor:top" coordsize="621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" path="m,l6217908,e" filled="f" strokeweight=".14042mm">
                <v:stroke miterlimit="83231f" joinstyle="miter"/>
                <v:path arrowok="t" textboxrect="0,0,6217908,0"/>
              </v:shape>
              <w10:wrap type="square" anchorx="page" anchory="page"/>
            </v:group>
          </w:pict>
        </mc:Fallback>
      </mc:AlternateContent>
    </w:r>
    <w:r>
      <w:t>Conceptualization of mine-water temperatures</w:t>
    </w:r>
    <w:r>
      <w:tab/>
      <w:t>Mylene Receveur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A8C"/>
    <w:multiLevelType w:val="hybridMultilevel"/>
    <w:tmpl w:val="07103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85B3C"/>
    <w:multiLevelType w:val="hybridMultilevel"/>
    <w:tmpl w:val="20A24278"/>
    <w:lvl w:ilvl="0" w:tplc="81980BD4">
      <w:start w:val="1"/>
      <w:numFmt w:val="bullet"/>
      <w:lvlText w:val="-"/>
      <w:lvlJc w:val="left"/>
      <w:pPr>
        <w:ind w:left="695" w:hanging="360"/>
      </w:pPr>
      <w:rPr>
        <w:rFonts w:ascii="Calibri" w:eastAsiaTheme="minorHAns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2" w15:restartNumberingAfterBreak="0">
    <w:nsid w:val="51CE1432"/>
    <w:multiLevelType w:val="hybridMultilevel"/>
    <w:tmpl w:val="1CCE8416"/>
    <w:lvl w:ilvl="0" w:tplc="4ED0F8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65CF8"/>
    <w:multiLevelType w:val="hybridMultilevel"/>
    <w:tmpl w:val="08A03D76"/>
    <w:lvl w:ilvl="0" w:tplc="856291A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35262"/>
    <w:multiLevelType w:val="hybridMultilevel"/>
    <w:tmpl w:val="7632BF70"/>
    <w:lvl w:ilvl="0" w:tplc="9C34F3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3D7DAB"/>
    <w:multiLevelType w:val="hybridMultilevel"/>
    <w:tmpl w:val="C436066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57732E8"/>
    <w:multiLevelType w:val="multilevel"/>
    <w:tmpl w:val="76F8821E"/>
    <w:lvl w:ilvl="0">
      <w:start w:val="1"/>
      <w:numFmt w:val="decimal"/>
      <w:pStyle w:val="Titre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Titre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DC2D98"/>
    <w:multiLevelType w:val="hybridMultilevel"/>
    <w:tmpl w:val="E11A1D8A"/>
    <w:lvl w:ilvl="0" w:tplc="456482E4">
      <w:start w:val="4"/>
      <w:numFmt w:val="bullet"/>
      <w:lvlText w:val="-"/>
      <w:lvlJc w:val="left"/>
      <w:pPr>
        <w:ind w:left="408" w:hanging="360"/>
      </w:pPr>
      <w:rPr>
        <w:rFonts w:ascii="Calibri" w:eastAsiaTheme="minorHAnsi" w:hAnsi="Calibri" w:cs="Calibri" w:hint="default"/>
      </w:rPr>
    </w:lvl>
    <w:lvl w:ilvl="1" w:tplc="08090003">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8" w15:restartNumberingAfterBreak="0">
    <w:nsid w:val="7CF93FA8"/>
    <w:multiLevelType w:val="hybridMultilevel"/>
    <w:tmpl w:val="727EE2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015124"/>
    <w:multiLevelType w:val="hybridMultilevel"/>
    <w:tmpl w:val="49D6F0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0"/>
  </w:num>
  <w:num w:numId="5">
    <w:abstractNumId w:val="1"/>
  </w:num>
  <w:num w:numId="6">
    <w:abstractNumId w:val="6"/>
  </w:num>
  <w:num w:numId="7">
    <w:abstractNumId w:val="8"/>
  </w:num>
  <w:num w:numId="8">
    <w:abstractNumId w:val="5"/>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lène RECEVEUR">
    <w15:presenceInfo w15:providerId="Windows Live" w15:userId="fe745b9169b9370e"/>
  </w15:person>
  <w15:person w15:author="MCDERMOTT Christopher">
    <w15:presenceInfo w15:providerId="AD" w15:userId="S-1-5-21-861567501-1417001333-682003330-279549"/>
  </w15:person>
  <w15:person w15:author="FRASER HARRIS Andrew">
    <w15:presenceInfo w15:providerId="AD" w15:userId="S-1-5-21-861567501-1417001333-682003330-494768"/>
  </w15:person>
  <w15:person w15:author="Stuart Gilfillan">
    <w15:presenceInfo w15:providerId="None" w15:userId="Stuart Gilfil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55"/>
    <w:rsid w:val="00014A0C"/>
    <w:rsid w:val="0001750B"/>
    <w:rsid w:val="000425BB"/>
    <w:rsid w:val="000446A9"/>
    <w:rsid w:val="000566BD"/>
    <w:rsid w:val="00081B14"/>
    <w:rsid w:val="000A73D2"/>
    <w:rsid w:val="00100BF3"/>
    <w:rsid w:val="001123D2"/>
    <w:rsid w:val="0011300A"/>
    <w:rsid w:val="00123C3F"/>
    <w:rsid w:val="0013687F"/>
    <w:rsid w:val="001455C4"/>
    <w:rsid w:val="00196E9B"/>
    <w:rsid w:val="00197E33"/>
    <w:rsid w:val="001D3976"/>
    <w:rsid w:val="001D64D5"/>
    <w:rsid w:val="001E3C01"/>
    <w:rsid w:val="00201EF0"/>
    <w:rsid w:val="00203833"/>
    <w:rsid w:val="00225CBD"/>
    <w:rsid w:val="0026548A"/>
    <w:rsid w:val="002B1CBD"/>
    <w:rsid w:val="002D5964"/>
    <w:rsid w:val="002F193F"/>
    <w:rsid w:val="002F461C"/>
    <w:rsid w:val="00326E98"/>
    <w:rsid w:val="00330943"/>
    <w:rsid w:val="003673DF"/>
    <w:rsid w:val="003678CF"/>
    <w:rsid w:val="00385F69"/>
    <w:rsid w:val="00394C24"/>
    <w:rsid w:val="003B50A6"/>
    <w:rsid w:val="003B72F3"/>
    <w:rsid w:val="003D2F55"/>
    <w:rsid w:val="003D4D2D"/>
    <w:rsid w:val="003F4730"/>
    <w:rsid w:val="0040601F"/>
    <w:rsid w:val="00407109"/>
    <w:rsid w:val="00417C95"/>
    <w:rsid w:val="0042735E"/>
    <w:rsid w:val="00432C0E"/>
    <w:rsid w:val="00473CC6"/>
    <w:rsid w:val="00483DB4"/>
    <w:rsid w:val="00485607"/>
    <w:rsid w:val="004A5812"/>
    <w:rsid w:val="004B7F69"/>
    <w:rsid w:val="004F2CCD"/>
    <w:rsid w:val="005079B8"/>
    <w:rsid w:val="00521A8C"/>
    <w:rsid w:val="005345C5"/>
    <w:rsid w:val="00535ABC"/>
    <w:rsid w:val="00537FF5"/>
    <w:rsid w:val="00565CC0"/>
    <w:rsid w:val="00571379"/>
    <w:rsid w:val="00586617"/>
    <w:rsid w:val="005A447C"/>
    <w:rsid w:val="005B43F3"/>
    <w:rsid w:val="005D2DC4"/>
    <w:rsid w:val="00605ED1"/>
    <w:rsid w:val="00607E13"/>
    <w:rsid w:val="00615DCC"/>
    <w:rsid w:val="00634518"/>
    <w:rsid w:val="00640444"/>
    <w:rsid w:val="006407F6"/>
    <w:rsid w:val="006526FE"/>
    <w:rsid w:val="00662EEB"/>
    <w:rsid w:val="00677955"/>
    <w:rsid w:val="006C1C9F"/>
    <w:rsid w:val="006E5C95"/>
    <w:rsid w:val="006E6BE0"/>
    <w:rsid w:val="006F4CB7"/>
    <w:rsid w:val="00717A50"/>
    <w:rsid w:val="007226AA"/>
    <w:rsid w:val="007345A9"/>
    <w:rsid w:val="00742001"/>
    <w:rsid w:val="00767333"/>
    <w:rsid w:val="007A0603"/>
    <w:rsid w:val="007B5963"/>
    <w:rsid w:val="007C18D0"/>
    <w:rsid w:val="007C7D33"/>
    <w:rsid w:val="007D7CFC"/>
    <w:rsid w:val="00804B7C"/>
    <w:rsid w:val="008515E2"/>
    <w:rsid w:val="00890458"/>
    <w:rsid w:val="008A4E2E"/>
    <w:rsid w:val="008B09FB"/>
    <w:rsid w:val="008D4A23"/>
    <w:rsid w:val="008D7899"/>
    <w:rsid w:val="00960A02"/>
    <w:rsid w:val="00960D17"/>
    <w:rsid w:val="00971482"/>
    <w:rsid w:val="009A2C9B"/>
    <w:rsid w:val="009B3F89"/>
    <w:rsid w:val="009B72BB"/>
    <w:rsid w:val="009C1022"/>
    <w:rsid w:val="009E707F"/>
    <w:rsid w:val="00A10BEB"/>
    <w:rsid w:val="00A53A9A"/>
    <w:rsid w:val="00A54F75"/>
    <w:rsid w:val="00A676AF"/>
    <w:rsid w:val="00AA4B6E"/>
    <w:rsid w:val="00AC3C15"/>
    <w:rsid w:val="00AC3DB8"/>
    <w:rsid w:val="00AD1D6F"/>
    <w:rsid w:val="00AD25E5"/>
    <w:rsid w:val="00AD2823"/>
    <w:rsid w:val="00AE4C13"/>
    <w:rsid w:val="00AF3888"/>
    <w:rsid w:val="00B029ED"/>
    <w:rsid w:val="00B177E4"/>
    <w:rsid w:val="00B33B69"/>
    <w:rsid w:val="00B55506"/>
    <w:rsid w:val="00B92F75"/>
    <w:rsid w:val="00BB3873"/>
    <w:rsid w:val="00BD7A8D"/>
    <w:rsid w:val="00C039B6"/>
    <w:rsid w:val="00C30AF9"/>
    <w:rsid w:val="00C330E2"/>
    <w:rsid w:val="00C33DAF"/>
    <w:rsid w:val="00C660B9"/>
    <w:rsid w:val="00C733B0"/>
    <w:rsid w:val="00CA0B3C"/>
    <w:rsid w:val="00CD429A"/>
    <w:rsid w:val="00CD5711"/>
    <w:rsid w:val="00CD7DFE"/>
    <w:rsid w:val="00CE5CBC"/>
    <w:rsid w:val="00D136B7"/>
    <w:rsid w:val="00D261B8"/>
    <w:rsid w:val="00D329A9"/>
    <w:rsid w:val="00D51AE9"/>
    <w:rsid w:val="00DA109A"/>
    <w:rsid w:val="00DB1565"/>
    <w:rsid w:val="00DB27F8"/>
    <w:rsid w:val="00DC0B94"/>
    <w:rsid w:val="00DE4F44"/>
    <w:rsid w:val="00E17D38"/>
    <w:rsid w:val="00E57F96"/>
    <w:rsid w:val="00E636BE"/>
    <w:rsid w:val="00E64505"/>
    <w:rsid w:val="00E6765E"/>
    <w:rsid w:val="00E72815"/>
    <w:rsid w:val="00E7477A"/>
    <w:rsid w:val="00E800E7"/>
    <w:rsid w:val="00E82F0D"/>
    <w:rsid w:val="00E92832"/>
    <w:rsid w:val="00EA5B2E"/>
    <w:rsid w:val="00EE39EE"/>
    <w:rsid w:val="00EE6FB2"/>
    <w:rsid w:val="00EE77AB"/>
    <w:rsid w:val="00F160E3"/>
    <w:rsid w:val="00F24D7E"/>
    <w:rsid w:val="00F561C5"/>
    <w:rsid w:val="00F57D5F"/>
    <w:rsid w:val="00F75B0B"/>
    <w:rsid w:val="00FA4BBE"/>
    <w:rsid w:val="00FB5A8C"/>
    <w:rsid w:val="00FC2D59"/>
    <w:rsid w:val="00FC51EF"/>
    <w:rsid w:val="00FC616D"/>
    <w:rsid w:val="00FD14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D47F"/>
  <w15:chartTrackingRefBased/>
  <w15:docId w15:val="{61BF5F4F-61F4-40B5-9C8A-6A3815D8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E92832"/>
    <w:pPr>
      <w:keepNext/>
      <w:keepLines/>
      <w:numPr>
        <w:numId w:val="6"/>
      </w:numPr>
      <w:spacing w:after="43"/>
      <w:outlineLvl w:val="0"/>
    </w:pPr>
    <w:rPr>
      <w:rFonts w:ascii="Calibri" w:eastAsia="Calibri" w:hAnsi="Calibri" w:cs="Calibri"/>
      <w:color w:val="000000"/>
      <w:sz w:val="41"/>
      <w:lang w:eastAsia="en-GB"/>
    </w:rPr>
  </w:style>
  <w:style w:type="paragraph" w:styleId="Titre2">
    <w:name w:val="heading 2"/>
    <w:next w:val="Normal"/>
    <w:link w:val="Titre2Car"/>
    <w:uiPriority w:val="9"/>
    <w:unhideWhenUsed/>
    <w:qFormat/>
    <w:rsid w:val="00E92832"/>
    <w:pPr>
      <w:keepNext/>
      <w:keepLines/>
      <w:numPr>
        <w:ilvl w:val="1"/>
        <w:numId w:val="6"/>
      </w:numPr>
      <w:spacing w:after="186"/>
      <w:outlineLvl w:val="1"/>
    </w:pPr>
    <w:rPr>
      <w:rFonts w:ascii="Calibri" w:eastAsia="Calibri" w:hAnsi="Calibri" w:cs="Calibri"/>
      <w:color w:val="000000"/>
      <w:sz w:val="29"/>
      <w:lang w:eastAsia="en-GB"/>
    </w:rPr>
  </w:style>
  <w:style w:type="paragraph" w:styleId="Titre3">
    <w:name w:val="heading 3"/>
    <w:next w:val="Normal"/>
    <w:link w:val="Titre3Car"/>
    <w:uiPriority w:val="9"/>
    <w:unhideWhenUsed/>
    <w:qFormat/>
    <w:rsid w:val="00E92832"/>
    <w:pPr>
      <w:keepNext/>
      <w:keepLines/>
      <w:numPr>
        <w:ilvl w:val="2"/>
        <w:numId w:val="6"/>
      </w:numPr>
      <w:spacing w:after="173"/>
      <w:outlineLvl w:val="2"/>
    </w:pPr>
    <w:rPr>
      <w:rFonts w:ascii="Calibri" w:eastAsia="Calibri" w:hAnsi="Calibri" w:cs="Calibri"/>
      <w:color w:val="000000"/>
      <w:sz w:val="24"/>
      <w:lang w:eastAsia="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2F55"/>
    <w:pPr>
      <w:ind w:left="720"/>
      <w:contextualSpacing/>
    </w:pPr>
  </w:style>
  <w:style w:type="character" w:styleId="Marquedecommentaire">
    <w:name w:val="annotation reference"/>
    <w:basedOn w:val="Policepardfaut"/>
    <w:uiPriority w:val="99"/>
    <w:semiHidden/>
    <w:unhideWhenUsed/>
    <w:rsid w:val="00521A8C"/>
    <w:rPr>
      <w:sz w:val="16"/>
      <w:szCs w:val="16"/>
    </w:rPr>
  </w:style>
  <w:style w:type="paragraph" w:styleId="Commentaire">
    <w:name w:val="annotation text"/>
    <w:basedOn w:val="Normal"/>
    <w:link w:val="CommentaireCar"/>
    <w:uiPriority w:val="99"/>
    <w:unhideWhenUsed/>
    <w:rsid w:val="00521A8C"/>
    <w:pPr>
      <w:spacing w:after="3" w:line="240" w:lineRule="auto"/>
      <w:ind w:firstLine="1"/>
      <w:jc w:val="both"/>
    </w:pPr>
    <w:rPr>
      <w:rFonts w:ascii="Calibri" w:eastAsia="Calibri" w:hAnsi="Calibri" w:cs="Calibri"/>
      <w:color w:val="000000"/>
      <w:sz w:val="20"/>
      <w:szCs w:val="20"/>
      <w:lang w:eastAsia="en-GB"/>
    </w:rPr>
  </w:style>
  <w:style w:type="character" w:customStyle="1" w:styleId="CommentaireCar">
    <w:name w:val="Commentaire Car"/>
    <w:basedOn w:val="Policepardfaut"/>
    <w:link w:val="Commentaire"/>
    <w:uiPriority w:val="99"/>
    <w:rsid w:val="00521A8C"/>
    <w:rPr>
      <w:rFonts w:ascii="Calibri" w:eastAsia="Calibri" w:hAnsi="Calibri" w:cs="Calibri"/>
      <w:color w:val="000000"/>
      <w:sz w:val="20"/>
      <w:szCs w:val="20"/>
      <w:lang w:eastAsia="en-GB"/>
    </w:rPr>
  </w:style>
  <w:style w:type="paragraph" w:styleId="En-tte">
    <w:name w:val="header"/>
    <w:basedOn w:val="Normal"/>
    <w:link w:val="En-tteCar"/>
    <w:uiPriority w:val="99"/>
    <w:unhideWhenUsed/>
    <w:rsid w:val="00D329A9"/>
    <w:pPr>
      <w:tabs>
        <w:tab w:val="center" w:pos="4536"/>
        <w:tab w:val="right" w:pos="9072"/>
      </w:tabs>
      <w:spacing w:after="0" w:line="240" w:lineRule="auto"/>
    </w:pPr>
  </w:style>
  <w:style w:type="character" w:customStyle="1" w:styleId="En-tteCar">
    <w:name w:val="En-tête Car"/>
    <w:basedOn w:val="Policepardfaut"/>
    <w:link w:val="En-tte"/>
    <w:uiPriority w:val="99"/>
    <w:rsid w:val="00D329A9"/>
  </w:style>
  <w:style w:type="paragraph" w:styleId="Pieddepage">
    <w:name w:val="footer"/>
    <w:basedOn w:val="Normal"/>
    <w:link w:val="PieddepageCar"/>
    <w:uiPriority w:val="99"/>
    <w:unhideWhenUsed/>
    <w:rsid w:val="00D329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9A9"/>
  </w:style>
  <w:style w:type="character" w:styleId="Lienhypertexte">
    <w:name w:val="Hyperlink"/>
    <w:basedOn w:val="Policepardfaut"/>
    <w:uiPriority w:val="99"/>
    <w:semiHidden/>
    <w:unhideWhenUsed/>
    <w:rsid w:val="00F561C5"/>
    <w:rPr>
      <w:color w:val="0000FF"/>
      <w:u w:val="single"/>
    </w:rPr>
  </w:style>
  <w:style w:type="character" w:customStyle="1" w:styleId="Titre1Car">
    <w:name w:val="Titre 1 Car"/>
    <w:basedOn w:val="Policepardfaut"/>
    <w:link w:val="Titre1"/>
    <w:uiPriority w:val="9"/>
    <w:rsid w:val="00E92832"/>
    <w:rPr>
      <w:rFonts w:ascii="Calibri" w:eastAsia="Calibri" w:hAnsi="Calibri" w:cs="Calibri"/>
      <w:color w:val="000000"/>
      <w:sz w:val="41"/>
      <w:lang w:eastAsia="en-GB"/>
    </w:rPr>
  </w:style>
  <w:style w:type="character" w:customStyle="1" w:styleId="Titre2Car">
    <w:name w:val="Titre 2 Car"/>
    <w:basedOn w:val="Policepardfaut"/>
    <w:link w:val="Titre2"/>
    <w:uiPriority w:val="9"/>
    <w:rsid w:val="00E92832"/>
    <w:rPr>
      <w:rFonts w:ascii="Calibri" w:eastAsia="Calibri" w:hAnsi="Calibri" w:cs="Calibri"/>
      <w:color w:val="000000"/>
      <w:sz w:val="29"/>
      <w:lang w:eastAsia="en-GB"/>
    </w:rPr>
  </w:style>
  <w:style w:type="character" w:customStyle="1" w:styleId="Titre3Car">
    <w:name w:val="Titre 3 Car"/>
    <w:basedOn w:val="Policepardfaut"/>
    <w:link w:val="Titre3"/>
    <w:uiPriority w:val="9"/>
    <w:rsid w:val="00E92832"/>
    <w:rPr>
      <w:rFonts w:ascii="Calibri" w:eastAsia="Calibri" w:hAnsi="Calibri" w:cs="Calibri"/>
      <w:color w:val="000000"/>
      <w:sz w:val="24"/>
      <w:lang w:eastAsia="en-GB"/>
    </w:rPr>
  </w:style>
  <w:style w:type="character" w:styleId="Numrodeligne">
    <w:name w:val="line number"/>
    <w:basedOn w:val="Policepardfaut"/>
    <w:uiPriority w:val="99"/>
    <w:semiHidden/>
    <w:unhideWhenUsed/>
    <w:rsid w:val="00E92832"/>
  </w:style>
  <w:style w:type="paragraph" w:styleId="Objetducommentaire">
    <w:name w:val="annotation subject"/>
    <w:basedOn w:val="Commentaire"/>
    <w:next w:val="Commentaire"/>
    <w:link w:val="ObjetducommentaireCar"/>
    <w:uiPriority w:val="99"/>
    <w:semiHidden/>
    <w:unhideWhenUsed/>
    <w:rsid w:val="00C039B6"/>
    <w:pPr>
      <w:spacing w:after="160"/>
      <w:ind w:firstLine="0"/>
      <w:jc w:val="left"/>
    </w:pPr>
    <w:rPr>
      <w:rFonts w:asciiTheme="minorHAnsi" w:eastAsiaTheme="minorHAnsi" w:hAnsiTheme="minorHAnsi" w:cstheme="minorBidi"/>
      <w:b/>
      <w:bCs/>
      <w:color w:val="auto"/>
      <w:lang w:eastAsia="en-US"/>
    </w:rPr>
  </w:style>
  <w:style w:type="character" w:customStyle="1" w:styleId="ObjetducommentaireCar">
    <w:name w:val="Objet du commentaire Car"/>
    <w:basedOn w:val="CommentaireCar"/>
    <w:link w:val="Objetducommentaire"/>
    <w:uiPriority w:val="99"/>
    <w:semiHidden/>
    <w:rsid w:val="00C039B6"/>
    <w:rPr>
      <w:rFonts w:ascii="Calibri" w:eastAsia="Calibri" w:hAnsi="Calibri" w:cs="Calibri"/>
      <w:b/>
      <w:bCs/>
      <w:color w:val="000000"/>
      <w:sz w:val="20"/>
      <w:szCs w:val="20"/>
      <w:lang w:eastAsia="en-GB"/>
    </w:rPr>
  </w:style>
  <w:style w:type="character" w:styleId="Textedelespacerserv">
    <w:name w:val="Placeholder Text"/>
    <w:basedOn w:val="Policepardfaut"/>
    <w:uiPriority w:val="99"/>
    <w:semiHidden/>
    <w:rsid w:val="00E74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12579</TotalTime>
  <Pages>19</Pages>
  <Words>4863</Words>
  <Characters>27725</Characters>
  <Application>Microsoft Office Word</Application>
  <DocSecurity>0</DocSecurity>
  <Lines>231</Lines>
  <Paragraphs>65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Footprint of heat extraction</vt:lpstr>
    </vt:vector>
  </TitlesOfParts>
  <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20</cp:revision>
  <dcterms:created xsi:type="dcterms:W3CDTF">2021-04-06T08:15:00Z</dcterms:created>
  <dcterms:modified xsi:type="dcterms:W3CDTF">2021-04-24T19:00:00Z</dcterms:modified>
</cp:coreProperties>
</file>