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B61FC" w14:textId="5FF2FB08" w:rsidR="0005504F" w:rsidRDefault="004A434C" w:rsidP="00D560F2">
      <w:pPr>
        <w:spacing w:afterLines="80" w:after="192" w:line="480" w:lineRule="auto"/>
        <w:ind w:left="-4" w:firstLine="339"/>
      </w:pPr>
      <w:r>
        <w:t xml:space="preserve">The favourable contribution of advective recharge to the BHE performances makes BHEs another site-specific geothermal resource that is out of the scope of this study. Here, we </w:t>
      </w:r>
      <w:r w:rsidRPr="00943897">
        <w:t>investigat</w:t>
      </w:r>
      <w:r>
        <w:t>e</w:t>
      </w:r>
      <w:r w:rsidRPr="00943897">
        <w:t xml:space="preserve"> </w:t>
      </w:r>
      <w:r>
        <w:t xml:space="preserve">a </w:t>
      </w:r>
      <w:r w:rsidRPr="00943897">
        <w:t xml:space="preserve">case with no advection </w:t>
      </w:r>
      <w:r>
        <w:t>by focusing solely on diffusive heat transfers.</w:t>
      </w:r>
      <w:r>
        <w:rPr>
          <w:rStyle w:val="Marquedecommentaire"/>
        </w:rPr>
        <w:annotationRef/>
      </w:r>
    </w:p>
    <w:p w14:paraId="5B267625" w14:textId="36944CD8" w:rsidR="0005504F" w:rsidRDefault="007F4668" w:rsidP="00D560F2">
      <w:pPr>
        <w:spacing w:afterLines="80" w:after="192" w:line="480" w:lineRule="auto"/>
        <w:ind w:left="-4" w:firstLine="339"/>
      </w:pPr>
      <w:r>
        <w:t xml:space="preserve"> Injecting excess solar heat energy collected from solar panels in summer into the ground was view by the authors as a potential solution to compensate for the geothermal heat extracted in winter and guarantee the long-term viability of such installations.</w:t>
      </w:r>
    </w:p>
    <w:p w14:paraId="33A18814" w14:textId="77777777" w:rsidR="005469ED" w:rsidRDefault="005469ED" w:rsidP="005469ED">
      <w:pPr>
        <w:spacing w:afterLines="80" w:after="192" w:line="480" w:lineRule="auto"/>
        <w:ind w:left="-4"/>
      </w:pPr>
      <w:r>
        <w:t xml:space="preserve">We therefore here attempt to quantify the rate of heat production in the subsurface as well as the potential recovery rate from solar and geothermal heat flux, based on a typical temperature and geological profile in the Midlothian Coalfield in Scotland. </w:t>
      </w:r>
    </w:p>
    <w:p w14:paraId="7254CC97" w14:textId="02A54054" w:rsidR="00727E5C" w:rsidRDefault="00603489" w:rsidP="00603489">
      <w:pPr>
        <w:spacing w:afterLines="80" w:after="192" w:line="480" w:lineRule="auto"/>
        <w:ind w:left="-4" w:firstLine="339"/>
      </w:pPr>
      <w:r>
        <w:rPr>
          <w:rStyle w:val="Marquedecommentaire"/>
        </w:rPr>
        <w:annotationRef/>
      </w:r>
      <w:r w:rsidRPr="00327865">
        <w:t>The effect is that the year</w:t>
      </w:r>
      <w:r>
        <w:t>l</w:t>
      </w:r>
      <w:r w:rsidRPr="00327865">
        <w:t>y average temperature can be assumed for a first approximation to be a Dirichlet boundary. However, ignoring the cooling effect overestimates how much heat is available, and will maintain the near surface temperature artificially high.</w:t>
      </w:r>
    </w:p>
    <w:p w14:paraId="1D311D88" w14:textId="37B16093" w:rsidR="00727E5C" w:rsidRDefault="00727E5C" w:rsidP="00727E5C">
      <w:pPr>
        <w:spacing w:afterLines="80" w:after="192" w:line="480" w:lineRule="auto"/>
        <w:ind w:left="-4" w:firstLine="339"/>
      </w:pPr>
      <w:r>
        <w:t>Choosing the ∆</w:t>
      </w:r>
      <w:r>
        <w:rPr>
          <w:i/>
        </w:rPr>
        <w:t>T</w:t>
      </w:r>
      <w:r>
        <w:t xml:space="preserve"> at the heat pump to calculate the required volume however neglects what the actual temperature of the rock is. To account for the heat content of rock sections, Raymond and Therrien (2008) suggested to define </w:t>
      </w:r>
      <m:oMath>
        <m:r>
          <w:rPr>
            <w:rFonts w:ascii="Cambria Math" w:hAnsi="Cambria Math"/>
          </w:rPr>
          <m:t>∆T</m:t>
        </m:r>
      </m:oMath>
      <w:r>
        <w:t xml:space="preserve">  in Eq. 2.1 according to the initial rock temperature </w:t>
      </w:r>
      <m:oMath>
        <m:f>
          <m:fPr>
            <m:ctrlPr>
              <w:rPr>
                <w:rFonts w:ascii="Cambria Math" w:hAnsi="Cambria Math"/>
                <w:i/>
              </w:rPr>
            </m:ctrlPr>
          </m:fPr>
          <m:num>
            <m:r>
              <w:rPr>
                <w:rFonts w:ascii="Cambria Math" w:hAnsi="Cambria Math"/>
              </w:rPr>
              <m:t>dT</m:t>
            </m:r>
          </m:num>
          <m:den>
            <m:r>
              <w:rPr>
                <w:rFonts w:ascii="Cambria Math" w:hAnsi="Cambria Math"/>
              </w:rPr>
              <m:t>dz</m:t>
            </m:r>
          </m:den>
        </m:f>
        <m:r>
          <w:rPr>
            <w:rFonts w:ascii="Cambria Math" w:hAnsi="Cambria Math"/>
          </w:rPr>
          <m:t>×z</m:t>
        </m:r>
      </m:oMath>
      <w:r>
        <w:t xml:space="preserve">, with </w:t>
      </w:r>
      <w:r>
        <w:rPr>
          <w:i/>
        </w:rPr>
        <w:t xml:space="preserve">z </w:t>
      </w:r>
      <w:r>
        <w:t xml:space="preserve">the average depth of the considered rock section and </w:t>
      </w:r>
      <m:oMath>
        <m:f>
          <m:fPr>
            <m:ctrlPr>
              <w:rPr>
                <w:rFonts w:ascii="Cambria Math" w:hAnsi="Cambria Math"/>
                <w:i/>
              </w:rPr>
            </m:ctrlPr>
          </m:fPr>
          <m:num>
            <m:r>
              <w:rPr>
                <w:rFonts w:ascii="Cambria Math" w:hAnsi="Cambria Math"/>
              </w:rPr>
              <m:t>dT</m:t>
            </m:r>
          </m:num>
          <m:den>
            <m:r>
              <w:rPr>
                <w:rFonts w:ascii="Cambria Math" w:hAnsi="Cambria Math"/>
              </w:rPr>
              <m:t>dz</m:t>
            </m:r>
          </m:den>
        </m:f>
      </m:oMath>
      <w:r>
        <w:rPr>
          <w:i/>
          <w:vertAlign w:val="subscript"/>
        </w:rPr>
        <w:t xml:space="preserve"> </w:t>
      </w:r>
      <w:r>
        <w:t xml:space="preserve">the mean geothermal gradient. </w:t>
      </w:r>
      <w:commentRangeStart w:id="0"/>
      <w:commentRangeEnd w:id="0"/>
      <w:r>
        <w:rPr>
          <w:rStyle w:val="Marquedecommentaire"/>
        </w:rPr>
        <w:commentReference w:id="0"/>
      </w:r>
      <w:r>
        <w:t>In such scenario</w:t>
      </w:r>
      <w:proofErr w:type="gramStart"/>
      <w:r>
        <w:t>, ,</w:t>
      </w:r>
      <w:proofErr w:type="gramEnd"/>
      <w:r>
        <w:t xml:space="preserve"> ∆</w:t>
      </w:r>
      <w:r>
        <w:rPr>
          <w:i/>
        </w:rPr>
        <w:t xml:space="preserve">T </w:t>
      </w:r>
      <w:r>
        <w:t>would be reduced to 2°</w:t>
      </w:r>
      <w:commentRangeStart w:id="1"/>
      <w:commentRangeStart w:id="2"/>
      <w:r>
        <w:t>C</w:t>
      </w:r>
      <w:commentRangeEnd w:id="1"/>
      <w:r>
        <w:rPr>
          <w:rStyle w:val="Marquedecommentaire"/>
        </w:rPr>
        <w:commentReference w:id="1"/>
      </w:r>
      <w:commentRangeEnd w:id="2"/>
      <w:r>
        <w:rPr>
          <w:rStyle w:val="Marquedecommentaire"/>
        </w:rPr>
        <w:commentReference w:id="2"/>
      </w:r>
      <w:r>
        <w:t xml:space="preserve">. Assuming an average borehole depth z = 70 m and a geothermal gradient </w:t>
      </w:r>
      <w:r>
        <w:rPr>
          <w:i/>
        </w:rPr>
        <w:t xml:space="preserve">α </w:t>
      </w:r>
      <w:r>
        <w:t xml:space="preserve">= 31 </w:t>
      </w:r>
      <w:r>
        <w:rPr>
          <w:rFonts w:ascii="Cambria" w:eastAsia="Cambria" w:hAnsi="Cambria" w:cs="Cambria"/>
          <w:vertAlign w:val="superscript"/>
        </w:rPr>
        <w:t>◦</w:t>
      </w:r>
      <w:r>
        <w:rPr>
          <w:i/>
        </w:rPr>
        <w:t>C</w:t>
      </w:r>
      <w:r>
        <w:rPr>
          <w:rFonts w:ascii="Cambria" w:eastAsia="Cambria" w:hAnsi="Cambria" w:cs="Cambria"/>
          <w:i/>
        </w:rPr>
        <w:t>/</w:t>
      </w:r>
      <w:r>
        <w:rPr>
          <w:i/>
        </w:rPr>
        <w:t>km</w:t>
      </w:r>
      <w:r>
        <w:t xml:space="preserve">, the volume of rock required for cooling would be increased to an area of 180 </w:t>
      </w:r>
      <w:r>
        <w:rPr>
          <w:i/>
        </w:rPr>
        <w:t>m</w:t>
      </w:r>
      <w:r>
        <w:rPr>
          <w:vertAlign w:val="superscript"/>
        </w:rPr>
        <w:t>2</w:t>
      </w:r>
      <w:r>
        <w:t xml:space="preserve"> for 1 year and 5500 m² for 30 years. In that case, considering a lower geothermal gradient and thus a lower </w:t>
      </w:r>
      <m:oMath>
        <m:r>
          <m:rPr>
            <m:sty m:val="p"/>
          </m:rPr>
          <w:rPr>
            <w:rFonts w:ascii="Cambria Math" w:hAnsi="Cambria Math"/>
          </w:rPr>
          <m:t>∆</m:t>
        </m:r>
        <m:r>
          <w:rPr>
            <w:rFonts w:ascii="Cambria Math" w:hAnsi="Cambria Math"/>
          </w:rPr>
          <m:t>T</m:t>
        </m:r>
      </m:oMath>
      <w:r>
        <w:t xml:space="preserve"> at the borehole would require greater rock volume to provide the necessary heat load.</w:t>
      </w:r>
    </w:p>
    <w:p w14:paraId="2AD2B2C8" w14:textId="70217227" w:rsidR="00753564" w:rsidRPr="0003296E" w:rsidRDefault="00753564" w:rsidP="00727E5C">
      <w:pPr>
        <w:spacing w:afterLines="80" w:after="192" w:line="480" w:lineRule="auto"/>
        <w:ind w:left="-4" w:firstLine="339"/>
      </w:pPr>
      <w:r>
        <w:t>Using 133 Bottom-Hole temperature (BHT) acquired from depth &gt;1.5 km in 72 offshore wells in the North West Margin area (</w:t>
      </w:r>
      <w:proofErr w:type="spellStart"/>
      <w:r>
        <w:t>Gatliff</w:t>
      </w:r>
      <w:proofErr w:type="spellEnd"/>
      <w:r>
        <w:t xml:space="preserve"> et al., 1996 in Gillespie et al., 2013), the authors however noted the increase in the deep geothermal gradient from about 35.8</w:t>
      </w:r>
      <w:r>
        <w:rPr>
          <w:rFonts w:ascii="Cambria" w:eastAsia="Cambria" w:hAnsi="Cambria" w:cs="Cambria"/>
          <w:vertAlign w:val="superscript"/>
        </w:rPr>
        <w:t>◦</w:t>
      </w:r>
      <w:r>
        <w:t>C/km at 1 - 3.5 km to 46.7</w:t>
      </w:r>
      <w:r>
        <w:rPr>
          <w:rFonts w:ascii="Cambria" w:eastAsia="Cambria" w:hAnsi="Cambria" w:cs="Cambria"/>
          <w:vertAlign w:val="superscript"/>
        </w:rPr>
        <w:t>◦</w:t>
      </w:r>
      <w:r>
        <w:t>C/km at 3.5 - 5 km, relatively consistent across Scotland, and independent of the location (</w:t>
      </w:r>
      <w:proofErr w:type="gramStart"/>
      <w:r>
        <w:t>i.e.</w:t>
      </w:r>
      <w:proofErr w:type="gramEnd"/>
      <w:r>
        <w:t xml:space="preserve"> onshore or offshore) </w:t>
      </w:r>
      <w:r>
        <w:lastRenderedPageBreak/>
        <w:t xml:space="preserve">and the type of rock (i.e. sedimentary, crystalline basement) in which measurement were taken. Plotted together, onshore and offshore temperature measurements for the whole depth range (0-5km) indicated an average geothermal gradient of </w:t>
      </w:r>
      <w:r w:rsidRPr="00417564">
        <w:t xml:space="preserve">31.9 </w:t>
      </w:r>
      <w:r w:rsidRPr="00417564">
        <w:rPr>
          <w:rFonts w:ascii="Cambria" w:eastAsia="Cambria" w:hAnsi="Cambria" w:cs="Cambria"/>
          <w:vertAlign w:val="superscript"/>
        </w:rPr>
        <w:t>◦</w:t>
      </w:r>
      <w:r w:rsidRPr="00417564">
        <w:t>C/km.</w:t>
      </w:r>
    </w:p>
    <w:p w14:paraId="61ABA0AA" w14:textId="1B6C5C1F" w:rsidR="00FB5A8C" w:rsidRDefault="00FB5A8C" w:rsidP="00603489">
      <w:pPr>
        <w:ind w:firstLine="0"/>
      </w:pPr>
    </w:p>
    <w:p w14:paraId="31D67DB1" w14:textId="77777777" w:rsidR="009C6114" w:rsidRDefault="009C6114" w:rsidP="009C6114">
      <w:pPr>
        <w:spacing w:afterLines="80" w:after="192" w:line="480" w:lineRule="auto"/>
        <w:ind w:left="-4" w:firstLine="339"/>
      </w:pPr>
      <w:r>
        <w:t xml:space="preserve">Below that depth, the ground temperature is mainly controlled by the upward geothermal heat flux and tends to follow the trend of the local geothermal gradient (Hein et al., 2016). </w:t>
      </w:r>
    </w:p>
    <w:p w14:paraId="2BF25131" w14:textId="77777777" w:rsidR="00123333" w:rsidRDefault="00123333" w:rsidP="00123333">
      <w:pPr>
        <w:spacing w:afterLines="80" w:after="192" w:line="480" w:lineRule="auto"/>
        <w:ind w:left="-4" w:firstLine="339"/>
      </w:pPr>
      <w:commentRangeStart w:id="3"/>
      <w:r>
        <w:t>Although</w:t>
      </w:r>
      <w:commentRangeEnd w:id="3"/>
      <w:r w:rsidR="004D6D7F">
        <w:rPr>
          <w:rStyle w:val="Marquedecommentaire"/>
        </w:rPr>
        <w:commentReference w:id="3"/>
      </w:r>
      <w:r>
        <w:t xml:space="preserve"> solar heat flux is an order of magnitude higher than the geothermal heat flux, it is expected to decrease exponentially with depth due to 1) an increase in temperature and 2) a dissipation of the effects of solar radiation and atmospheric condition with depth depending on the diffusivity of the soil (</w:t>
      </w:r>
      <w:proofErr w:type="spellStart"/>
      <w:r>
        <w:t>Ozgener</w:t>
      </w:r>
      <w:proofErr w:type="spellEnd"/>
      <w:r>
        <w:t xml:space="preserve"> et al., 2013). Therefore, the estimated solar recharge might be constrained to shallow depth and overestimate the heat recharge to the borehole. Additionally, energy losses might also occur at the surface in situations where the ground gets warmer than the surface. </w:t>
      </w:r>
    </w:p>
    <w:p w14:paraId="285B2D66" w14:textId="77777777" w:rsidR="00723CBD" w:rsidRDefault="00723CBD" w:rsidP="00723CBD">
      <w:pPr>
        <w:spacing w:afterLines="80" w:after="192" w:line="480" w:lineRule="auto"/>
        <w:ind w:left="-4" w:firstLine="339"/>
      </w:pPr>
      <w:r>
        <w:t xml:space="preserve">The large temperature decline at the borehole </w:t>
      </w:r>
      <w:proofErr w:type="gramStart"/>
      <w:r>
        <w:t>i.e.</w:t>
      </w:r>
      <w:proofErr w:type="gramEnd"/>
      <w:r>
        <w:t xml:space="preserve"> ΔT = 10.8°C in the finite model) relative to the one observed at distance x = 4.5 m after 1 year (ΔT = 1.1 °C) after 1 year or at x = 26. 5 m after 30 years (ΔT = 1.3 °C) suggests the presence of a cone of thermal drawdown, where the effects of heat extraction are damped and delayed with distance from the borehole. </w:t>
      </w:r>
    </w:p>
    <w:p w14:paraId="4F21842B" w14:textId="6EF5B767" w:rsidR="008330F6" w:rsidRDefault="008330F6" w:rsidP="008330F6">
      <w:pPr>
        <w:spacing w:afterLines="80" w:after="192" w:line="480" w:lineRule="auto"/>
        <w:ind w:left="-4" w:firstLine="339"/>
      </w:pPr>
      <w:r>
        <w:t>This comparison suggests the importance of lateral heat recharge in reducing the amplitude of the temperature decline in the zone of impact of the borehole. Although quasi-steady-state situation tend to be reached in the model.</w:t>
      </w:r>
    </w:p>
    <w:p w14:paraId="53D84022" w14:textId="43BA90D5" w:rsidR="008330F6" w:rsidRDefault="008330F6" w:rsidP="008330F6">
      <w:pPr>
        <w:spacing w:afterLines="80" w:after="192" w:line="480" w:lineRule="auto"/>
        <w:ind w:left="-4" w:firstLine="339"/>
      </w:pPr>
      <w:r>
        <w:t>This suggests that although a quasi-steady-state temperature tends to be reached at the borehole, this does not correspond to the spatial steady-state temperature conditions due to the poor heat generation and recharge potential of this system.</w:t>
      </w:r>
      <w:r w:rsidRPr="00054D5D">
        <w:t xml:space="preserve"> </w:t>
      </w:r>
    </w:p>
    <w:p w14:paraId="675303E8" w14:textId="76C9D4E3" w:rsidR="003B7408" w:rsidRDefault="003B7408" w:rsidP="008330F6">
      <w:pPr>
        <w:spacing w:afterLines="80" w:after="192" w:line="480" w:lineRule="auto"/>
        <w:ind w:left="-4" w:firstLine="339"/>
      </w:pPr>
    </w:p>
    <w:p w14:paraId="37F9011A" w14:textId="66AC0701" w:rsidR="003B7408" w:rsidRDefault="003B7408" w:rsidP="008330F6">
      <w:pPr>
        <w:spacing w:afterLines="80" w:after="192" w:line="480" w:lineRule="auto"/>
        <w:ind w:left="-4" w:firstLine="339"/>
      </w:pPr>
    </w:p>
    <w:p w14:paraId="54BF559F" w14:textId="31B9D7CA" w:rsidR="003B7408" w:rsidRDefault="003B7408" w:rsidP="003B7408">
      <w:pPr>
        <w:pStyle w:val="Titre2"/>
        <w:numPr>
          <w:ilvl w:val="1"/>
          <w:numId w:val="2"/>
        </w:numPr>
        <w:spacing w:after="0" w:line="480" w:lineRule="auto"/>
        <w:ind w:left="641"/>
      </w:pPr>
      <w:r>
        <w:t>Axial recharge</w:t>
      </w:r>
    </w:p>
    <w:p w14:paraId="5B14E98A" w14:textId="2C9D2F09" w:rsidR="001519FD" w:rsidRDefault="001519FD" w:rsidP="001519FD">
      <w:pPr>
        <w:spacing w:line="480" w:lineRule="auto"/>
        <w:ind w:firstLine="335"/>
      </w:pPr>
      <w:r>
        <w:t>We first attempt to quantify the axial affects induced by heat extraction from the 40-m long borehole over time by comparing the temperature profiles obtained from the 1D finite (F) and semi-infinite (SI) models.</w:t>
      </w:r>
      <w:r w:rsidRPr="00AA4A16">
        <w:t xml:space="preserve"> </w:t>
      </w:r>
      <w:r>
        <w:t>In both scenarios, a total heat load of 1200 W regularly distributed along the line source of finite length is abstracted from the 73 m² and 2200 m² models for durations of 1 year and 30 years, respectively, according to the analytical model described in part XXX.</w:t>
      </w:r>
    </w:p>
    <w:p w14:paraId="27F3D4A6" w14:textId="77777777" w:rsidR="003B7408" w:rsidRDefault="003B7408" w:rsidP="003B7408">
      <w:pPr>
        <w:spacing w:afterLines="80" w:after="192" w:line="480" w:lineRule="auto"/>
        <w:ind w:left="-4" w:firstLine="339"/>
      </w:pPr>
      <w:r>
        <w:t>We therefore calculate the integrated temperature difference in the borehole depth interval between the finite and semi-infinite models for both time periods in order to evaluate the effects of axial heat recharge on the observed temperature profile. This is done based on the following equation:</w:t>
      </w:r>
    </w:p>
    <w:p w14:paraId="50319CBA" w14:textId="77777777" w:rsidR="003B7408" w:rsidRPr="00464B6B" w:rsidRDefault="0013306D" w:rsidP="003B7408">
      <w:pPr>
        <w:spacing w:afterLines="80" w:after="192" w:line="480" w:lineRule="auto"/>
        <w:ind w:left="-4" w:firstLine="339"/>
        <w:jc w:val="center"/>
      </w:pPr>
      <m:oMathPara>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V</m:t>
                  </m:r>
                </m:e>
                <m:sub>
                  <m:r>
                    <w:rPr>
                      <w:rFonts w:ascii="Cambria Math" w:hAnsi="Cambria Math"/>
                    </w:rPr>
                    <m:t>1D</m:t>
                  </m:r>
                </m:sub>
              </m:sSub>
            </m:sub>
          </m:sSub>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50</m:t>
                  </m:r>
                </m:sub>
                <m:sup>
                  <m:r>
                    <w:rPr>
                      <w:rFonts w:ascii="Cambria Math" w:hAnsi="Cambria Math"/>
                    </w:rPr>
                    <m:t>90</m:t>
                  </m:r>
                </m:sup>
                <m:e>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F</m:t>
                          </m:r>
                        </m:e>
                        <m:sub>
                          <m:r>
                            <w:rPr>
                              <w:rFonts w:ascii="Cambria Math" w:hAnsi="Cambria Math"/>
                            </w:rPr>
                            <m:t>1D</m:t>
                          </m:r>
                        </m:sub>
                      </m:sSub>
                    </m:sub>
                  </m:sSub>
                </m:e>
              </m:nary>
              <m:r>
                <w:rPr>
                  <w:rFonts w:ascii="Cambria Math" w:hAnsi="Cambria Math"/>
                </w:rPr>
                <m:t>-</m:t>
              </m:r>
              <m:nary>
                <m:naryPr>
                  <m:limLoc m:val="subSup"/>
                  <m:ctrlPr>
                    <w:rPr>
                      <w:rFonts w:ascii="Cambria Math" w:hAnsi="Cambria Math"/>
                      <w:i/>
                    </w:rPr>
                  </m:ctrlPr>
                </m:naryPr>
                <m:sub>
                  <m:r>
                    <w:rPr>
                      <w:rFonts w:ascii="Cambria Math" w:hAnsi="Cambria Math"/>
                    </w:rPr>
                    <m:t>50</m:t>
                  </m:r>
                </m:sub>
                <m:sup>
                  <m:r>
                    <w:rPr>
                      <w:rFonts w:ascii="Cambria Math" w:hAnsi="Cambria Math"/>
                    </w:rPr>
                    <m:t>90</m:t>
                  </m:r>
                </m:sup>
                <m:e>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SI</m:t>
                          </m:r>
                        </m:e>
                        <m:sub>
                          <m:r>
                            <w:rPr>
                              <w:rFonts w:ascii="Cambria Math" w:hAnsi="Cambria Math"/>
                            </w:rPr>
                            <m:t>1D</m:t>
                          </m:r>
                        </m:sub>
                      </m:sSub>
                    </m:sub>
                  </m:sSub>
                </m:e>
              </m:nary>
            </m:num>
            <m:den>
              <m:nary>
                <m:naryPr>
                  <m:limLoc m:val="subSup"/>
                  <m:ctrlPr>
                    <w:rPr>
                      <w:rFonts w:ascii="Cambria Math" w:hAnsi="Cambria Math"/>
                      <w:i/>
                    </w:rPr>
                  </m:ctrlPr>
                </m:naryPr>
                <m:sub>
                  <m:r>
                    <w:rPr>
                      <w:rFonts w:ascii="Cambria Math" w:hAnsi="Cambria Math"/>
                    </w:rPr>
                    <m:t>50</m:t>
                  </m:r>
                </m:sub>
                <m:sup>
                  <m:r>
                    <w:rPr>
                      <w:rFonts w:ascii="Cambria Math" w:hAnsi="Cambria Math"/>
                    </w:rPr>
                    <m:t>90</m:t>
                  </m:r>
                </m:sup>
                <m:e>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F</m:t>
                          </m:r>
                        </m:e>
                        <m:sub>
                          <m:r>
                            <w:rPr>
                              <w:rFonts w:ascii="Cambria Math" w:hAnsi="Cambria Math"/>
                            </w:rPr>
                            <m:t>1D</m:t>
                          </m:r>
                        </m:sub>
                      </m:sSub>
                    </m:sub>
                  </m:sSub>
                </m:e>
              </m:nary>
            </m:den>
          </m:f>
        </m:oMath>
      </m:oMathPara>
    </w:p>
    <w:p w14:paraId="1A5673CC" w14:textId="77777777" w:rsidR="003B7408" w:rsidRDefault="003B7408" w:rsidP="003B7408">
      <w:pPr>
        <w:spacing w:line="480" w:lineRule="auto"/>
      </w:pPr>
      <w:r>
        <w:t>Where subscript F and SI refers to the finite 40-m long model and 1000-m long semi-infinite model, respectively, and the integrand limits represent the model depths. Results indicate that after 1 year (73-m² model), about 10% of the heat extracted in the semi-infinite model is sourced from the area available above and below the borehole. Over 30 years, although the model used dispose of a greater rock volume (</w:t>
      </w:r>
      <w:proofErr w:type="gramStart"/>
      <w:r>
        <w:t>i.e.</w:t>
      </w:r>
      <w:proofErr w:type="gramEnd"/>
      <w:r>
        <w:t xml:space="preserve"> 2200-</w:t>
      </w:r>
      <w:r>
        <w:rPr>
          <w:i/>
        </w:rPr>
        <w:t>m</w:t>
      </w:r>
      <w:r>
        <w:rPr>
          <w:vertAlign w:val="superscript"/>
        </w:rPr>
        <w:t xml:space="preserve">2 </w:t>
      </w:r>
      <w:r>
        <w:t xml:space="preserve">model), the temperature drop within the borehole depth interval is considerably reduced, with the rocks situated above and below providing up to ~50% of the heat required by the borehole. The amplification of axial effects over time therefore permits the reduction in the temperature drop at the borehole, given that the model disposes of the appropriate lateral extent. </w:t>
      </w:r>
    </w:p>
    <w:p w14:paraId="103D26E4" w14:textId="77777777" w:rsidR="002E4CFF" w:rsidRPr="007767AA" w:rsidRDefault="002E4CFF" w:rsidP="002E4CFF">
      <w:pPr>
        <w:pStyle w:val="Titre2"/>
        <w:numPr>
          <w:ilvl w:val="1"/>
          <w:numId w:val="3"/>
        </w:numPr>
      </w:pPr>
      <w:r w:rsidRPr="007767AA">
        <w:t>Three-</w:t>
      </w:r>
      <w:commentRangeStart w:id="4"/>
      <w:r w:rsidRPr="007767AA">
        <w:t>dimensional</w:t>
      </w:r>
      <w:commentRangeEnd w:id="4"/>
      <w:r w:rsidR="00C3718F">
        <w:rPr>
          <w:rStyle w:val="Marquedecommentaire"/>
        </w:rPr>
        <w:commentReference w:id="4"/>
      </w:r>
      <w:r w:rsidRPr="007767AA">
        <w:t xml:space="preserve"> study of radial recharge</w:t>
      </w:r>
    </w:p>
    <w:p w14:paraId="4B7F919D" w14:textId="77777777" w:rsidR="00C8664D" w:rsidRDefault="00C8664D" w:rsidP="00C8664D">
      <w:pPr>
        <w:spacing w:afterLines="80" w:after="192" w:line="480" w:lineRule="auto"/>
        <w:ind w:left="-4" w:firstLine="339"/>
      </w:pPr>
      <w:r>
        <w:t>Assuming that 1D models represent far field conditions, we extract data along polylines situated at distances x = 4.5-m and x = 26.5-m from the borehole location (x = 0 m) after at 1-year and 30-years of simulation. Those distances correspond to the radii of the areas required for BHE utilisation after 1 and 30 years of heat extraction (73-m² and 2200-m²), respectively, and used in the 1D analysis.</w:t>
      </w:r>
    </w:p>
    <w:p w14:paraId="7802172A" w14:textId="77777777" w:rsidR="00C8664D" w:rsidRDefault="00C8664D" w:rsidP="00C8664D">
      <w:pPr>
        <w:pStyle w:val="Paragraphedeliste"/>
        <w:numPr>
          <w:ilvl w:val="0"/>
          <w:numId w:val="16"/>
        </w:numPr>
        <w:spacing w:afterLines="80" w:after="192" w:line="480" w:lineRule="auto"/>
        <w:ind w:left="709" w:hanging="374"/>
      </w:pPr>
      <w:r>
        <w:t xml:space="preserve">Using Eq. XXX, we calculate the relative proportion of axial heat recharge and compare it to results obtained from the 1D models </w:t>
      </w:r>
    </w:p>
    <w:p w14:paraId="033F8C04" w14:textId="77777777" w:rsidR="00C8664D" w:rsidRDefault="00C8664D" w:rsidP="00C8664D">
      <w:pPr>
        <w:pStyle w:val="Paragraphedeliste"/>
        <w:numPr>
          <w:ilvl w:val="0"/>
          <w:numId w:val="16"/>
        </w:numPr>
        <w:spacing w:afterLines="80" w:after="192" w:line="480" w:lineRule="auto"/>
        <w:ind w:left="709" w:hanging="374"/>
      </w:pPr>
      <w:r>
        <w:t>We deduce the relative contribution from radial heat recharge after 1 and 30 years of production based on the difference in temperatures measured at 4.5-m and 26.5-m in the 3D model and the temperatures in the 1D model, integrated within the borehole depth interval.</w:t>
      </w:r>
    </w:p>
    <w:p w14:paraId="37EB1C57" w14:textId="77777777" w:rsidR="00C8664D" w:rsidRDefault="00C8664D" w:rsidP="00C8664D">
      <w:pPr>
        <w:pStyle w:val="Paragraphedeliste"/>
        <w:numPr>
          <w:ilvl w:val="0"/>
          <w:numId w:val="16"/>
        </w:numPr>
        <w:spacing w:afterLines="80" w:after="192" w:line="480" w:lineRule="auto"/>
      </w:pPr>
      <w:r>
        <w:t>We calculate the axial fluxes induced at x = 0-m and at 4.5-m and 26.5-m in the 3D model after 1 and 30 years of heat extraction</w:t>
      </w:r>
    </w:p>
    <w:p w14:paraId="709592EB" w14:textId="74DA6F33" w:rsidR="003B7408" w:rsidRDefault="00C8664D" w:rsidP="00C8664D">
      <w:pPr>
        <w:spacing w:afterLines="80" w:after="192" w:line="480" w:lineRule="auto"/>
      </w:pPr>
      <w:r>
        <w:t xml:space="preserve">The comparison between the temperature profiles extracted in the 3D models at x = </w:t>
      </w:r>
      <w:r w:rsidRPr="00C305AB">
        <w:t>4.5</w:t>
      </w:r>
      <w:r>
        <w:t>-</w:t>
      </w:r>
      <w:r w:rsidRPr="00C305AB">
        <w:t>m</w:t>
      </w:r>
      <w:r>
        <w:t xml:space="preserve"> and x = </w:t>
      </w:r>
      <w:r w:rsidRPr="00C305AB">
        <w:t>26.5</w:t>
      </w:r>
      <w:r>
        <w:t>-</w:t>
      </w:r>
      <w:r w:rsidRPr="00C305AB">
        <w:t xml:space="preserve">m with the </w:t>
      </w:r>
      <w:r>
        <w:t>corresponding 1</w:t>
      </w:r>
      <w:r w:rsidRPr="00C305AB">
        <w:t>D</w:t>
      </w:r>
      <w:r>
        <w:t xml:space="preserve"> profiles (</w:t>
      </w:r>
      <w:proofErr w:type="gramStart"/>
      <w:r>
        <w:t>i.e.</w:t>
      </w:r>
      <w:proofErr w:type="gramEnd"/>
      <w:r>
        <w:t xml:space="preserve"> 73m² and </w:t>
      </w:r>
      <w:r w:rsidRPr="00C305AB">
        <w:t xml:space="preserve">1D </w:t>
      </w:r>
      <w:r>
        <w:t xml:space="preserve">2200m² </w:t>
      </w:r>
      <w:r w:rsidRPr="00C305AB">
        <w:t>model</w:t>
      </w:r>
      <w:r>
        <w:t>s, respectively) after 1 and 30 years of heat extraction suggests a smaller thermal drawdown in the far field of the 3D model than in the corresponding 1D model (Fig. 4). However</w:t>
      </w:r>
      <w:r w:rsidRPr="00A907B2">
        <w:rPr>
          <w:highlight w:val="yellow"/>
        </w:rPr>
        <w:t>, results from the calculations indicate that at those distances from the line source, the contribution from axial flux is in the order of those estimated from 1D scenarios, that is about 10% ± 0.3% after one year and ~50% ± 3.9% after 30 years</w:t>
      </w:r>
      <w:r>
        <w:t>. On the contrary, a greater temperature decline is observed at the borehole location (</w:t>
      </w:r>
      <w:proofErr w:type="spellStart"/>
      <w:r>
        <w:t>i.e</w:t>
      </w:r>
      <w:proofErr w:type="spellEnd"/>
      <w:r>
        <w:t xml:space="preserve"> x = 0-m), interpreted to result from the effects of lateral spatial discretisation. In the finite models (</w:t>
      </w:r>
      <w:proofErr w:type="gramStart"/>
      <w:r>
        <w:t>i.e.</w:t>
      </w:r>
      <w:proofErr w:type="gramEnd"/>
      <w:r>
        <w:t xml:space="preserve"> red profile), the temperature at the mid-borehole declines by 6.2°C after 1 year ( </w:t>
      </w:r>
      <m:oMath>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oMath>
      <w:r>
        <w:t xml:space="preserve"> 5 °C) and by 10.8°C after 30 years (</w:t>
      </w:r>
      <m:oMath>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 xml:space="preserve">= </m:t>
        </m:r>
      </m:oMath>
      <w:r>
        <w:t>0.35 °C). Although, the 3D semi-infinite model (</w:t>
      </w:r>
      <w:proofErr w:type="gramStart"/>
      <w:r>
        <w:t>i.e.</w:t>
      </w:r>
      <w:proofErr w:type="gramEnd"/>
      <w:r>
        <w:t xml:space="preserve"> pink profile) sees the same decline in temperature after 1 year of production, the effects of recharge after 30 years allow reducing the thermal drawdown at the borehole location, with a decline of 9.8°C is measured after 30 years (</w:t>
      </w:r>
      <m:oMath>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 1</m:t>
        </m:r>
      </m:oMath>
      <w:r>
        <w:t>.35 °C). Applying Eq. XXX at x = 0 m shows that axial effects only contribute to less than 5 % of the recharge after 1 year and up 17 % after 30 years. This suggests that although axial fluxes also allow reducing heat depletion in the borehole depth interval, they do not provide sufficient recharge in the area directly surrounding the borehole where the amplitude of the drawdown is the highest.</w:t>
      </w:r>
    </w:p>
    <w:p w14:paraId="426B16DF" w14:textId="77777777" w:rsidR="00FC46FB" w:rsidRDefault="00FC46FB" w:rsidP="00FC46FB">
      <w:pPr>
        <w:spacing w:afterLines="80" w:after="192" w:line="480" w:lineRule="auto"/>
        <w:ind w:left="-4" w:firstLine="339"/>
      </w:pPr>
      <w:r>
        <w:t>We then quantify the relative contribution of radial heat fluxes to the heat recharge to the borehole over time, using the relative temperature difference between data extracted at distances x = 4.5 m and x = 26.5 from the 3D finite model and the corresponding 1D finite temperature (Eq. XXX). Results indicate that when no axial recharge is allowed, radial heat fluxes contribute up to 70% of the recharge at the model boundary (</w:t>
      </w:r>
      <w:proofErr w:type="gramStart"/>
      <w:r>
        <w:t>i.e.</w:t>
      </w:r>
      <w:proofErr w:type="gramEnd"/>
      <w:r>
        <w:t xml:space="preserve"> 4.5 m for the 1-year model and 26.5 m for the 30-year model). In a case with axial recharge, they would contribute up to 63% of the recharge after 1 year and 35% after 30 years. </w:t>
      </w:r>
    </w:p>
    <w:p w14:paraId="2159500A" w14:textId="77777777" w:rsidR="00FC46FB" w:rsidRPr="00464B6B" w:rsidRDefault="0013306D" w:rsidP="00FC46FB">
      <w:pPr>
        <w:spacing w:afterLines="80" w:after="192" w:line="480" w:lineRule="auto"/>
        <w:ind w:left="-4" w:firstLine="339"/>
        <w:jc w:val="center"/>
      </w:pPr>
      <m:oMathPara>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H</m:t>
                  </m:r>
                </m:e>
                <m:sub>
                  <m:r>
                    <w:rPr>
                      <w:rFonts w:ascii="Cambria Math" w:hAnsi="Cambria Math"/>
                    </w:rPr>
                    <m:t>3D</m:t>
                  </m:r>
                </m:sub>
              </m:sSub>
            </m:sub>
          </m:sSub>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50</m:t>
                  </m:r>
                </m:sub>
                <m:sup>
                  <m:r>
                    <w:rPr>
                      <w:rFonts w:ascii="Cambria Math" w:hAnsi="Cambria Math"/>
                    </w:rPr>
                    <m:t>90</m:t>
                  </m:r>
                </m:sup>
                <m:e>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F</m:t>
                          </m:r>
                        </m:e>
                        <m:sub>
                          <m:r>
                            <w:rPr>
                              <w:rFonts w:ascii="Cambria Math" w:hAnsi="Cambria Math"/>
                            </w:rPr>
                            <m:t>3D</m:t>
                          </m:r>
                        </m:sub>
                      </m:sSub>
                    </m:sub>
                  </m:sSub>
                </m:e>
              </m:nary>
              <m:r>
                <w:rPr>
                  <w:rFonts w:ascii="Cambria Math" w:hAnsi="Cambria Math"/>
                </w:rPr>
                <m:t>-</m:t>
              </m:r>
              <m:nary>
                <m:naryPr>
                  <m:limLoc m:val="subSup"/>
                  <m:ctrlPr>
                    <w:rPr>
                      <w:rFonts w:ascii="Cambria Math" w:hAnsi="Cambria Math"/>
                      <w:i/>
                    </w:rPr>
                  </m:ctrlPr>
                </m:naryPr>
                <m:sub>
                  <m:r>
                    <w:rPr>
                      <w:rFonts w:ascii="Cambria Math" w:hAnsi="Cambria Math"/>
                    </w:rPr>
                    <m:t>50</m:t>
                  </m:r>
                </m:sub>
                <m:sup>
                  <m:r>
                    <w:rPr>
                      <w:rFonts w:ascii="Cambria Math" w:hAnsi="Cambria Math"/>
                    </w:rPr>
                    <m:t>90</m:t>
                  </m:r>
                </m:sup>
                <m:e>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F</m:t>
                          </m:r>
                        </m:e>
                        <m:sub>
                          <m:r>
                            <w:rPr>
                              <w:rFonts w:ascii="Cambria Math" w:hAnsi="Cambria Math"/>
                            </w:rPr>
                            <m:t>1D</m:t>
                          </m:r>
                        </m:sub>
                      </m:sSub>
                    </m:sub>
                  </m:sSub>
                </m:e>
              </m:nary>
            </m:num>
            <m:den>
              <m:nary>
                <m:naryPr>
                  <m:limLoc m:val="subSup"/>
                  <m:ctrlPr>
                    <w:rPr>
                      <w:rFonts w:ascii="Cambria Math" w:hAnsi="Cambria Math"/>
                      <w:i/>
                    </w:rPr>
                  </m:ctrlPr>
                </m:naryPr>
                <m:sub>
                  <m:r>
                    <w:rPr>
                      <w:rFonts w:ascii="Cambria Math" w:hAnsi="Cambria Math"/>
                    </w:rPr>
                    <m:t>50</m:t>
                  </m:r>
                </m:sub>
                <m:sup>
                  <m:r>
                    <w:rPr>
                      <w:rFonts w:ascii="Cambria Math" w:hAnsi="Cambria Math"/>
                    </w:rPr>
                    <m:t>90</m:t>
                  </m:r>
                </m:sup>
                <m:e>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F</m:t>
                          </m:r>
                        </m:e>
                        <m:sub>
                          <m:r>
                            <w:rPr>
                              <w:rFonts w:ascii="Cambria Math" w:hAnsi="Cambria Math"/>
                            </w:rPr>
                            <m:t>3D</m:t>
                          </m:r>
                        </m:sub>
                      </m:sSub>
                    </m:sub>
                  </m:sSub>
                </m:e>
              </m:nary>
            </m:den>
          </m:f>
        </m:oMath>
      </m:oMathPara>
    </w:p>
    <w:p w14:paraId="7A60601A" w14:textId="77777777" w:rsidR="00FC46FB" w:rsidRDefault="00FC46FB" w:rsidP="00FC46FB">
      <w:pPr>
        <w:spacing w:afterLines="80" w:after="192" w:line="480" w:lineRule="auto"/>
        <w:ind w:firstLine="335"/>
      </w:pPr>
      <w:r>
        <w:t xml:space="preserve">We finally calculate both vertical (axial) and radial (horizontal) heat fluxes along 2D vertical profiles extracted from the finite and semi-infinite 3D models at t = 1, 10, 30 and 100 years of heat extraction (Fig. XXX). </w:t>
      </w:r>
    </w:p>
    <w:p w14:paraId="5E53C8CB" w14:textId="77777777" w:rsidR="00FC46FB" w:rsidRDefault="00FC46FB" w:rsidP="00FC46FB">
      <w:pPr>
        <w:spacing w:afterLines="80" w:after="192" w:line="480" w:lineRule="auto"/>
        <w:ind w:firstLine="335"/>
      </w:pPr>
      <w:r>
        <w:t>Table XXX</w:t>
      </w:r>
    </w:p>
    <w:tbl>
      <w:tblPr>
        <w:tblStyle w:val="Tableausimple2"/>
        <w:tblW w:w="0" w:type="auto"/>
        <w:tblLook w:val="04A0" w:firstRow="1" w:lastRow="0" w:firstColumn="1" w:lastColumn="0" w:noHBand="0" w:noVBand="1"/>
      </w:tblPr>
      <w:tblGrid>
        <w:gridCol w:w="1131"/>
        <w:gridCol w:w="1271"/>
        <w:gridCol w:w="1647"/>
        <w:gridCol w:w="1161"/>
        <w:gridCol w:w="2330"/>
        <w:gridCol w:w="1532"/>
      </w:tblGrid>
      <w:tr w:rsidR="00FC46FB" w14:paraId="2574BCF3" w14:textId="77777777" w:rsidTr="001545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F4AFD9F" w14:textId="77777777" w:rsidR="00FC46FB" w:rsidRDefault="00FC46FB" w:rsidP="00154571">
            <w:pPr>
              <w:pStyle w:val="Sansinterligne"/>
            </w:pPr>
          </w:p>
        </w:tc>
        <w:tc>
          <w:tcPr>
            <w:tcW w:w="1355" w:type="dxa"/>
          </w:tcPr>
          <w:p w14:paraId="0AF0897E" w14:textId="77777777" w:rsidR="00FC46FB" w:rsidRDefault="00FC46FB" w:rsidP="00154571">
            <w:pPr>
              <w:pStyle w:val="Sansinterligne"/>
              <w:cnfStyle w:val="100000000000" w:firstRow="1" w:lastRow="0" w:firstColumn="0" w:lastColumn="0" w:oddVBand="0" w:evenVBand="0" w:oddHBand="0" w:evenHBand="0" w:firstRowFirstColumn="0" w:firstRowLastColumn="0" w:lastRowFirstColumn="0" w:lastRowLastColumn="0"/>
            </w:pPr>
          </w:p>
        </w:tc>
        <w:tc>
          <w:tcPr>
            <w:tcW w:w="1684" w:type="dxa"/>
          </w:tcPr>
          <w:p w14:paraId="48D75A40" w14:textId="77777777" w:rsidR="00FC46FB" w:rsidRDefault="00FC46FB" w:rsidP="00154571">
            <w:pPr>
              <w:pStyle w:val="Sansinterligne"/>
              <w:cnfStyle w:val="100000000000" w:firstRow="1" w:lastRow="0" w:firstColumn="0" w:lastColumn="0" w:oddVBand="0" w:evenVBand="0" w:oddHBand="0" w:evenHBand="0" w:firstRowFirstColumn="0" w:firstRowLastColumn="0" w:lastRowFirstColumn="0" w:lastRowLastColumn="0"/>
            </w:pPr>
            <w:r>
              <w:t>Finite model 3D</w:t>
            </w:r>
          </w:p>
        </w:tc>
        <w:tc>
          <w:tcPr>
            <w:tcW w:w="1259" w:type="dxa"/>
          </w:tcPr>
          <w:p w14:paraId="08AE1AED" w14:textId="77777777" w:rsidR="00FC46FB" w:rsidRDefault="00FC46FB" w:rsidP="00154571">
            <w:pPr>
              <w:pStyle w:val="Sansinterligne"/>
              <w:cnfStyle w:val="100000000000" w:firstRow="1" w:lastRow="0" w:firstColumn="0" w:lastColumn="0" w:oddVBand="0" w:evenVBand="0" w:oddHBand="0" w:evenHBand="0" w:firstRowFirstColumn="0" w:firstRowLastColumn="0" w:lastRowFirstColumn="0" w:lastRowLastColumn="0"/>
            </w:pPr>
          </w:p>
        </w:tc>
        <w:tc>
          <w:tcPr>
            <w:tcW w:w="2551" w:type="dxa"/>
          </w:tcPr>
          <w:p w14:paraId="1A4BA920" w14:textId="77777777" w:rsidR="00FC46FB" w:rsidRDefault="00FC46FB" w:rsidP="00154571">
            <w:pPr>
              <w:pStyle w:val="Sansinterligne"/>
              <w:cnfStyle w:val="100000000000" w:firstRow="1" w:lastRow="0" w:firstColumn="0" w:lastColumn="0" w:oddVBand="0" w:evenVBand="0" w:oddHBand="0" w:evenHBand="0" w:firstRowFirstColumn="0" w:firstRowLastColumn="0" w:lastRowFirstColumn="0" w:lastRowLastColumn="0"/>
            </w:pPr>
            <w:r>
              <w:t>Semi-infinite model 3D</w:t>
            </w:r>
          </w:p>
        </w:tc>
        <w:tc>
          <w:tcPr>
            <w:tcW w:w="1712" w:type="dxa"/>
          </w:tcPr>
          <w:p w14:paraId="63A3FED9" w14:textId="77777777" w:rsidR="00FC46FB" w:rsidRDefault="00FC46FB" w:rsidP="00154571">
            <w:pPr>
              <w:pStyle w:val="Sansinterligne"/>
              <w:cnfStyle w:val="100000000000" w:firstRow="1" w:lastRow="0" w:firstColumn="0" w:lastColumn="0" w:oddVBand="0" w:evenVBand="0" w:oddHBand="0" w:evenHBand="0" w:firstRowFirstColumn="0" w:firstRowLastColumn="0" w:lastRowFirstColumn="0" w:lastRowLastColumn="0"/>
            </w:pPr>
          </w:p>
        </w:tc>
      </w:tr>
      <w:tr w:rsidR="00FC46FB" w14:paraId="4D299EAD" w14:textId="77777777" w:rsidTr="00154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0A818242" w14:textId="77777777" w:rsidR="00FC46FB" w:rsidRDefault="00FC46FB" w:rsidP="00154571">
            <w:pPr>
              <w:pStyle w:val="Sansinterligne"/>
            </w:pPr>
          </w:p>
        </w:tc>
        <w:tc>
          <w:tcPr>
            <w:tcW w:w="1355" w:type="dxa"/>
          </w:tcPr>
          <w:p w14:paraId="256ED87F" w14:textId="77777777" w:rsidR="00FC46FB" w:rsidRDefault="00FC46FB" w:rsidP="00154571">
            <w:pPr>
              <w:pStyle w:val="Sansinterligne"/>
              <w:cnfStyle w:val="000000100000" w:firstRow="0" w:lastRow="0" w:firstColumn="0" w:lastColumn="0" w:oddVBand="0" w:evenVBand="0" w:oddHBand="1" w:evenHBand="0" w:firstRowFirstColumn="0" w:firstRowLastColumn="0" w:lastRowFirstColumn="0" w:lastRowLastColumn="0"/>
            </w:pPr>
          </w:p>
        </w:tc>
        <w:tc>
          <w:tcPr>
            <w:tcW w:w="1684" w:type="dxa"/>
          </w:tcPr>
          <w:p w14:paraId="287454A8" w14:textId="77777777" w:rsidR="00FC46FB" w:rsidRPr="002E7399" w:rsidRDefault="0013306D" w:rsidP="00154571">
            <w:pPr>
              <w:pStyle w:val="Sansinterligne"/>
              <w:jc w:val="center"/>
              <w:cnfStyle w:val="000000100000" w:firstRow="0" w:lastRow="0" w:firstColumn="0" w:lastColumn="0" w:oddVBand="0" w:evenVBand="0" w:oddHBand="1" w:evenHBand="0" w:firstRowFirstColumn="0" w:firstRowLastColumn="0" w:lastRowFirstColumn="0" w:lastRowLastColumn="0"/>
            </w:pPr>
            <m:oMathPara>
              <m:oMathParaPr>
                <m:jc m:val="left"/>
              </m:oMathParaPr>
              <m:oMath>
                <m:sSub>
                  <m:sSubPr>
                    <m:ctrlPr>
                      <w:rPr>
                        <w:rFonts w:ascii="Cambria Math" w:hAnsi="Cambria Math"/>
                        <w:i/>
                      </w:rPr>
                    </m:ctrlPr>
                  </m:sSubPr>
                  <m:e>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 xml:space="preserve">y           </m:t>
                        </m:r>
                      </m:sub>
                    </m:sSub>
                    <m:r>
                      <w:rPr>
                        <w:rFonts w:ascii="Cambria Math" w:hAnsi="Cambria Math"/>
                      </w:rPr>
                      <m:t xml:space="preserve">   q</m:t>
                    </m:r>
                  </m:e>
                  <m:sub>
                    <m:r>
                      <w:rPr>
                        <w:rFonts w:ascii="Cambria Math" w:hAnsi="Cambria Math"/>
                      </w:rPr>
                      <m:t>z</m:t>
                    </m:r>
                  </m:sub>
                </m:sSub>
              </m:oMath>
            </m:oMathPara>
          </w:p>
        </w:tc>
        <w:tc>
          <w:tcPr>
            <w:tcW w:w="1259" w:type="dxa"/>
          </w:tcPr>
          <w:p w14:paraId="11E086AD" w14:textId="77777777" w:rsidR="00FC46FB" w:rsidRPr="001146C7" w:rsidRDefault="0013306D" w:rsidP="00154571">
            <w:pPr>
              <w:pStyle w:val="Sansinterligne"/>
              <w:ind w:firstLine="0"/>
              <w:jc w:val="left"/>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 xml:space="preserve">   q</m:t>
                  </m:r>
                </m:e>
                <m:sub>
                  <m:r>
                    <w:rPr>
                      <w:rFonts w:ascii="Cambria Math" w:hAnsi="Cambria Math"/>
                    </w:rPr>
                    <m:t>z</m:t>
                  </m:r>
                </m:sub>
              </m:sSub>
            </m:oMath>
            <w:r w:rsidR="00FC46FB">
              <w:t xml:space="preserve"> </w:t>
            </w:r>
            <w:proofErr w:type="spellStart"/>
            <w:r w:rsidR="00FC46FB">
              <w:t>corr</w:t>
            </w:r>
            <w:proofErr w:type="spellEnd"/>
          </w:p>
        </w:tc>
        <w:tc>
          <w:tcPr>
            <w:tcW w:w="2551" w:type="dxa"/>
          </w:tcPr>
          <w:p w14:paraId="6D9B65EC" w14:textId="77777777" w:rsidR="00FC46FB" w:rsidRPr="009E19F8" w:rsidRDefault="0013306D" w:rsidP="00154571">
            <w:pPr>
              <w:pStyle w:val="Sansinterligne"/>
              <w:ind w:firstLine="0"/>
              <w:jc w:val="center"/>
              <w:cnfStyle w:val="000000100000" w:firstRow="0" w:lastRow="0" w:firstColumn="0" w:lastColumn="0" w:oddVBand="0" w:evenVBand="0" w:oddHBand="1" w:evenHBand="0" w:firstRowFirstColumn="0" w:firstRowLastColumn="0" w:lastRowFirstColumn="0" w:lastRowLastColumn="0"/>
            </w:pPr>
            <m:oMathPara>
              <m:oMathParaPr>
                <m:jc m:val="center"/>
              </m:oMathParaPr>
              <m:oMath>
                <m:sSub>
                  <m:sSubPr>
                    <m:ctrlPr>
                      <w:rPr>
                        <w:rFonts w:ascii="Cambria Math" w:hAnsi="Cambria Math"/>
                        <w:i/>
                      </w:rPr>
                    </m:ctrlPr>
                  </m:sSubPr>
                  <m:e>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 xml:space="preserve">y           </m:t>
                        </m:r>
                      </m:sub>
                    </m:sSub>
                    <m:r>
                      <w:rPr>
                        <w:rFonts w:ascii="Cambria Math" w:hAnsi="Cambria Math"/>
                      </w:rPr>
                      <m:t xml:space="preserve">   q</m:t>
                    </m:r>
                  </m:e>
                  <m:sub>
                    <m:r>
                      <w:rPr>
                        <w:rFonts w:ascii="Cambria Math" w:hAnsi="Cambria Math"/>
                      </w:rPr>
                      <m:t>z</m:t>
                    </m:r>
                  </m:sub>
                </m:sSub>
              </m:oMath>
            </m:oMathPara>
          </w:p>
        </w:tc>
        <w:tc>
          <w:tcPr>
            <w:tcW w:w="1712" w:type="dxa"/>
          </w:tcPr>
          <w:p w14:paraId="7DA20F15" w14:textId="77777777" w:rsidR="00FC46FB" w:rsidRPr="001146C7" w:rsidRDefault="0013306D" w:rsidP="00154571">
            <w:pPr>
              <w:pStyle w:val="Sansinterligne"/>
              <w:ind w:firstLine="0"/>
              <w:jc w:val="left"/>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 xml:space="preserve">   q</m:t>
                  </m:r>
                </m:e>
                <m:sub>
                  <m:r>
                    <w:rPr>
                      <w:rFonts w:ascii="Cambria Math" w:hAnsi="Cambria Math"/>
                    </w:rPr>
                    <m:t>z</m:t>
                  </m:r>
                </m:sub>
              </m:sSub>
            </m:oMath>
            <w:r w:rsidR="00FC46FB">
              <w:t xml:space="preserve"> </w:t>
            </w:r>
            <w:proofErr w:type="spellStart"/>
            <w:r w:rsidR="00FC46FB">
              <w:t>corr</w:t>
            </w:r>
            <w:proofErr w:type="spellEnd"/>
          </w:p>
        </w:tc>
      </w:tr>
      <w:tr w:rsidR="00FC46FB" w14:paraId="39BFDB7A" w14:textId="77777777" w:rsidTr="00154571">
        <w:tc>
          <w:tcPr>
            <w:cnfStyle w:val="001000000000" w:firstRow="0" w:lastRow="0" w:firstColumn="1" w:lastColumn="0" w:oddVBand="0" w:evenVBand="0" w:oddHBand="0" w:evenHBand="0" w:firstRowFirstColumn="0" w:firstRowLastColumn="0" w:lastRowFirstColumn="0" w:lastRowLastColumn="0"/>
            <w:tcW w:w="1231" w:type="dxa"/>
          </w:tcPr>
          <w:p w14:paraId="50B92B0A" w14:textId="77777777" w:rsidR="00FC46FB" w:rsidRDefault="00FC46FB" w:rsidP="00154571">
            <w:pPr>
              <w:pStyle w:val="Sansinterligne"/>
              <w:rPr>
                <w:b w:val="0"/>
                <w:bCs w:val="0"/>
              </w:rPr>
            </w:pPr>
            <w:r>
              <w:t xml:space="preserve">1 year </w:t>
            </w:r>
          </w:p>
          <w:p w14:paraId="6AB4F074" w14:textId="77777777" w:rsidR="00FC46FB" w:rsidRDefault="00FC46FB" w:rsidP="00154571">
            <w:pPr>
              <w:pStyle w:val="Sansinterligne"/>
            </w:pPr>
            <w:r>
              <w:t>(x = 4.8)</w:t>
            </w:r>
          </w:p>
        </w:tc>
        <w:tc>
          <w:tcPr>
            <w:tcW w:w="1355" w:type="dxa"/>
          </w:tcPr>
          <w:p w14:paraId="3A797978" w14:textId="77777777" w:rsidR="00FC46FB" w:rsidRDefault="00FC46FB" w:rsidP="00154571">
            <w:pPr>
              <w:pStyle w:val="Sansinterligne"/>
              <w:cnfStyle w:val="000000000000" w:firstRow="0" w:lastRow="0" w:firstColumn="0" w:lastColumn="0" w:oddVBand="0" w:evenVBand="0" w:oddHBand="0" w:evenHBand="0" w:firstRowFirstColumn="0" w:firstRowLastColumn="0" w:lastRowFirstColumn="0" w:lastRowLastColumn="0"/>
            </w:pPr>
            <w:r>
              <w:t>Top BHE</w:t>
            </w:r>
          </w:p>
          <w:p w14:paraId="6135B693" w14:textId="77777777" w:rsidR="00FC46FB" w:rsidRDefault="00FC46FB" w:rsidP="00154571">
            <w:pPr>
              <w:pStyle w:val="Sansinterligne"/>
              <w:cnfStyle w:val="000000000000" w:firstRow="0" w:lastRow="0" w:firstColumn="0" w:lastColumn="0" w:oddVBand="0" w:evenVBand="0" w:oddHBand="0" w:evenHBand="0" w:firstRowFirstColumn="0" w:firstRowLastColumn="0" w:lastRowFirstColumn="0" w:lastRowLastColumn="0"/>
            </w:pPr>
            <w:r>
              <w:t>Mid BHE</w:t>
            </w:r>
          </w:p>
          <w:p w14:paraId="64AA1844" w14:textId="77777777" w:rsidR="00FC46FB" w:rsidRPr="006428B6" w:rsidRDefault="00FC46FB" w:rsidP="00154571">
            <w:pPr>
              <w:pStyle w:val="Sansinterligne"/>
              <w:cnfStyle w:val="000000000000" w:firstRow="0" w:lastRow="0" w:firstColumn="0" w:lastColumn="0" w:oddVBand="0" w:evenVBand="0" w:oddHBand="0" w:evenHBand="0" w:firstRowFirstColumn="0" w:firstRowLastColumn="0" w:lastRowFirstColumn="0" w:lastRowLastColumn="0"/>
            </w:pPr>
            <w:r>
              <w:t>Bottom BHE</w:t>
            </w:r>
          </w:p>
        </w:tc>
        <w:tc>
          <w:tcPr>
            <w:tcW w:w="1684" w:type="dxa"/>
          </w:tcPr>
          <w:p w14:paraId="6C71D400" w14:textId="77777777" w:rsidR="00FC46FB" w:rsidRDefault="00FC46FB" w:rsidP="00154571">
            <w:pPr>
              <w:pStyle w:val="Sansinterligne"/>
              <w:jc w:val="center"/>
              <w:cnfStyle w:val="000000000000" w:firstRow="0" w:lastRow="0" w:firstColumn="0" w:lastColumn="0" w:oddVBand="0" w:evenVBand="0" w:oddHBand="0" w:evenHBand="0" w:firstRowFirstColumn="0" w:firstRowLastColumn="0" w:lastRowFirstColumn="0" w:lastRowLastColumn="0"/>
            </w:pPr>
            <w:r w:rsidRPr="006428B6">
              <w:t>-1.07</w:t>
            </w:r>
            <w:r>
              <w:t xml:space="preserve">2    </w:t>
            </w:r>
            <w:r w:rsidRPr="006428B6">
              <w:t>-0.06</w:t>
            </w:r>
            <w:r>
              <w:t>7</w:t>
            </w:r>
          </w:p>
          <w:p w14:paraId="65DEE208" w14:textId="77777777" w:rsidR="00FC46FB" w:rsidRDefault="00FC46FB" w:rsidP="00154571">
            <w:pPr>
              <w:pStyle w:val="Sansinterligne"/>
              <w:jc w:val="center"/>
              <w:cnfStyle w:val="000000000000" w:firstRow="0" w:lastRow="0" w:firstColumn="0" w:lastColumn="0" w:oddVBand="0" w:evenVBand="0" w:oddHBand="0" w:evenHBand="0" w:firstRowFirstColumn="0" w:firstRowLastColumn="0" w:lastRowFirstColumn="0" w:lastRowLastColumn="0"/>
            </w:pPr>
            <w:r w:rsidRPr="003A68AB">
              <w:rPr>
                <w:b/>
                <w:bCs/>
                <w:color w:val="FF0000"/>
              </w:rPr>
              <w:t>-</w:t>
            </w:r>
            <w:r>
              <w:rPr>
                <w:b/>
                <w:bCs/>
                <w:color w:val="FF0000"/>
              </w:rPr>
              <w:t>1.003</w:t>
            </w:r>
            <w:r w:rsidRPr="003A68AB">
              <w:rPr>
                <w:b/>
                <w:bCs/>
                <w:color w:val="FF0000"/>
              </w:rPr>
              <w:t xml:space="preserve">    </w:t>
            </w:r>
            <w:r w:rsidRPr="006428B6">
              <w:t>-0.06</w:t>
            </w:r>
            <w:r>
              <w:t>3</w:t>
            </w:r>
          </w:p>
          <w:p w14:paraId="32924B9C" w14:textId="77777777" w:rsidR="00FC46FB" w:rsidRDefault="00FC46FB" w:rsidP="00154571">
            <w:pPr>
              <w:pStyle w:val="Sansinterligne"/>
              <w:jc w:val="center"/>
              <w:cnfStyle w:val="000000000000" w:firstRow="0" w:lastRow="0" w:firstColumn="0" w:lastColumn="0" w:oddVBand="0" w:evenVBand="0" w:oddHBand="0" w:evenHBand="0" w:firstRowFirstColumn="0" w:firstRowLastColumn="0" w:lastRowFirstColumn="0" w:lastRowLastColumn="0"/>
            </w:pPr>
            <w:r w:rsidRPr="006428B6">
              <w:t>-1.07</w:t>
            </w:r>
            <w:r>
              <w:t xml:space="preserve">2     </w:t>
            </w:r>
            <w:r w:rsidRPr="006428B6">
              <w:t>-0.05</w:t>
            </w:r>
            <w:r>
              <w:t>6</w:t>
            </w:r>
          </w:p>
        </w:tc>
        <w:tc>
          <w:tcPr>
            <w:tcW w:w="1259" w:type="dxa"/>
          </w:tcPr>
          <w:p w14:paraId="316B7F6E" w14:textId="77777777" w:rsidR="00FC46FB" w:rsidRDefault="00FC46FB" w:rsidP="00154571">
            <w:pPr>
              <w:pStyle w:val="Sansinterligne"/>
              <w:jc w:val="left"/>
              <w:cnfStyle w:val="000000000000" w:firstRow="0" w:lastRow="0" w:firstColumn="0" w:lastColumn="0" w:oddVBand="0" w:evenVBand="0" w:oddHBand="0" w:evenHBand="0" w:firstRowFirstColumn="0" w:firstRowLastColumn="0" w:lastRowFirstColumn="0" w:lastRowLastColumn="0"/>
            </w:pPr>
            <w:r>
              <w:t>-0.003</w:t>
            </w:r>
          </w:p>
          <w:p w14:paraId="04047E0D" w14:textId="77777777" w:rsidR="00FC46FB" w:rsidRDefault="00FC46FB" w:rsidP="00154571">
            <w:pPr>
              <w:pStyle w:val="Sansinterligne"/>
              <w:jc w:val="left"/>
              <w:cnfStyle w:val="000000000000" w:firstRow="0" w:lastRow="0" w:firstColumn="0" w:lastColumn="0" w:oddVBand="0" w:evenVBand="0" w:oddHBand="0" w:evenHBand="0" w:firstRowFirstColumn="0" w:firstRowLastColumn="0" w:lastRowFirstColumn="0" w:lastRowLastColumn="0"/>
            </w:pPr>
            <w:r>
              <w:t>0</w:t>
            </w:r>
          </w:p>
          <w:p w14:paraId="3B645918" w14:textId="77777777" w:rsidR="00FC46FB" w:rsidRPr="006428B6" w:rsidRDefault="00FC46FB" w:rsidP="00154571">
            <w:pPr>
              <w:pStyle w:val="Sansinterligne"/>
              <w:jc w:val="left"/>
              <w:cnfStyle w:val="000000000000" w:firstRow="0" w:lastRow="0" w:firstColumn="0" w:lastColumn="0" w:oddVBand="0" w:evenVBand="0" w:oddHBand="0" w:evenHBand="0" w:firstRowFirstColumn="0" w:firstRowLastColumn="0" w:lastRowFirstColumn="0" w:lastRowLastColumn="0"/>
            </w:pPr>
            <w:r>
              <w:t>0.008</w:t>
            </w:r>
          </w:p>
        </w:tc>
        <w:tc>
          <w:tcPr>
            <w:tcW w:w="2551" w:type="dxa"/>
          </w:tcPr>
          <w:p w14:paraId="13BAB32E" w14:textId="77777777" w:rsidR="00FC46FB" w:rsidRDefault="00FC46FB" w:rsidP="00154571">
            <w:pPr>
              <w:pStyle w:val="Sansinterligne"/>
              <w:jc w:val="center"/>
              <w:cnfStyle w:val="000000000000" w:firstRow="0" w:lastRow="0" w:firstColumn="0" w:lastColumn="0" w:oddVBand="0" w:evenVBand="0" w:oddHBand="0" w:evenHBand="0" w:firstRowFirstColumn="0" w:firstRowLastColumn="0" w:lastRowFirstColumn="0" w:lastRowLastColumn="0"/>
            </w:pPr>
            <w:r w:rsidRPr="006428B6">
              <w:t>-0.</w:t>
            </w:r>
            <w:r>
              <w:t xml:space="preserve">537      </w:t>
            </w:r>
            <w:r w:rsidRPr="006428B6">
              <w:t>0.1</w:t>
            </w:r>
            <w:r>
              <w:t>97</w:t>
            </w:r>
          </w:p>
          <w:p w14:paraId="7C78ADCB" w14:textId="77777777" w:rsidR="00FC46FB" w:rsidRDefault="00FC46FB" w:rsidP="00154571">
            <w:pPr>
              <w:pStyle w:val="Sansinterligne"/>
              <w:jc w:val="center"/>
              <w:cnfStyle w:val="000000000000" w:firstRow="0" w:lastRow="0" w:firstColumn="0" w:lastColumn="0" w:oddVBand="0" w:evenVBand="0" w:oddHBand="0" w:evenHBand="0" w:firstRowFirstColumn="0" w:firstRowLastColumn="0" w:lastRowFirstColumn="0" w:lastRowLastColumn="0"/>
            </w:pPr>
            <w:r w:rsidRPr="003A68AB">
              <w:rPr>
                <w:b/>
                <w:bCs/>
                <w:color w:val="FF0000"/>
              </w:rPr>
              <w:t>-</w:t>
            </w:r>
            <w:r>
              <w:rPr>
                <w:b/>
                <w:bCs/>
                <w:color w:val="FF0000"/>
              </w:rPr>
              <w:t>1.003</w:t>
            </w:r>
            <w:r w:rsidRPr="003A68AB">
              <w:rPr>
                <w:color w:val="FF0000"/>
              </w:rPr>
              <w:t xml:space="preserve">     </w:t>
            </w:r>
            <w:r w:rsidRPr="003A68AB">
              <w:rPr>
                <w:b/>
                <w:bCs/>
                <w:color w:val="3B3838" w:themeColor="background2" w:themeShade="40"/>
              </w:rPr>
              <w:t>-0.06</w:t>
            </w:r>
            <w:r>
              <w:rPr>
                <w:b/>
                <w:bCs/>
                <w:color w:val="3B3838" w:themeColor="background2" w:themeShade="40"/>
              </w:rPr>
              <w:t>3</w:t>
            </w:r>
          </w:p>
          <w:p w14:paraId="3CB04CE4" w14:textId="77777777" w:rsidR="00FC46FB" w:rsidRDefault="00FC46FB" w:rsidP="00154571">
            <w:pPr>
              <w:pStyle w:val="Sansinterligne"/>
              <w:jc w:val="center"/>
              <w:cnfStyle w:val="000000000000" w:firstRow="0" w:lastRow="0" w:firstColumn="0" w:lastColumn="0" w:oddVBand="0" w:evenVBand="0" w:oddHBand="0" w:evenHBand="0" w:firstRowFirstColumn="0" w:firstRowLastColumn="0" w:lastRowFirstColumn="0" w:lastRowLastColumn="0"/>
            </w:pPr>
            <w:r w:rsidRPr="002C4307">
              <w:t>-0.</w:t>
            </w:r>
            <w:r>
              <w:t xml:space="preserve">537     </w:t>
            </w:r>
            <w:r w:rsidRPr="002C4307">
              <w:t>-0.</w:t>
            </w:r>
            <w:r>
              <w:t>328</w:t>
            </w:r>
          </w:p>
        </w:tc>
        <w:tc>
          <w:tcPr>
            <w:tcW w:w="1712" w:type="dxa"/>
          </w:tcPr>
          <w:p w14:paraId="5282A251" w14:textId="77777777" w:rsidR="00FC46FB" w:rsidRDefault="00FC46FB" w:rsidP="00154571">
            <w:pPr>
              <w:pStyle w:val="Sansinterligne"/>
              <w:jc w:val="left"/>
              <w:cnfStyle w:val="000000000000" w:firstRow="0" w:lastRow="0" w:firstColumn="0" w:lastColumn="0" w:oddVBand="0" w:evenVBand="0" w:oddHBand="0" w:evenHBand="0" w:firstRowFirstColumn="0" w:firstRowLastColumn="0" w:lastRowFirstColumn="0" w:lastRowLastColumn="0"/>
            </w:pPr>
            <w:r>
              <w:t>0.261</w:t>
            </w:r>
          </w:p>
          <w:p w14:paraId="7899CEF2" w14:textId="77777777" w:rsidR="00FC46FB" w:rsidRDefault="00FC46FB" w:rsidP="00154571">
            <w:pPr>
              <w:pStyle w:val="Sansinterligne"/>
              <w:jc w:val="left"/>
              <w:cnfStyle w:val="000000000000" w:firstRow="0" w:lastRow="0" w:firstColumn="0" w:lastColumn="0" w:oddVBand="0" w:evenVBand="0" w:oddHBand="0" w:evenHBand="0" w:firstRowFirstColumn="0" w:firstRowLastColumn="0" w:lastRowFirstColumn="0" w:lastRowLastColumn="0"/>
            </w:pPr>
            <w:r>
              <w:t>0</w:t>
            </w:r>
          </w:p>
          <w:p w14:paraId="3FA50BBB" w14:textId="77777777" w:rsidR="00FC46FB" w:rsidRPr="006428B6" w:rsidRDefault="00FC46FB" w:rsidP="00154571">
            <w:pPr>
              <w:pStyle w:val="Sansinterligne"/>
              <w:jc w:val="left"/>
              <w:cnfStyle w:val="000000000000" w:firstRow="0" w:lastRow="0" w:firstColumn="0" w:lastColumn="0" w:oddVBand="0" w:evenVBand="0" w:oddHBand="0" w:evenHBand="0" w:firstRowFirstColumn="0" w:firstRowLastColumn="0" w:lastRowFirstColumn="0" w:lastRowLastColumn="0"/>
            </w:pPr>
            <w:r>
              <w:t>-0.264</w:t>
            </w:r>
          </w:p>
        </w:tc>
      </w:tr>
      <w:tr w:rsidR="00FC46FB" w14:paraId="27E2E8AB" w14:textId="77777777" w:rsidTr="00154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1053A94C" w14:textId="77777777" w:rsidR="00FC46FB" w:rsidRDefault="00FC46FB" w:rsidP="00154571">
            <w:pPr>
              <w:pStyle w:val="Sansinterligne"/>
              <w:rPr>
                <w:b w:val="0"/>
                <w:bCs w:val="0"/>
              </w:rPr>
            </w:pPr>
            <w:r>
              <w:t xml:space="preserve">30 year </w:t>
            </w:r>
          </w:p>
          <w:p w14:paraId="74927125" w14:textId="77777777" w:rsidR="00FC46FB" w:rsidRDefault="00FC46FB" w:rsidP="00154571">
            <w:pPr>
              <w:pStyle w:val="Sansinterligne"/>
            </w:pPr>
            <w:r>
              <w:t>(x = 26.5)</w:t>
            </w:r>
          </w:p>
        </w:tc>
        <w:tc>
          <w:tcPr>
            <w:tcW w:w="1355" w:type="dxa"/>
          </w:tcPr>
          <w:p w14:paraId="310B7C8C" w14:textId="77777777" w:rsidR="00FC46FB" w:rsidRDefault="00FC46FB" w:rsidP="00154571">
            <w:pPr>
              <w:pStyle w:val="Sansinterligne"/>
              <w:cnfStyle w:val="000000100000" w:firstRow="0" w:lastRow="0" w:firstColumn="0" w:lastColumn="0" w:oddVBand="0" w:evenVBand="0" w:oddHBand="1" w:evenHBand="0" w:firstRowFirstColumn="0" w:firstRowLastColumn="0" w:lastRowFirstColumn="0" w:lastRowLastColumn="0"/>
            </w:pPr>
            <w:r>
              <w:t>Top BHE</w:t>
            </w:r>
          </w:p>
          <w:p w14:paraId="20B5D41D" w14:textId="77777777" w:rsidR="00FC46FB" w:rsidRDefault="00FC46FB" w:rsidP="00154571">
            <w:pPr>
              <w:pStyle w:val="Sansinterligne"/>
              <w:cnfStyle w:val="000000100000" w:firstRow="0" w:lastRow="0" w:firstColumn="0" w:lastColumn="0" w:oddVBand="0" w:evenVBand="0" w:oddHBand="1" w:evenHBand="0" w:firstRowFirstColumn="0" w:firstRowLastColumn="0" w:lastRowFirstColumn="0" w:lastRowLastColumn="0"/>
            </w:pPr>
            <w:r>
              <w:t>Mid BHE</w:t>
            </w:r>
          </w:p>
          <w:p w14:paraId="7A971A6C" w14:textId="77777777" w:rsidR="00FC46FB" w:rsidRPr="002C4307" w:rsidRDefault="00FC46FB" w:rsidP="00154571">
            <w:pPr>
              <w:pStyle w:val="Sansinterligne"/>
              <w:cnfStyle w:val="000000100000" w:firstRow="0" w:lastRow="0" w:firstColumn="0" w:lastColumn="0" w:oddVBand="0" w:evenVBand="0" w:oddHBand="1" w:evenHBand="0" w:firstRowFirstColumn="0" w:firstRowLastColumn="0" w:lastRowFirstColumn="0" w:lastRowLastColumn="0"/>
            </w:pPr>
            <w:r>
              <w:t>Bottom BHE</w:t>
            </w:r>
          </w:p>
        </w:tc>
        <w:tc>
          <w:tcPr>
            <w:tcW w:w="1684" w:type="dxa"/>
          </w:tcPr>
          <w:p w14:paraId="11DDA2CA" w14:textId="77777777" w:rsidR="00FC46FB" w:rsidRDefault="00FC46FB" w:rsidP="00154571">
            <w:pPr>
              <w:pStyle w:val="Sansinterligne"/>
              <w:jc w:val="center"/>
              <w:cnfStyle w:val="000000100000" w:firstRow="0" w:lastRow="0" w:firstColumn="0" w:lastColumn="0" w:oddVBand="0" w:evenVBand="0" w:oddHBand="1" w:evenHBand="0" w:firstRowFirstColumn="0" w:firstRowLastColumn="0" w:lastRowFirstColumn="0" w:lastRowLastColumn="0"/>
            </w:pPr>
            <w:r w:rsidRPr="002C4307">
              <w:t>-0.14</w:t>
            </w:r>
            <w:r>
              <w:t xml:space="preserve">5     </w:t>
            </w:r>
            <w:r w:rsidRPr="003A68AB">
              <w:rPr>
                <w:b/>
                <w:bCs/>
                <w:color w:val="3B3838" w:themeColor="background2" w:themeShade="40"/>
              </w:rPr>
              <w:t>-0.064</w:t>
            </w:r>
          </w:p>
          <w:p w14:paraId="7EBAD51A" w14:textId="77777777" w:rsidR="00FC46FB" w:rsidRDefault="00FC46FB" w:rsidP="00154571">
            <w:pPr>
              <w:pStyle w:val="Sansinterligne"/>
              <w:jc w:val="center"/>
              <w:cnfStyle w:val="000000100000" w:firstRow="0" w:lastRow="0" w:firstColumn="0" w:lastColumn="0" w:oddVBand="0" w:evenVBand="0" w:oddHBand="1" w:evenHBand="0" w:firstRowFirstColumn="0" w:firstRowLastColumn="0" w:lastRowFirstColumn="0" w:lastRowLastColumn="0"/>
            </w:pPr>
            <w:r w:rsidRPr="002C4307">
              <w:t>-0.14</w:t>
            </w:r>
            <w:r>
              <w:t xml:space="preserve">4     </w:t>
            </w:r>
            <w:r w:rsidRPr="003A68AB">
              <w:rPr>
                <w:b/>
                <w:bCs/>
                <w:color w:val="3B3838" w:themeColor="background2" w:themeShade="40"/>
              </w:rPr>
              <w:t>-0.064</w:t>
            </w:r>
          </w:p>
          <w:p w14:paraId="608E4FB6" w14:textId="77777777" w:rsidR="00FC46FB" w:rsidRDefault="00FC46FB" w:rsidP="00154571">
            <w:pPr>
              <w:pStyle w:val="Sansinterligne"/>
              <w:jc w:val="center"/>
              <w:cnfStyle w:val="000000100000" w:firstRow="0" w:lastRow="0" w:firstColumn="0" w:lastColumn="0" w:oddVBand="0" w:evenVBand="0" w:oddHBand="1" w:evenHBand="0" w:firstRowFirstColumn="0" w:firstRowLastColumn="0" w:lastRowFirstColumn="0" w:lastRowLastColumn="0"/>
            </w:pPr>
            <w:r w:rsidRPr="002C4307">
              <w:t>-0.14</w:t>
            </w:r>
            <w:r>
              <w:t xml:space="preserve">5     </w:t>
            </w:r>
            <w:r w:rsidRPr="003A68AB">
              <w:rPr>
                <w:b/>
                <w:bCs/>
                <w:color w:val="3B3838" w:themeColor="background2" w:themeShade="40"/>
              </w:rPr>
              <w:t>-0.064</w:t>
            </w:r>
          </w:p>
        </w:tc>
        <w:tc>
          <w:tcPr>
            <w:tcW w:w="1259" w:type="dxa"/>
          </w:tcPr>
          <w:p w14:paraId="4E94F054" w14:textId="77777777" w:rsidR="00FC46FB" w:rsidRDefault="00FC46FB" w:rsidP="00154571">
            <w:pPr>
              <w:pStyle w:val="Sansinterligne"/>
              <w:jc w:val="left"/>
              <w:cnfStyle w:val="000000100000" w:firstRow="0" w:lastRow="0" w:firstColumn="0" w:lastColumn="0" w:oddVBand="0" w:evenVBand="0" w:oddHBand="1" w:evenHBand="0" w:firstRowFirstColumn="0" w:firstRowLastColumn="0" w:lastRowFirstColumn="0" w:lastRowLastColumn="0"/>
            </w:pPr>
            <w:r>
              <w:t>0</w:t>
            </w:r>
          </w:p>
          <w:p w14:paraId="42D49FFB" w14:textId="77777777" w:rsidR="00FC46FB" w:rsidRDefault="00FC46FB" w:rsidP="00154571">
            <w:pPr>
              <w:pStyle w:val="Sansinterligne"/>
              <w:jc w:val="left"/>
              <w:cnfStyle w:val="000000100000" w:firstRow="0" w:lastRow="0" w:firstColumn="0" w:lastColumn="0" w:oddVBand="0" w:evenVBand="0" w:oddHBand="1" w:evenHBand="0" w:firstRowFirstColumn="0" w:firstRowLastColumn="0" w:lastRowFirstColumn="0" w:lastRowLastColumn="0"/>
            </w:pPr>
            <w:r>
              <w:t>0</w:t>
            </w:r>
          </w:p>
          <w:p w14:paraId="720A3560" w14:textId="77777777" w:rsidR="00FC46FB" w:rsidRPr="002C4307" w:rsidRDefault="00FC46FB" w:rsidP="00154571">
            <w:pPr>
              <w:pStyle w:val="Sansinterligne"/>
              <w:jc w:val="left"/>
              <w:cnfStyle w:val="000000100000" w:firstRow="0" w:lastRow="0" w:firstColumn="0" w:lastColumn="0" w:oddVBand="0" w:evenVBand="0" w:oddHBand="1" w:evenHBand="0" w:firstRowFirstColumn="0" w:firstRowLastColumn="0" w:lastRowFirstColumn="0" w:lastRowLastColumn="0"/>
            </w:pPr>
            <w:r>
              <w:t>0</w:t>
            </w:r>
          </w:p>
        </w:tc>
        <w:tc>
          <w:tcPr>
            <w:tcW w:w="2551" w:type="dxa"/>
          </w:tcPr>
          <w:p w14:paraId="0CAE91E0" w14:textId="77777777" w:rsidR="00FC46FB" w:rsidRDefault="00FC46FB" w:rsidP="00154571">
            <w:pPr>
              <w:pStyle w:val="Sansinterligne"/>
              <w:jc w:val="center"/>
              <w:cnfStyle w:val="000000100000" w:firstRow="0" w:lastRow="0" w:firstColumn="0" w:lastColumn="0" w:oddVBand="0" w:evenVBand="0" w:oddHBand="1" w:evenHBand="0" w:firstRowFirstColumn="0" w:firstRowLastColumn="0" w:lastRowFirstColumn="0" w:lastRowLastColumn="0"/>
            </w:pPr>
            <w:r w:rsidRPr="002C4307">
              <w:t>-0.06</w:t>
            </w:r>
            <w:r>
              <w:t xml:space="preserve">7     </w:t>
            </w:r>
            <w:r w:rsidRPr="002C4307">
              <w:t>-0.030</w:t>
            </w:r>
          </w:p>
          <w:p w14:paraId="201EE45E" w14:textId="77777777" w:rsidR="00FC46FB" w:rsidRDefault="00FC46FB" w:rsidP="00154571">
            <w:pPr>
              <w:pStyle w:val="Sansinterligne"/>
              <w:jc w:val="center"/>
              <w:cnfStyle w:val="000000100000" w:firstRow="0" w:lastRow="0" w:firstColumn="0" w:lastColumn="0" w:oddVBand="0" w:evenVBand="0" w:oddHBand="1" w:evenHBand="0" w:firstRowFirstColumn="0" w:firstRowLastColumn="0" w:lastRowFirstColumn="0" w:lastRowLastColumn="0"/>
            </w:pPr>
            <w:r w:rsidRPr="002C4307">
              <w:t>-0.10</w:t>
            </w:r>
            <w:r>
              <w:t>0</w:t>
            </w:r>
            <w:r w:rsidRPr="002C4307">
              <w:t xml:space="preserve"> </w:t>
            </w:r>
            <w:r>
              <w:t xml:space="preserve">    </w:t>
            </w:r>
            <w:r w:rsidRPr="003A68AB">
              <w:rPr>
                <w:b/>
                <w:bCs/>
                <w:color w:val="3B3838" w:themeColor="background2" w:themeShade="40"/>
              </w:rPr>
              <w:t>-0.06</w:t>
            </w:r>
            <w:r>
              <w:rPr>
                <w:b/>
                <w:bCs/>
                <w:color w:val="3B3838" w:themeColor="background2" w:themeShade="40"/>
              </w:rPr>
              <w:t>3</w:t>
            </w:r>
          </w:p>
          <w:p w14:paraId="5C2BA125" w14:textId="77777777" w:rsidR="00FC46FB" w:rsidRDefault="00FC46FB" w:rsidP="00154571">
            <w:pPr>
              <w:pStyle w:val="Sansinterligne"/>
              <w:jc w:val="center"/>
              <w:cnfStyle w:val="000000100000" w:firstRow="0" w:lastRow="0" w:firstColumn="0" w:lastColumn="0" w:oddVBand="0" w:evenVBand="0" w:oddHBand="1" w:evenHBand="0" w:firstRowFirstColumn="0" w:firstRowLastColumn="0" w:lastRowFirstColumn="0" w:lastRowLastColumn="0"/>
            </w:pPr>
            <w:r w:rsidRPr="002C4307">
              <w:t>-0.06</w:t>
            </w:r>
            <w:r>
              <w:t xml:space="preserve">7     </w:t>
            </w:r>
            <w:r w:rsidRPr="002C4307">
              <w:t>-0.09</w:t>
            </w:r>
            <w:r>
              <w:t>6</w:t>
            </w:r>
          </w:p>
        </w:tc>
        <w:tc>
          <w:tcPr>
            <w:tcW w:w="1712" w:type="dxa"/>
          </w:tcPr>
          <w:p w14:paraId="10D1EEB9" w14:textId="77777777" w:rsidR="00FC46FB" w:rsidRDefault="00FC46FB" w:rsidP="00154571">
            <w:pPr>
              <w:pStyle w:val="Sansinterligne"/>
              <w:jc w:val="left"/>
              <w:cnfStyle w:val="000000100000" w:firstRow="0" w:lastRow="0" w:firstColumn="0" w:lastColumn="0" w:oddVBand="0" w:evenVBand="0" w:oddHBand="1" w:evenHBand="0" w:firstRowFirstColumn="0" w:firstRowLastColumn="0" w:lastRowFirstColumn="0" w:lastRowLastColumn="0"/>
            </w:pPr>
            <w:r>
              <w:t>0.034</w:t>
            </w:r>
          </w:p>
          <w:p w14:paraId="60BFE05C" w14:textId="77777777" w:rsidR="00FC46FB" w:rsidRDefault="00FC46FB" w:rsidP="00154571">
            <w:pPr>
              <w:pStyle w:val="Sansinterligne"/>
              <w:jc w:val="left"/>
              <w:cnfStyle w:val="000000100000" w:firstRow="0" w:lastRow="0" w:firstColumn="0" w:lastColumn="0" w:oddVBand="0" w:evenVBand="0" w:oddHBand="1" w:evenHBand="0" w:firstRowFirstColumn="0" w:firstRowLastColumn="0" w:lastRowFirstColumn="0" w:lastRowLastColumn="0"/>
            </w:pPr>
            <w:r>
              <w:t>0</w:t>
            </w:r>
          </w:p>
          <w:p w14:paraId="3C0F0941" w14:textId="77777777" w:rsidR="00FC46FB" w:rsidRPr="002C4307" w:rsidRDefault="00FC46FB" w:rsidP="00154571">
            <w:pPr>
              <w:pStyle w:val="Sansinterligne"/>
              <w:jc w:val="left"/>
              <w:cnfStyle w:val="000000100000" w:firstRow="0" w:lastRow="0" w:firstColumn="0" w:lastColumn="0" w:oddVBand="0" w:evenVBand="0" w:oddHBand="1" w:evenHBand="0" w:firstRowFirstColumn="0" w:firstRowLastColumn="0" w:lastRowFirstColumn="0" w:lastRowLastColumn="0"/>
            </w:pPr>
            <w:r>
              <w:t>-0.032</w:t>
            </w:r>
          </w:p>
        </w:tc>
      </w:tr>
    </w:tbl>
    <w:p w14:paraId="4704AABB" w14:textId="77777777" w:rsidR="00FC46FB" w:rsidRDefault="00FC46FB" w:rsidP="00FC46FB"/>
    <w:p w14:paraId="1916B422" w14:textId="77777777" w:rsidR="00FC46FB" w:rsidRDefault="00FC46FB" w:rsidP="00FC46FB">
      <w:pPr>
        <w:spacing w:afterLines="80" w:after="192" w:line="480" w:lineRule="auto"/>
        <w:ind w:firstLine="335"/>
      </w:pPr>
      <w:r>
        <w:t xml:space="preserve">After 1 year (x = 4.8 m), the radial heat flux </w:t>
      </w:r>
      <m:oMath>
        <m:sSub>
          <m:sSubPr>
            <m:ctrlPr>
              <w:rPr>
                <w:rFonts w:ascii="Cambria Math" w:hAnsi="Cambria Math"/>
                <w:i/>
              </w:rPr>
            </m:ctrlPr>
          </m:sSubPr>
          <m:e>
            <m:r>
              <w:rPr>
                <w:rFonts w:ascii="Cambria Math" w:hAnsi="Cambria Math"/>
              </w:rPr>
              <m:t>q</m:t>
            </m:r>
          </m:e>
          <m:sub>
            <m:r>
              <w:rPr>
                <w:rFonts w:ascii="Cambria Math" w:hAnsi="Cambria Math"/>
              </w:rPr>
              <m:t>y</m:t>
            </m:r>
          </m:sub>
        </m:sSub>
      </m:oMath>
      <w:r>
        <w:t xml:space="preserve"> in the semi-infinite model reaches ~ 1 W/m² at the mid-borehole depth (</w:t>
      </w:r>
      <w:proofErr w:type="gramStart"/>
      <w:r>
        <w:t>i.e.</w:t>
      </w:r>
      <w:proofErr w:type="gramEnd"/>
      <w:r>
        <w:t xml:space="preserve"> -70 m), in accordance with the analytical model presented in section XXX. At the borehole ends, </w:t>
      </w:r>
      <m:oMath>
        <m:sSub>
          <m:sSubPr>
            <m:ctrlPr>
              <w:rPr>
                <w:rFonts w:ascii="Cambria Math" w:hAnsi="Cambria Math"/>
                <w:i/>
              </w:rPr>
            </m:ctrlPr>
          </m:sSubPr>
          <m:e>
            <m:r>
              <w:rPr>
                <w:rFonts w:ascii="Cambria Math" w:hAnsi="Cambria Math"/>
              </w:rPr>
              <m:t>q</m:t>
            </m:r>
          </m:e>
          <m:sub>
            <m:r>
              <w:rPr>
                <w:rFonts w:ascii="Cambria Math" w:hAnsi="Cambria Math"/>
              </w:rPr>
              <m:t>y</m:t>
            </m:r>
          </m:sub>
        </m:sSub>
      </m:oMath>
      <w:r>
        <w:t xml:space="preserve"> is reduced by half to a value of 0.537 W/m². There, the axial heat fluxes </w:t>
      </w:r>
      <m:oMath>
        <m:sSub>
          <m:sSubPr>
            <m:ctrlPr>
              <w:rPr>
                <w:rFonts w:ascii="Cambria Math" w:hAnsi="Cambria Math"/>
                <w:i/>
              </w:rPr>
            </m:ctrlPr>
          </m:sSubPr>
          <m:e>
            <m:r>
              <w:rPr>
                <w:rFonts w:ascii="Cambria Math" w:hAnsi="Cambria Math"/>
              </w:rPr>
              <m:t>q</m:t>
            </m:r>
          </m:e>
          <m:sub>
            <m:r>
              <w:rPr>
                <w:rFonts w:ascii="Cambria Math" w:hAnsi="Cambria Math"/>
              </w:rPr>
              <m:t>z</m:t>
            </m:r>
          </m:sub>
        </m:sSub>
        <m:r>
          <w:rPr>
            <w:rFonts w:ascii="Cambria Math" w:hAnsi="Cambria Math"/>
          </w:rPr>
          <m:t xml:space="preserve"> </m:t>
        </m:r>
      </m:oMath>
      <w:r>
        <w:t xml:space="preserve">contribute to the heat recharge, reaching ~0.26 W/m² after correction for the effects of the geothermal heat flux. After 30 years of heat extraction, the heat fluxes induced at x = 26.5-m in the semi-infinite model are an order of magnitude lower, with values for </w:t>
      </w:r>
      <m:oMath>
        <m:sSub>
          <m:sSubPr>
            <m:ctrlPr>
              <w:rPr>
                <w:rFonts w:ascii="Cambria Math" w:hAnsi="Cambria Math"/>
                <w:i/>
              </w:rPr>
            </m:ctrlPr>
          </m:sSubPr>
          <m:e>
            <m:r>
              <w:rPr>
                <w:rFonts w:ascii="Cambria Math" w:hAnsi="Cambria Math"/>
              </w:rPr>
              <m:t>q</m:t>
            </m:r>
          </m:e>
          <m:sub>
            <m:r>
              <w:rPr>
                <w:rFonts w:ascii="Cambria Math" w:hAnsi="Cambria Math"/>
              </w:rPr>
              <m:t>y</m:t>
            </m:r>
          </m:sub>
        </m:sSub>
        <m:r>
          <w:rPr>
            <w:rFonts w:ascii="Cambria Math" w:hAnsi="Cambria Math"/>
          </w:rPr>
          <m:t xml:space="preserve"> </m:t>
        </m:r>
      </m:oMath>
      <w:r>
        <w:t xml:space="preserve">of only 0.1 W/m² and 0.067 W/m² at the mid-BHE and borehole ends, respectively, and </w:t>
      </w:r>
      <m:oMath>
        <m:sSub>
          <m:sSubPr>
            <m:ctrlPr>
              <w:rPr>
                <w:rFonts w:ascii="Cambria Math" w:hAnsi="Cambria Math"/>
                <w:i/>
              </w:rPr>
            </m:ctrlPr>
          </m:sSubPr>
          <m:e>
            <m:r>
              <w:rPr>
                <w:rFonts w:ascii="Cambria Math" w:hAnsi="Cambria Math"/>
              </w:rPr>
              <m:t>q</m:t>
            </m:r>
          </m:e>
          <m:sub>
            <m:r>
              <w:rPr>
                <w:rFonts w:ascii="Cambria Math" w:hAnsi="Cambria Math"/>
              </w:rPr>
              <m:t>z</m:t>
            </m:r>
          </m:sub>
        </m:sSub>
        <m:r>
          <w:rPr>
            <w:rFonts w:ascii="Cambria Math" w:hAnsi="Cambria Math"/>
          </w:rPr>
          <m:t>=</m:t>
        </m:r>
      </m:oMath>
      <w:r>
        <w:t xml:space="preserve"> ~0.03 W/m².</w:t>
      </w:r>
      <w:r w:rsidRPr="00776F16">
        <w:t xml:space="preserve"> </w:t>
      </w:r>
      <w:r>
        <w:t>In the finite model, radial heat fluxes are increased to compensate for the lack of axial recharge and constant along the borehole. Those equals 1 W/m² at x = 4.8 m after 1 year of production (similarly to the mid-borehole value in the semi-infinite model) and 0.15 W/m² at x = 26.5 m (t = 30 years).</w:t>
      </w:r>
    </w:p>
    <w:p w14:paraId="17093AEB" w14:textId="229DD466" w:rsidR="00FC46FB" w:rsidRDefault="00FC46FB" w:rsidP="00FC46FB">
      <w:pPr>
        <w:spacing w:afterLines="80" w:after="192" w:line="480" w:lineRule="auto"/>
        <w:ind w:firstLine="335"/>
      </w:pPr>
      <w:r>
        <w:t xml:space="preserve">From XXX years, quasi-constant radial heat fluxes are reached throughout the model, in accordance with the steady rate of temperatures decline highlighted by the temperature time series (Fig. XXX). As a result, the area of impact will keep expanding slowly over time, if no additional heat recharge is provided. </w:t>
      </w:r>
    </w:p>
    <w:p w14:paraId="6124D783" w14:textId="45BDC2F3" w:rsidR="003B7408" w:rsidRDefault="003033F3" w:rsidP="008330F6">
      <w:pPr>
        <w:spacing w:afterLines="80" w:after="192" w:line="480" w:lineRule="auto"/>
        <w:ind w:left="-4" w:firstLine="339"/>
      </w:pPr>
      <w:r>
        <w:t>Discussion:</w:t>
      </w:r>
    </w:p>
    <w:p w14:paraId="622CCEC1" w14:textId="77777777" w:rsidR="00C876AD" w:rsidRDefault="00C876AD" w:rsidP="00C876AD">
      <w:pPr>
        <w:spacing w:afterLines="80" w:after="192" w:line="480" w:lineRule="auto"/>
        <w:ind w:firstLine="641"/>
      </w:pPr>
      <w:r>
        <w:t xml:space="preserve">We then verify our model through different cyclical injection/production scenario using the 3D full-extent model.  </w:t>
      </w:r>
    </w:p>
    <w:p w14:paraId="122AF3CE" w14:textId="77777777" w:rsidR="001D3EDF" w:rsidRDefault="001D3EDF" w:rsidP="001D3EDF">
      <w:pPr>
        <w:pStyle w:val="Titre2"/>
        <w:numPr>
          <w:ilvl w:val="1"/>
          <w:numId w:val="2"/>
        </w:numPr>
      </w:pPr>
      <w:r>
        <w:t xml:space="preserve">Heat balance analysis </w:t>
      </w:r>
    </w:p>
    <w:p w14:paraId="14D7DB7D" w14:textId="77777777" w:rsidR="001D3EDF" w:rsidRDefault="001D3EDF" w:rsidP="001D3EDF"/>
    <w:p w14:paraId="380BFFFC" w14:textId="335B13FD" w:rsidR="001D3EDF" w:rsidRDefault="001D3EDF" w:rsidP="001D3EDF">
      <w:pPr>
        <w:spacing w:afterLines="80" w:after="192" w:line="480" w:lineRule="auto"/>
        <w:ind w:firstLine="641"/>
      </w:pPr>
      <w:r>
        <w:t xml:space="preserve">Here, we perform simple heat balance analysis to evaluate the amount of annual recharge that would allow constraining the area of impact to 70-100 m² over 30 years. </w:t>
      </w:r>
    </w:p>
    <w:p w14:paraId="3F683B84" w14:textId="5589197E" w:rsidR="001D3EDF" w:rsidRDefault="001D3EDF" w:rsidP="001D3EDF">
      <w:pPr>
        <w:spacing w:afterLines="80" w:after="192" w:line="480" w:lineRule="auto"/>
        <w:ind w:firstLine="641"/>
      </w:pPr>
      <w:r>
        <w:t xml:space="preserve">We suggested earlier that radioactive heat production, solar recharge and geothermal heat cannot compensate for the heat extracted on a yearly average under the considered geological and climatic context, without considering an unrealistically large volume of rock. For a defined heat extraction rate and production period, the footprint area of mined heat is highly dependents on the conductivity of the medium. Our analysis shows that lateral heat flux, which defines the rate at which heat is provided to the borehole by the surrounding area, can reach steady state after &lt; 10 years in a homogeneous system. Axial fluxes tend to increase over time, depleting the volume of rock available above the borehole in heat while expanding the zone of influence below and around it, to an extent that depends on the conductivity of the ground. </w:t>
      </w:r>
    </w:p>
    <w:p w14:paraId="07A3E3A6" w14:textId="356107DC" w:rsidR="00B20F59" w:rsidRDefault="00B20F59" w:rsidP="001D3EDF">
      <w:pPr>
        <w:spacing w:afterLines="80" w:after="192" w:line="480" w:lineRule="auto"/>
        <w:ind w:firstLine="641"/>
      </w:pPr>
    </w:p>
    <w:p w14:paraId="0A798A2C" w14:textId="77777777" w:rsidR="00B20F59" w:rsidRDefault="00B20F59" w:rsidP="00B20F59">
      <w:pPr>
        <w:spacing w:afterLines="80" w:after="192" w:line="480" w:lineRule="auto"/>
        <w:ind w:firstLine="360"/>
      </w:pPr>
      <w:bookmarkStart w:id="5" w:name="_Hlk65257142"/>
      <w:r>
        <w:t>In addition, this study showed that in geographical areas with low geothermal heat flux and low in-situ heat production, artificial heat recharge is required to ensure sustainable heat extraction and constrain the footprint area impacted by heat mining. 3D analysis showed that the areal impact of heat mining can be minimized by performing cyclical production with periods of no production, while adding cyclical recharge allow ensuring heat balance in the system, decrease the peak in temperature drop at the borehole and ensure sustainability from the heat resource perspective.</w:t>
      </w:r>
    </w:p>
    <w:p w14:paraId="73B67998" w14:textId="77777777" w:rsidR="00B20F59" w:rsidRPr="00D9602B" w:rsidRDefault="00B20F59" w:rsidP="00B20F59">
      <w:pPr>
        <w:spacing w:afterLines="80" w:after="192" w:line="480" w:lineRule="auto"/>
        <w:ind w:left="-4" w:firstLine="339"/>
      </w:pPr>
      <w:r>
        <w:t>Next step will be to assess the relative contribution from heat convection and conduction through the porous medium, using 2D advection-diffusion models (</w:t>
      </w:r>
      <w:proofErr w:type="gramStart"/>
      <w:r>
        <w:t>i.e.</w:t>
      </w:r>
      <w:proofErr w:type="gramEnd"/>
      <w:r>
        <w:t xml:space="preserve"> with groundwater flow). We will also extend this study by using mine-water heat source as a way to disperse heat injected from artificial sources.</w:t>
      </w:r>
    </w:p>
    <w:bookmarkEnd w:id="5"/>
    <w:p w14:paraId="3A63C497" w14:textId="77777777" w:rsidR="00B20F59" w:rsidRDefault="00B20F59" w:rsidP="00B20F59">
      <w:pPr>
        <w:spacing w:afterLines="80" w:after="192" w:line="480" w:lineRule="auto"/>
        <w:ind w:left="-4" w:firstLine="339"/>
      </w:pPr>
    </w:p>
    <w:p w14:paraId="6677515F" w14:textId="32016E66" w:rsidR="00B20F59" w:rsidRDefault="00C530B0" w:rsidP="001D3EDF">
      <w:pPr>
        <w:spacing w:afterLines="80" w:after="192" w:line="480" w:lineRule="auto"/>
        <w:ind w:firstLine="641"/>
      </w:pPr>
      <w:r>
        <w:t>References</w:t>
      </w:r>
    </w:p>
    <w:p w14:paraId="7BF4FCF1" w14:textId="0098AB1B" w:rsidR="00C530B0" w:rsidRDefault="00C530B0" w:rsidP="001D3EDF">
      <w:pPr>
        <w:spacing w:afterLines="80" w:after="192" w:line="480" w:lineRule="auto"/>
        <w:ind w:firstLine="641"/>
      </w:pPr>
    </w:p>
    <w:p w14:paraId="7BE8E087" w14:textId="3065121C" w:rsidR="00C530B0" w:rsidRDefault="00C530B0" w:rsidP="00C530B0">
      <w:pPr>
        <w:spacing w:afterLines="80" w:after="192" w:line="480" w:lineRule="auto"/>
      </w:pPr>
      <w:r>
        <w:t>Numerical investigation on the performance,</w:t>
      </w:r>
      <w:r>
        <w:t xml:space="preserve"> </w:t>
      </w:r>
      <w:r>
        <w:t>sustainability, and efficiency of the deep</w:t>
      </w:r>
      <w:r>
        <w:t xml:space="preserve"> </w:t>
      </w:r>
      <w:r>
        <w:t>borehole heat exchanger system for building</w:t>
      </w:r>
      <w:r>
        <w:t xml:space="preserve"> </w:t>
      </w:r>
      <w:r>
        <w:t>heating of Chen et al. (2019)</w:t>
      </w:r>
    </w:p>
    <w:sectPr w:rsidR="00C530B0" w:rsidSect="0048560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CDERMOTT Christopher" w:date="2020-09-30T09:50:00Z" w:initials="MC">
    <w:p w14:paraId="0046B437" w14:textId="77777777" w:rsidR="00727E5C" w:rsidRDefault="00727E5C" w:rsidP="00727E5C">
      <w:pPr>
        <w:pStyle w:val="Commentaire"/>
      </w:pPr>
      <w:r>
        <w:rPr>
          <w:rStyle w:val="Marquedecommentaire"/>
        </w:rPr>
        <w:annotationRef/>
      </w:r>
      <w:r>
        <w:t>This is an odd approach, and doesn’t really make sense in our concept?</w:t>
      </w:r>
    </w:p>
  </w:comment>
  <w:comment w:id="1" w:author="Mylène RECEVEUR" w:date="2020-09-20T18:49:00Z" w:initials="MR">
    <w:p w14:paraId="337C523C" w14:textId="77777777" w:rsidR="00727E5C" w:rsidRDefault="00727E5C" w:rsidP="00727E5C">
      <w:pPr>
        <w:pStyle w:val="Commentaire"/>
      </w:pPr>
      <w:r>
        <w:rPr>
          <w:rStyle w:val="Marquedecommentaire"/>
        </w:rPr>
        <w:annotationRef/>
      </w:r>
      <w:r>
        <w:t>Numerical simulation confirms that after 1 year, the temperature drops at the borehole equals 2°C. However, after 10 years, the temperature at -70 m depth reaches – 2.5°C</w:t>
      </w:r>
    </w:p>
  </w:comment>
  <w:comment w:id="2" w:author="MCDERMOTT Christopher" w:date="2020-09-30T09:54:00Z" w:initials="MC">
    <w:p w14:paraId="436BA0BD" w14:textId="77777777" w:rsidR="00727E5C" w:rsidRDefault="00727E5C" w:rsidP="00727E5C">
      <w:pPr>
        <w:pStyle w:val="Commentaire"/>
      </w:pPr>
      <w:r>
        <w:rPr>
          <w:rStyle w:val="Marquedecommentaire"/>
        </w:rPr>
        <w:annotationRef/>
      </w:r>
      <w:r>
        <w:t xml:space="preserve">I suspect that that is because the analytical approach you take applied the temperature drop to all the rock, but the numerical one discretises, </w:t>
      </w:r>
      <w:proofErr w:type="gramStart"/>
      <w:r>
        <w:t>i.e.</w:t>
      </w:r>
      <w:proofErr w:type="gramEnd"/>
      <w:r>
        <w:t xml:space="preserve"> it’s an important scale effect.</w:t>
      </w:r>
    </w:p>
    <w:p w14:paraId="13024BD4" w14:textId="77777777" w:rsidR="00727E5C" w:rsidRDefault="00727E5C" w:rsidP="00727E5C">
      <w:pPr>
        <w:pStyle w:val="Commentaire"/>
      </w:pPr>
    </w:p>
    <w:p w14:paraId="5A23BD56" w14:textId="77777777" w:rsidR="00727E5C" w:rsidRDefault="00727E5C" w:rsidP="00727E5C">
      <w:pPr>
        <w:pStyle w:val="Commentaire"/>
      </w:pPr>
      <w:proofErr w:type="gramStart"/>
      <w:r>
        <w:t>Also</w:t>
      </w:r>
      <w:proofErr w:type="gramEnd"/>
      <w:r>
        <w:t xml:space="preserve"> what happens after 30 years?</w:t>
      </w:r>
    </w:p>
    <w:p w14:paraId="2823645C" w14:textId="77777777" w:rsidR="00727E5C" w:rsidRDefault="00727E5C" w:rsidP="00727E5C">
      <w:pPr>
        <w:pStyle w:val="Commentaire"/>
      </w:pPr>
    </w:p>
    <w:p w14:paraId="70CDE846" w14:textId="77777777" w:rsidR="00727E5C" w:rsidRDefault="00727E5C" w:rsidP="00727E5C">
      <w:pPr>
        <w:pStyle w:val="Commentaire"/>
      </w:pPr>
      <w:r>
        <w:t xml:space="preserve">What happens if the neighbours are also cooling the </w:t>
      </w:r>
      <w:proofErr w:type="gramStart"/>
      <w:r>
        <w:t>ground.</w:t>
      </w:r>
      <w:proofErr w:type="gramEnd"/>
    </w:p>
  </w:comment>
  <w:comment w:id="3" w:author="Mylène RECEVEUR" w:date="2021-03-01T08:47:00Z" w:initials="MR">
    <w:p w14:paraId="4D7732BD" w14:textId="77777777" w:rsidR="004D6D7F" w:rsidRDefault="004D6D7F" w:rsidP="004D6D7F">
      <w:pPr>
        <w:pStyle w:val="Commentaire"/>
      </w:pPr>
      <w:r>
        <w:rPr>
          <w:rStyle w:val="Marquedecommentaire"/>
        </w:rPr>
        <w:annotationRef/>
      </w:r>
      <w:r>
        <w:t>Similarly, the lateral heat fluxes with and without solar recharge at a distance x = 26.5 m away from the borehole (</w:t>
      </w:r>
      <w:proofErr w:type="gramStart"/>
      <w:r>
        <w:t>i.e.</w:t>
      </w:r>
      <w:proofErr w:type="gramEnd"/>
      <w:r>
        <w:t xml:space="preserve"> radius for the impact area after 30 years) would be XXX W/m² and XXX W/m², respectively. </w:t>
      </w:r>
      <w:r>
        <w:sym w:font="Wingdings" w:char="F0E0"/>
      </w:r>
      <w:r>
        <w:t xml:space="preserve"> solar recharge far </w:t>
      </w:r>
      <w:proofErr w:type="spellStart"/>
      <w:r>
        <w:t>to</w:t>
      </w:r>
      <w:proofErr w:type="spellEnd"/>
      <w:r>
        <w:t xml:space="preserve"> high if use the 2200 m² area, need to review method:</w:t>
      </w:r>
    </w:p>
    <w:p w14:paraId="70E265B5" w14:textId="77777777" w:rsidR="004D6D7F" w:rsidRDefault="004D6D7F" w:rsidP="004D6D7F">
      <w:pPr>
        <w:pStyle w:val="Commentaire"/>
      </w:pPr>
    </w:p>
    <w:p w14:paraId="3B71F4CE" w14:textId="3864C3EB" w:rsidR="004D6D7F" w:rsidRDefault="004D6D7F" w:rsidP="004D6D7F">
      <w:pPr>
        <w:pStyle w:val="Commentaire"/>
      </w:pPr>
      <w:r>
        <w:t>Say that over time additional effects</w:t>
      </w:r>
    </w:p>
  </w:comment>
  <w:comment w:id="4" w:author="Mylène RECEVEUR" w:date="2021-03-01T08:45:00Z" w:initials="MR">
    <w:p w14:paraId="389A1EF6" w14:textId="77777777" w:rsidR="00C3718F" w:rsidRDefault="00C3718F" w:rsidP="00C3718F">
      <w:pPr>
        <w:pStyle w:val="Commentaire"/>
      </w:pPr>
      <w:r>
        <w:rPr>
          <w:rStyle w:val="Marquedecommentaire"/>
        </w:rPr>
        <w:annotationRef/>
      </w:r>
      <w:r>
        <w:t>Axial fluxes for 2200m² model:</w:t>
      </w:r>
    </w:p>
    <w:p w14:paraId="0BA2A0CE" w14:textId="77777777" w:rsidR="00C3718F" w:rsidRDefault="00C3718F" w:rsidP="00C3718F">
      <w:pPr>
        <w:pStyle w:val="Commentaire"/>
      </w:pPr>
      <w:r>
        <w:t>flux['OUT'][366]/(flux['BHE'][</w:t>
      </w:r>
      <w:proofErr w:type="gramStart"/>
      <w:r>
        <w:t>1]+</w:t>
      </w:r>
      <w:proofErr w:type="gramEnd"/>
      <w:r>
        <w:t>flux['OUT'][1])*100</w:t>
      </w:r>
    </w:p>
    <w:p w14:paraId="78FFC5B7" w14:textId="77777777" w:rsidR="00C3718F" w:rsidRDefault="00C3718F" w:rsidP="00C3718F">
      <w:pPr>
        <w:pStyle w:val="Commentaire"/>
      </w:pPr>
      <w:r>
        <w:t>= 14% after 1 year (same results when using 73 m² area)</w:t>
      </w:r>
    </w:p>
    <w:p w14:paraId="0750F73E" w14:textId="77777777" w:rsidR="00C3718F" w:rsidRDefault="00C3718F" w:rsidP="00C3718F">
      <w:pPr>
        <w:pStyle w:val="Commentaire"/>
      </w:pPr>
    </w:p>
    <w:p w14:paraId="4829BF71" w14:textId="77777777" w:rsidR="00C3718F" w:rsidRDefault="00C3718F" w:rsidP="00C3718F">
      <w:pPr>
        <w:pStyle w:val="Commentaire"/>
      </w:pPr>
      <w:r>
        <w:t>flux['OUT</w:t>
      </w:r>
      <w:proofErr w:type="gramStart"/>
      <w:r>
        <w:t>'][</w:t>
      </w:r>
      <w:proofErr w:type="gramEnd"/>
      <w:r>
        <w:t>-1]/(flux['BHE'][-1]+flux['OUT'][-1])*100</w:t>
      </w:r>
    </w:p>
    <w:p w14:paraId="04A23B8E" w14:textId="77777777" w:rsidR="00C3718F" w:rsidRDefault="00C3718F" w:rsidP="00C3718F">
      <w:pPr>
        <w:pStyle w:val="Commentaire"/>
      </w:pPr>
      <w:r>
        <w:t>= 62% contribution from axial flux after 30 years</w:t>
      </w:r>
    </w:p>
    <w:p w14:paraId="5ED36078" w14:textId="77777777" w:rsidR="00C3718F" w:rsidRDefault="00C3718F" w:rsidP="00C3718F">
      <w:pPr>
        <w:pStyle w:val="Commentaire"/>
      </w:pPr>
    </w:p>
    <w:p w14:paraId="6E28CA09" w14:textId="77777777" w:rsidR="00C3718F" w:rsidRDefault="00C3718F" w:rsidP="00C3718F">
      <w:pPr>
        <w:pStyle w:val="Commentaire"/>
      </w:pPr>
      <w:r>
        <w:t xml:space="preserve">In 73m² model, 50 % after 20 years </w:t>
      </w:r>
    </w:p>
    <w:p w14:paraId="2DDBB16F" w14:textId="77777777" w:rsidR="00C3718F" w:rsidRDefault="00C3718F" w:rsidP="00C3718F">
      <w:pPr>
        <w:pStyle w:val="Commentaire"/>
      </w:pPr>
    </w:p>
    <w:p w14:paraId="6032B408" w14:textId="77777777" w:rsidR="00C3718F" w:rsidRDefault="00C3718F" w:rsidP="00C3718F">
      <w:pPr>
        <w:pStyle w:val="Commentaire"/>
      </w:pPr>
      <w:r>
        <w:t>Radial fluxes from 3D models:</w:t>
      </w:r>
    </w:p>
    <w:p w14:paraId="14318667" w14:textId="77777777" w:rsidR="00C3718F" w:rsidRDefault="00C3718F" w:rsidP="00C3718F">
      <w:pPr>
        <w:pStyle w:val="Commentaire"/>
      </w:pPr>
      <w:r>
        <w:t>Year1</w:t>
      </w:r>
    </w:p>
    <w:p w14:paraId="4AFDDBAF" w14:textId="77777777" w:rsidR="00C3718F" w:rsidRDefault="00C3718F" w:rsidP="00C3718F">
      <w:pPr>
        <w:pStyle w:val="Commentaire"/>
      </w:pPr>
      <w:proofErr w:type="gramStart"/>
      <w:r>
        <w:t>flux[</w:t>
      </w:r>
      <w:proofErr w:type="gramEnd"/>
      <w:r>
        <w:t>'r &lt; 4.5m'][0]/(flux['r &lt; 4.5m'][1]+flux['r &lt; 26.5m'][1]+flux['r &gt; 26.5m'][1])*100</w:t>
      </w:r>
    </w:p>
    <w:p w14:paraId="07E1A03E" w14:textId="77777777" w:rsidR="00C3718F" w:rsidRDefault="00C3718F" w:rsidP="00C3718F">
      <w:pPr>
        <w:pStyle w:val="Commentaire"/>
      </w:pPr>
      <w:proofErr w:type="gramStart"/>
      <w:r>
        <w:t>=  35</w:t>
      </w:r>
      <w:proofErr w:type="gramEnd"/>
    </w:p>
    <w:p w14:paraId="75CD31ED" w14:textId="77777777" w:rsidR="00C3718F" w:rsidRDefault="00C3718F" w:rsidP="00C3718F">
      <w:pPr>
        <w:pStyle w:val="Commentaire"/>
      </w:pPr>
    </w:p>
    <w:p w14:paraId="5C015545" w14:textId="77777777" w:rsidR="00C3718F" w:rsidRDefault="00C3718F" w:rsidP="00C3718F">
      <w:pPr>
        <w:pStyle w:val="Commentaire"/>
      </w:pPr>
      <w:r>
        <w:t>(</w:t>
      </w:r>
      <w:proofErr w:type="gramStart"/>
      <w:r>
        <w:t>flux[</w:t>
      </w:r>
      <w:proofErr w:type="gramEnd"/>
      <w:r>
        <w:t>'r &lt; 4.5m'][1]+flux['r &lt; 26.5m'][1])/(flux['r &lt; 4.5m'][1]+flux['r &lt; 26.5m'][1]+flux['r &gt; 26.5m'][1])*100</w:t>
      </w:r>
    </w:p>
    <w:p w14:paraId="3A3121CA" w14:textId="77777777" w:rsidR="00C3718F" w:rsidRDefault="00C3718F" w:rsidP="00C3718F">
      <w:pPr>
        <w:pStyle w:val="Commentaire"/>
      </w:pPr>
      <w:proofErr w:type="gramStart"/>
      <w:r>
        <w:t>Out[</w:t>
      </w:r>
      <w:proofErr w:type="gramEnd"/>
      <w:r>
        <w:t>279]: 95</w:t>
      </w:r>
    </w:p>
    <w:p w14:paraId="09EA278A" w14:textId="77777777" w:rsidR="00C3718F" w:rsidRDefault="00C3718F" w:rsidP="00C3718F">
      <w:pPr>
        <w:pStyle w:val="Commentaire"/>
        <w:ind w:firstLine="0"/>
      </w:pPr>
    </w:p>
    <w:p w14:paraId="76FB94D9" w14:textId="77777777" w:rsidR="00C3718F" w:rsidRDefault="00C3718F" w:rsidP="00C3718F">
      <w:pPr>
        <w:pStyle w:val="Commentaire"/>
        <w:numPr>
          <w:ilvl w:val="0"/>
          <w:numId w:val="17"/>
        </w:numPr>
      </w:pPr>
      <w:r>
        <w:t>35 % from area &lt; 4.5m and 95% from area &lt; 26.5 m</w:t>
      </w:r>
    </w:p>
    <w:p w14:paraId="2C8A401F" w14:textId="77777777" w:rsidR="00C3718F" w:rsidRDefault="00C3718F" w:rsidP="00C3718F">
      <w:pPr>
        <w:pStyle w:val="Commentaire"/>
      </w:pPr>
    </w:p>
    <w:p w14:paraId="4ECA9F55" w14:textId="77777777" w:rsidR="00C3718F" w:rsidRDefault="00C3718F" w:rsidP="00C3718F">
      <w:pPr>
        <w:pStyle w:val="Commentaire"/>
      </w:pPr>
      <w:r>
        <w:t>Year 30</w:t>
      </w:r>
    </w:p>
    <w:p w14:paraId="4E4F50F3" w14:textId="77777777" w:rsidR="00C3718F" w:rsidRDefault="00C3718F" w:rsidP="00C3718F">
      <w:pPr>
        <w:pStyle w:val="Commentaire"/>
      </w:pPr>
      <w:r>
        <w:t>(</w:t>
      </w:r>
      <w:proofErr w:type="gramStart"/>
      <w:r>
        <w:t>flux[</w:t>
      </w:r>
      <w:proofErr w:type="gramEnd"/>
      <w:r>
        <w:t>'r &lt; 4.5m'][-1]+flux['r &lt; 26.5m'][-1])/(flux['r &lt; 4.5m'][1]+flux['r &lt; 26.5m'][1]+flux['r &gt; 26.5m'][1])*100</w:t>
      </w:r>
    </w:p>
    <w:p w14:paraId="53E168A5" w14:textId="77777777" w:rsidR="00C3718F" w:rsidRDefault="00C3718F" w:rsidP="00C3718F">
      <w:pPr>
        <w:pStyle w:val="Commentaire"/>
      </w:pPr>
      <w:proofErr w:type="gramStart"/>
      <w:r>
        <w:t>=  22</w:t>
      </w:r>
      <w:proofErr w:type="gramEnd"/>
    </w:p>
    <w:p w14:paraId="09787123" w14:textId="77777777" w:rsidR="00C3718F" w:rsidRDefault="00C3718F" w:rsidP="00C3718F">
      <w:pPr>
        <w:pStyle w:val="Commentaire"/>
      </w:pPr>
    </w:p>
    <w:p w14:paraId="193B8128" w14:textId="6C991478" w:rsidR="00C3718F" w:rsidRDefault="00C3718F" w:rsidP="00C3718F">
      <w:pPr>
        <w:pStyle w:val="Commentaire"/>
      </w:pPr>
      <w:r>
        <w:t>After 30 years, 78% of energy from area &gt; 26.5 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46B437" w15:done="0"/>
  <w15:commentEx w15:paraId="337C523C" w15:done="0"/>
  <w15:commentEx w15:paraId="70CDE846" w15:paraIdParent="337C523C" w15:done="0"/>
  <w15:commentEx w15:paraId="3B71F4CE" w15:done="0"/>
  <w15:commentEx w15:paraId="193B81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AD602" w16cex:dateUtc="2020-09-20T17:49:00Z"/>
  <w16cex:commentExtensible w16cex:durableId="23E72886" w16cex:dateUtc="2021-03-01T08:47:00Z"/>
  <w16cex:commentExtensible w16cex:durableId="23E7281F" w16cex:dateUtc="2021-03-01T0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46B437" w16cid:durableId="232AD4F6"/>
  <w16cid:commentId w16cid:paraId="337C523C" w16cid:durableId="232AD602"/>
  <w16cid:commentId w16cid:paraId="70CDE846" w16cid:durableId="232AD601"/>
  <w16cid:commentId w16cid:paraId="3B71F4CE" w16cid:durableId="23E72886"/>
  <w16cid:commentId w16cid:paraId="193B8128" w16cid:durableId="23E728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A0707"/>
    <w:multiLevelType w:val="multilevel"/>
    <w:tmpl w:val="0BAAD0FA"/>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66E5CBD"/>
    <w:multiLevelType w:val="hybridMultilevel"/>
    <w:tmpl w:val="38BAA2BA"/>
    <w:lvl w:ilvl="0" w:tplc="00CE3074">
      <w:start w:val="40"/>
      <w:numFmt w:val="bullet"/>
      <w:lvlText w:val=""/>
      <w:lvlJc w:val="left"/>
      <w:pPr>
        <w:ind w:left="361" w:hanging="360"/>
      </w:pPr>
      <w:rPr>
        <w:rFonts w:ascii="Wingdings" w:eastAsia="Calibri" w:hAnsi="Wingdings" w:cs="Calibri" w:hint="default"/>
      </w:rPr>
    </w:lvl>
    <w:lvl w:ilvl="1" w:tplc="08090003" w:tentative="1">
      <w:start w:val="1"/>
      <w:numFmt w:val="bullet"/>
      <w:lvlText w:val="o"/>
      <w:lvlJc w:val="left"/>
      <w:pPr>
        <w:ind w:left="1081" w:hanging="360"/>
      </w:pPr>
      <w:rPr>
        <w:rFonts w:ascii="Courier New" w:hAnsi="Courier New" w:cs="Courier New" w:hint="default"/>
      </w:rPr>
    </w:lvl>
    <w:lvl w:ilvl="2" w:tplc="08090005" w:tentative="1">
      <w:start w:val="1"/>
      <w:numFmt w:val="bullet"/>
      <w:lvlText w:val=""/>
      <w:lvlJc w:val="left"/>
      <w:pPr>
        <w:ind w:left="1801" w:hanging="360"/>
      </w:pPr>
      <w:rPr>
        <w:rFonts w:ascii="Wingdings" w:hAnsi="Wingdings" w:hint="default"/>
      </w:rPr>
    </w:lvl>
    <w:lvl w:ilvl="3" w:tplc="08090001" w:tentative="1">
      <w:start w:val="1"/>
      <w:numFmt w:val="bullet"/>
      <w:lvlText w:val=""/>
      <w:lvlJc w:val="left"/>
      <w:pPr>
        <w:ind w:left="2521" w:hanging="360"/>
      </w:pPr>
      <w:rPr>
        <w:rFonts w:ascii="Symbol" w:hAnsi="Symbol" w:hint="default"/>
      </w:rPr>
    </w:lvl>
    <w:lvl w:ilvl="4" w:tplc="08090003" w:tentative="1">
      <w:start w:val="1"/>
      <w:numFmt w:val="bullet"/>
      <w:lvlText w:val="o"/>
      <w:lvlJc w:val="left"/>
      <w:pPr>
        <w:ind w:left="3241" w:hanging="360"/>
      </w:pPr>
      <w:rPr>
        <w:rFonts w:ascii="Courier New" w:hAnsi="Courier New" w:cs="Courier New" w:hint="default"/>
      </w:rPr>
    </w:lvl>
    <w:lvl w:ilvl="5" w:tplc="08090005" w:tentative="1">
      <w:start w:val="1"/>
      <w:numFmt w:val="bullet"/>
      <w:lvlText w:val=""/>
      <w:lvlJc w:val="left"/>
      <w:pPr>
        <w:ind w:left="3961" w:hanging="360"/>
      </w:pPr>
      <w:rPr>
        <w:rFonts w:ascii="Wingdings" w:hAnsi="Wingdings" w:hint="default"/>
      </w:rPr>
    </w:lvl>
    <w:lvl w:ilvl="6" w:tplc="08090001" w:tentative="1">
      <w:start w:val="1"/>
      <w:numFmt w:val="bullet"/>
      <w:lvlText w:val=""/>
      <w:lvlJc w:val="left"/>
      <w:pPr>
        <w:ind w:left="4681" w:hanging="360"/>
      </w:pPr>
      <w:rPr>
        <w:rFonts w:ascii="Symbol" w:hAnsi="Symbol" w:hint="default"/>
      </w:rPr>
    </w:lvl>
    <w:lvl w:ilvl="7" w:tplc="08090003" w:tentative="1">
      <w:start w:val="1"/>
      <w:numFmt w:val="bullet"/>
      <w:lvlText w:val="o"/>
      <w:lvlJc w:val="left"/>
      <w:pPr>
        <w:ind w:left="5401" w:hanging="360"/>
      </w:pPr>
      <w:rPr>
        <w:rFonts w:ascii="Courier New" w:hAnsi="Courier New" w:cs="Courier New" w:hint="default"/>
      </w:rPr>
    </w:lvl>
    <w:lvl w:ilvl="8" w:tplc="08090005" w:tentative="1">
      <w:start w:val="1"/>
      <w:numFmt w:val="bullet"/>
      <w:lvlText w:val=""/>
      <w:lvlJc w:val="left"/>
      <w:pPr>
        <w:ind w:left="6121" w:hanging="360"/>
      </w:pPr>
      <w:rPr>
        <w:rFonts w:ascii="Wingdings" w:hAnsi="Wingdings" w:hint="default"/>
      </w:rPr>
    </w:lvl>
  </w:abstractNum>
  <w:abstractNum w:abstractNumId="2" w15:restartNumberingAfterBreak="0">
    <w:nsid w:val="15092F7C"/>
    <w:multiLevelType w:val="multilevel"/>
    <w:tmpl w:val="0BAAD0FA"/>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E1B1BEE"/>
    <w:multiLevelType w:val="hybridMultilevel"/>
    <w:tmpl w:val="C2026C6E"/>
    <w:lvl w:ilvl="0" w:tplc="B19C2AD0">
      <w:start w:val="2"/>
      <w:numFmt w:val="bullet"/>
      <w:lvlText w:val="-"/>
      <w:lvlJc w:val="left"/>
      <w:pPr>
        <w:ind w:left="695" w:hanging="360"/>
      </w:pPr>
      <w:rPr>
        <w:rFonts w:ascii="Calibri" w:eastAsia="Calibri" w:hAnsi="Calibri" w:cs="Calibri" w:hint="default"/>
      </w:rPr>
    </w:lvl>
    <w:lvl w:ilvl="1" w:tplc="08090003" w:tentative="1">
      <w:start w:val="1"/>
      <w:numFmt w:val="bullet"/>
      <w:lvlText w:val="o"/>
      <w:lvlJc w:val="left"/>
      <w:pPr>
        <w:ind w:left="1415" w:hanging="360"/>
      </w:pPr>
      <w:rPr>
        <w:rFonts w:ascii="Courier New" w:hAnsi="Courier New" w:cs="Courier New" w:hint="default"/>
      </w:rPr>
    </w:lvl>
    <w:lvl w:ilvl="2" w:tplc="08090005" w:tentative="1">
      <w:start w:val="1"/>
      <w:numFmt w:val="bullet"/>
      <w:lvlText w:val=""/>
      <w:lvlJc w:val="left"/>
      <w:pPr>
        <w:ind w:left="2135" w:hanging="360"/>
      </w:pPr>
      <w:rPr>
        <w:rFonts w:ascii="Wingdings" w:hAnsi="Wingdings" w:hint="default"/>
      </w:rPr>
    </w:lvl>
    <w:lvl w:ilvl="3" w:tplc="08090001" w:tentative="1">
      <w:start w:val="1"/>
      <w:numFmt w:val="bullet"/>
      <w:lvlText w:val=""/>
      <w:lvlJc w:val="left"/>
      <w:pPr>
        <w:ind w:left="2855" w:hanging="360"/>
      </w:pPr>
      <w:rPr>
        <w:rFonts w:ascii="Symbol" w:hAnsi="Symbol" w:hint="default"/>
      </w:rPr>
    </w:lvl>
    <w:lvl w:ilvl="4" w:tplc="08090003" w:tentative="1">
      <w:start w:val="1"/>
      <w:numFmt w:val="bullet"/>
      <w:lvlText w:val="o"/>
      <w:lvlJc w:val="left"/>
      <w:pPr>
        <w:ind w:left="3575" w:hanging="360"/>
      </w:pPr>
      <w:rPr>
        <w:rFonts w:ascii="Courier New" w:hAnsi="Courier New" w:cs="Courier New" w:hint="default"/>
      </w:rPr>
    </w:lvl>
    <w:lvl w:ilvl="5" w:tplc="08090005" w:tentative="1">
      <w:start w:val="1"/>
      <w:numFmt w:val="bullet"/>
      <w:lvlText w:val=""/>
      <w:lvlJc w:val="left"/>
      <w:pPr>
        <w:ind w:left="4295" w:hanging="360"/>
      </w:pPr>
      <w:rPr>
        <w:rFonts w:ascii="Wingdings" w:hAnsi="Wingdings" w:hint="default"/>
      </w:rPr>
    </w:lvl>
    <w:lvl w:ilvl="6" w:tplc="08090001" w:tentative="1">
      <w:start w:val="1"/>
      <w:numFmt w:val="bullet"/>
      <w:lvlText w:val=""/>
      <w:lvlJc w:val="left"/>
      <w:pPr>
        <w:ind w:left="5015" w:hanging="360"/>
      </w:pPr>
      <w:rPr>
        <w:rFonts w:ascii="Symbol" w:hAnsi="Symbol" w:hint="default"/>
      </w:rPr>
    </w:lvl>
    <w:lvl w:ilvl="7" w:tplc="08090003" w:tentative="1">
      <w:start w:val="1"/>
      <w:numFmt w:val="bullet"/>
      <w:lvlText w:val="o"/>
      <w:lvlJc w:val="left"/>
      <w:pPr>
        <w:ind w:left="5735" w:hanging="360"/>
      </w:pPr>
      <w:rPr>
        <w:rFonts w:ascii="Courier New" w:hAnsi="Courier New" w:cs="Courier New" w:hint="default"/>
      </w:rPr>
    </w:lvl>
    <w:lvl w:ilvl="8" w:tplc="08090005" w:tentative="1">
      <w:start w:val="1"/>
      <w:numFmt w:val="bullet"/>
      <w:lvlText w:val=""/>
      <w:lvlJc w:val="left"/>
      <w:pPr>
        <w:ind w:left="6455" w:hanging="360"/>
      </w:pPr>
      <w:rPr>
        <w:rFonts w:ascii="Wingdings" w:hAnsi="Wingdings" w:hint="default"/>
      </w:rPr>
    </w:lvl>
  </w:abstractNum>
  <w:abstractNum w:abstractNumId="4" w15:restartNumberingAfterBreak="0">
    <w:nsid w:val="1FA706D7"/>
    <w:multiLevelType w:val="hybridMultilevel"/>
    <w:tmpl w:val="C3DECEB0"/>
    <w:lvl w:ilvl="0" w:tplc="AE5EC4B4">
      <w:start w:val="4"/>
      <w:numFmt w:val="bullet"/>
      <w:lvlText w:val="-"/>
      <w:lvlJc w:val="left"/>
      <w:pPr>
        <w:ind w:left="361" w:hanging="360"/>
      </w:pPr>
      <w:rPr>
        <w:rFonts w:ascii="Calibri" w:eastAsia="Calibri" w:hAnsi="Calibri" w:cs="Calibri" w:hint="default"/>
      </w:rPr>
    </w:lvl>
    <w:lvl w:ilvl="1" w:tplc="08090003" w:tentative="1">
      <w:start w:val="1"/>
      <w:numFmt w:val="bullet"/>
      <w:lvlText w:val="o"/>
      <w:lvlJc w:val="left"/>
      <w:pPr>
        <w:ind w:left="1081" w:hanging="360"/>
      </w:pPr>
      <w:rPr>
        <w:rFonts w:ascii="Courier New" w:hAnsi="Courier New" w:cs="Courier New" w:hint="default"/>
      </w:rPr>
    </w:lvl>
    <w:lvl w:ilvl="2" w:tplc="08090005" w:tentative="1">
      <w:start w:val="1"/>
      <w:numFmt w:val="bullet"/>
      <w:lvlText w:val=""/>
      <w:lvlJc w:val="left"/>
      <w:pPr>
        <w:ind w:left="1801" w:hanging="360"/>
      </w:pPr>
      <w:rPr>
        <w:rFonts w:ascii="Wingdings" w:hAnsi="Wingdings" w:hint="default"/>
      </w:rPr>
    </w:lvl>
    <w:lvl w:ilvl="3" w:tplc="08090001" w:tentative="1">
      <w:start w:val="1"/>
      <w:numFmt w:val="bullet"/>
      <w:lvlText w:val=""/>
      <w:lvlJc w:val="left"/>
      <w:pPr>
        <w:ind w:left="2521" w:hanging="360"/>
      </w:pPr>
      <w:rPr>
        <w:rFonts w:ascii="Symbol" w:hAnsi="Symbol" w:hint="default"/>
      </w:rPr>
    </w:lvl>
    <w:lvl w:ilvl="4" w:tplc="08090003" w:tentative="1">
      <w:start w:val="1"/>
      <w:numFmt w:val="bullet"/>
      <w:lvlText w:val="o"/>
      <w:lvlJc w:val="left"/>
      <w:pPr>
        <w:ind w:left="3241" w:hanging="360"/>
      </w:pPr>
      <w:rPr>
        <w:rFonts w:ascii="Courier New" w:hAnsi="Courier New" w:cs="Courier New" w:hint="default"/>
      </w:rPr>
    </w:lvl>
    <w:lvl w:ilvl="5" w:tplc="08090005" w:tentative="1">
      <w:start w:val="1"/>
      <w:numFmt w:val="bullet"/>
      <w:lvlText w:val=""/>
      <w:lvlJc w:val="left"/>
      <w:pPr>
        <w:ind w:left="3961" w:hanging="360"/>
      </w:pPr>
      <w:rPr>
        <w:rFonts w:ascii="Wingdings" w:hAnsi="Wingdings" w:hint="default"/>
      </w:rPr>
    </w:lvl>
    <w:lvl w:ilvl="6" w:tplc="08090001" w:tentative="1">
      <w:start w:val="1"/>
      <w:numFmt w:val="bullet"/>
      <w:lvlText w:val=""/>
      <w:lvlJc w:val="left"/>
      <w:pPr>
        <w:ind w:left="4681" w:hanging="360"/>
      </w:pPr>
      <w:rPr>
        <w:rFonts w:ascii="Symbol" w:hAnsi="Symbol" w:hint="default"/>
      </w:rPr>
    </w:lvl>
    <w:lvl w:ilvl="7" w:tplc="08090003" w:tentative="1">
      <w:start w:val="1"/>
      <w:numFmt w:val="bullet"/>
      <w:lvlText w:val="o"/>
      <w:lvlJc w:val="left"/>
      <w:pPr>
        <w:ind w:left="5401" w:hanging="360"/>
      </w:pPr>
      <w:rPr>
        <w:rFonts w:ascii="Courier New" w:hAnsi="Courier New" w:cs="Courier New" w:hint="default"/>
      </w:rPr>
    </w:lvl>
    <w:lvl w:ilvl="8" w:tplc="08090005" w:tentative="1">
      <w:start w:val="1"/>
      <w:numFmt w:val="bullet"/>
      <w:lvlText w:val=""/>
      <w:lvlJc w:val="left"/>
      <w:pPr>
        <w:ind w:left="6121" w:hanging="360"/>
      </w:pPr>
      <w:rPr>
        <w:rFonts w:ascii="Wingdings" w:hAnsi="Wingdings" w:hint="default"/>
      </w:rPr>
    </w:lvl>
  </w:abstractNum>
  <w:abstractNum w:abstractNumId="5" w15:restartNumberingAfterBreak="0">
    <w:nsid w:val="2BF21F1E"/>
    <w:multiLevelType w:val="hybridMultilevel"/>
    <w:tmpl w:val="416ADF8C"/>
    <w:lvl w:ilvl="0" w:tplc="040C0001">
      <w:start w:val="1"/>
      <w:numFmt w:val="bullet"/>
      <w:lvlText w:val=""/>
      <w:lvlJc w:val="left"/>
      <w:pPr>
        <w:ind w:left="1055" w:hanging="360"/>
      </w:pPr>
      <w:rPr>
        <w:rFonts w:ascii="Symbol" w:hAnsi="Symbol" w:hint="default"/>
      </w:rPr>
    </w:lvl>
    <w:lvl w:ilvl="1" w:tplc="08090003" w:tentative="1">
      <w:start w:val="1"/>
      <w:numFmt w:val="bullet"/>
      <w:lvlText w:val="o"/>
      <w:lvlJc w:val="left"/>
      <w:pPr>
        <w:ind w:left="1775" w:hanging="360"/>
      </w:pPr>
      <w:rPr>
        <w:rFonts w:ascii="Courier New" w:hAnsi="Courier New" w:cs="Courier New" w:hint="default"/>
      </w:rPr>
    </w:lvl>
    <w:lvl w:ilvl="2" w:tplc="08090005" w:tentative="1">
      <w:start w:val="1"/>
      <w:numFmt w:val="bullet"/>
      <w:lvlText w:val=""/>
      <w:lvlJc w:val="left"/>
      <w:pPr>
        <w:ind w:left="2495" w:hanging="360"/>
      </w:pPr>
      <w:rPr>
        <w:rFonts w:ascii="Wingdings" w:hAnsi="Wingdings" w:hint="default"/>
      </w:rPr>
    </w:lvl>
    <w:lvl w:ilvl="3" w:tplc="08090001" w:tentative="1">
      <w:start w:val="1"/>
      <w:numFmt w:val="bullet"/>
      <w:lvlText w:val=""/>
      <w:lvlJc w:val="left"/>
      <w:pPr>
        <w:ind w:left="3215" w:hanging="360"/>
      </w:pPr>
      <w:rPr>
        <w:rFonts w:ascii="Symbol" w:hAnsi="Symbol" w:hint="default"/>
      </w:rPr>
    </w:lvl>
    <w:lvl w:ilvl="4" w:tplc="08090003" w:tentative="1">
      <w:start w:val="1"/>
      <w:numFmt w:val="bullet"/>
      <w:lvlText w:val="o"/>
      <w:lvlJc w:val="left"/>
      <w:pPr>
        <w:ind w:left="3935" w:hanging="360"/>
      </w:pPr>
      <w:rPr>
        <w:rFonts w:ascii="Courier New" w:hAnsi="Courier New" w:cs="Courier New" w:hint="default"/>
      </w:rPr>
    </w:lvl>
    <w:lvl w:ilvl="5" w:tplc="08090005" w:tentative="1">
      <w:start w:val="1"/>
      <w:numFmt w:val="bullet"/>
      <w:lvlText w:val=""/>
      <w:lvlJc w:val="left"/>
      <w:pPr>
        <w:ind w:left="4655" w:hanging="360"/>
      </w:pPr>
      <w:rPr>
        <w:rFonts w:ascii="Wingdings" w:hAnsi="Wingdings" w:hint="default"/>
      </w:rPr>
    </w:lvl>
    <w:lvl w:ilvl="6" w:tplc="08090001" w:tentative="1">
      <w:start w:val="1"/>
      <w:numFmt w:val="bullet"/>
      <w:lvlText w:val=""/>
      <w:lvlJc w:val="left"/>
      <w:pPr>
        <w:ind w:left="5375" w:hanging="360"/>
      </w:pPr>
      <w:rPr>
        <w:rFonts w:ascii="Symbol" w:hAnsi="Symbol" w:hint="default"/>
      </w:rPr>
    </w:lvl>
    <w:lvl w:ilvl="7" w:tplc="08090003" w:tentative="1">
      <w:start w:val="1"/>
      <w:numFmt w:val="bullet"/>
      <w:lvlText w:val="o"/>
      <w:lvlJc w:val="left"/>
      <w:pPr>
        <w:ind w:left="6095" w:hanging="360"/>
      </w:pPr>
      <w:rPr>
        <w:rFonts w:ascii="Courier New" w:hAnsi="Courier New" w:cs="Courier New" w:hint="default"/>
      </w:rPr>
    </w:lvl>
    <w:lvl w:ilvl="8" w:tplc="08090005" w:tentative="1">
      <w:start w:val="1"/>
      <w:numFmt w:val="bullet"/>
      <w:lvlText w:val=""/>
      <w:lvlJc w:val="left"/>
      <w:pPr>
        <w:ind w:left="6815" w:hanging="360"/>
      </w:pPr>
      <w:rPr>
        <w:rFonts w:ascii="Wingdings" w:hAnsi="Wingdings" w:hint="default"/>
      </w:rPr>
    </w:lvl>
  </w:abstractNum>
  <w:abstractNum w:abstractNumId="6" w15:restartNumberingAfterBreak="0">
    <w:nsid w:val="2C723CFA"/>
    <w:multiLevelType w:val="hybridMultilevel"/>
    <w:tmpl w:val="FAE6122C"/>
    <w:lvl w:ilvl="0" w:tplc="040C0001">
      <w:start w:val="1"/>
      <w:numFmt w:val="bullet"/>
      <w:lvlText w:val=""/>
      <w:lvlJc w:val="left"/>
      <w:pPr>
        <w:ind w:left="695" w:hanging="360"/>
      </w:pPr>
      <w:rPr>
        <w:rFonts w:ascii="Symbol" w:hAnsi="Symbol" w:hint="default"/>
      </w:rPr>
    </w:lvl>
    <w:lvl w:ilvl="1" w:tplc="08090003" w:tentative="1">
      <w:start w:val="1"/>
      <w:numFmt w:val="bullet"/>
      <w:lvlText w:val="o"/>
      <w:lvlJc w:val="left"/>
      <w:pPr>
        <w:ind w:left="1415" w:hanging="360"/>
      </w:pPr>
      <w:rPr>
        <w:rFonts w:ascii="Courier New" w:hAnsi="Courier New" w:cs="Courier New" w:hint="default"/>
      </w:rPr>
    </w:lvl>
    <w:lvl w:ilvl="2" w:tplc="08090005" w:tentative="1">
      <w:start w:val="1"/>
      <w:numFmt w:val="bullet"/>
      <w:lvlText w:val=""/>
      <w:lvlJc w:val="left"/>
      <w:pPr>
        <w:ind w:left="2135" w:hanging="360"/>
      </w:pPr>
      <w:rPr>
        <w:rFonts w:ascii="Wingdings" w:hAnsi="Wingdings" w:hint="default"/>
      </w:rPr>
    </w:lvl>
    <w:lvl w:ilvl="3" w:tplc="08090001" w:tentative="1">
      <w:start w:val="1"/>
      <w:numFmt w:val="bullet"/>
      <w:lvlText w:val=""/>
      <w:lvlJc w:val="left"/>
      <w:pPr>
        <w:ind w:left="2855" w:hanging="360"/>
      </w:pPr>
      <w:rPr>
        <w:rFonts w:ascii="Symbol" w:hAnsi="Symbol" w:hint="default"/>
      </w:rPr>
    </w:lvl>
    <w:lvl w:ilvl="4" w:tplc="08090003" w:tentative="1">
      <w:start w:val="1"/>
      <w:numFmt w:val="bullet"/>
      <w:lvlText w:val="o"/>
      <w:lvlJc w:val="left"/>
      <w:pPr>
        <w:ind w:left="3575" w:hanging="360"/>
      </w:pPr>
      <w:rPr>
        <w:rFonts w:ascii="Courier New" w:hAnsi="Courier New" w:cs="Courier New" w:hint="default"/>
      </w:rPr>
    </w:lvl>
    <w:lvl w:ilvl="5" w:tplc="08090005" w:tentative="1">
      <w:start w:val="1"/>
      <w:numFmt w:val="bullet"/>
      <w:lvlText w:val=""/>
      <w:lvlJc w:val="left"/>
      <w:pPr>
        <w:ind w:left="4295" w:hanging="360"/>
      </w:pPr>
      <w:rPr>
        <w:rFonts w:ascii="Wingdings" w:hAnsi="Wingdings" w:hint="default"/>
      </w:rPr>
    </w:lvl>
    <w:lvl w:ilvl="6" w:tplc="08090001" w:tentative="1">
      <w:start w:val="1"/>
      <w:numFmt w:val="bullet"/>
      <w:lvlText w:val=""/>
      <w:lvlJc w:val="left"/>
      <w:pPr>
        <w:ind w:left="5015" w:hanging="360"/>
      </w:pPr>
      <w:rPr>
        <w:rFonts w:ascii="Symbol" w:hAnsi="Symbol" w:hint="default"/>
      </w:rPr>
    </w:lvl>
    <w:lvl w:ilvl="7" w:tplc="08090003" w:tentative="1">
      <w:start w:val="1"/>
      <w:numFmt w:val="bullet"/>
      <w:lvlText w:val="o"/>
      <w:lvlJc w:val="left"/>
      <w:pPr>
        <w:ind w:left="5735" w:hanging="360"/>
      </w:pPr>
      <w:rPr>
        <w:rFonts w:ascii="Courier New" w:hAnsi="Courier New" w:cs="Courier New" w:hint="default"/>
      </w:rPr>
    </w:lvl>
    <w:lvl w:ilvl="8" w:tplc="08090005" w:tentative="1">
      <w:start w:val="1"/>
      <w:numFmt w:val="bullet"/>
      <w:lvlText w:val=""/>
      <w:lvlJc w:val="left"/>
      <w:pPr>
        <w:ind w:left="6455" w:hanging="360"/>
      </w:pPr>
      <w:rPr>
        <w:rFonts w:ascii="Wingdings" w:hAnsi="Wingdings" w:hint="default"/>
      </w:rPr>
    </w:lvl>
  </w:abstractNum>
  <w:abstractNum w:abstractNumId="7" w15:restartNumberingAfterBreak="0">
    <w:nsid w:val="2CD82299"/>
    <w:multiLevelType w:val="hybridMultilevel"/>
    <w:tmpl w:val="9C04B608"/>
    <w:lvl w:ilvl="0" w:tplc="6D68B17E">
      <w:start w:val="5"/>
      <w:numFmt w:val="bullet"/>
      <w:lvlText w:val="-"/>
      <w:lvlJc w:val="left"/>
      <w:pPr>
        <w:ind w:left="695" w:hanging="360"/>
      </w:pPr>
      <w:rPr>
        <w:rFonts w:ascii="Calibri" w:eastAsia="Calibri" w:hAnsi="Calibri" w:cs="Calibri" w:hint="default"/>
      </w:rPr>
    </w:lvl>
    <w:lvl w:ilvl="1" w:tplc="08090003" w:tentative="1">
      <w:start w:val="1"/>
      <w:numFmt w:val="bullet"/>
      <w:lvlText w:val="o"/>
      <w:lvlJc w:val="left"/>
      <w:pPr>
        <w:ind w:left="1415" w:hanging="360"/>
      </w:pPr>
      <w:rPr>
        <w:rFonts w:ascii="Courier New" w:hAnsi="Courier New" w:cs="Courier New" w:hint="default"/>
      </w:rPr>
    </w:lvl>
    <w:lvl w:ilvl="2" w:tplc="08090005" w:tentative="1">
      <w:start w:val="1"/>
      <w:numFmt w:val="bullet"/>
      <w:lvlText w:val=""/>
      <w:lvlJc w:val="left"/>
      <w:pPr>
        <w:ind w:left="2135" w:hanging="360"/>
      </w:pPr>
      <w:rPr>
        <w:rFonts w:ascii="Wingdings" w:hAnsi="Wingdings" w:hint="default"/>
      </w:rPr>
    </w:lvl>
    <w:lvl w:ilvl="3" w:tplc="08090001" w:tentative="1">
      <w:start w:val="1"/>
      <w:numFmt w:val="bullet"/>
      <w:lvlText w:val=""/>
      <w:lvlJc w:val="left"/>
      <w:pPr>
        <w:ind w:left="2855" w:hanging="360"/>
      </w:pPr>
      <w:rPr>
        <w:rFonts w:ascii="Symbol" w:hAnsi="Symbol" w:hint="default"/>
      </w:rPr>
    </w:lvl>
    <w:lvl w:ilvl="4" w:tplc="08090003" w:tentative="1">
      <w:start w:val="1"/>
      <w:numFmt w:val="bullet"/>
      <w:lvlText w:val="o"/>
      <w:lvlJc w:val="left"/>
      <w:pPr>
        <w:ind w:left="3575" w:hanging="360"/>
      </w:pPr>
      <w:rPr>
        <w:rFonts w:ascii="Courier New" w:hAnsi="Courier New" w:cs="Courier New" w:hint="default"/>
      </w:rPr>
    </w:lvl>
    <w:lvl w:ilvl="5" w:tplc="08090005" w:tentative="1">
      <w:start w:val="1"/>
      <w:numFmt w:val="bullet"/>
      <w:lvlText w:val=""/>
      <w:lvlJc w:val="left"/>
      <w:pPr>
        <w:ind w:left="4295" w:hanging="360"/>
      </w:pPr>
      <w:rPr>
        <w:rFonts w:ascii="Wingdings" w:hAnsi="Wingdings" w:hint="default"/>
      </w:rPr>
    </w:lvl>
    <w:lvl w:ilvl="6" w:tplc="08090001" w:tentative="1">
      <w:start w:val="1"/>
      <w:numFmt w:val="bullet"/>
      <w:lvlText w:val=""/>
      <w:lvlJc w:val="left"/>
      <w:pPr>
        <w:ind w:left="5015" w:hanging="360"/>
      </w:pPr>
      <w:rPr>
        <w:rFonts w:ascii="Symbol" w:hAnsi="Symbol" w:hint="default"/>
      </w:rPr>
    </w:lvl>
    <w:lvl w:ilvl="7" w:tplc="08090003" w:tentative="1">
      <w:start w:val="1"/>
      <w:numFmt w:val="bullet"/>
      <w:lvlText w:val="o"/>
      <w:lvlJc w:val="left"/>
      <w:pPr>
        <w:ind w:left="5735" w:hanging="360"/>
      </w:pPr>
      <w:rPr>
        <w:rFonts w:ascii="Courier New" w:hAnsi="Courier New" w:cs="Courier New" w:hint="default"/>
      </w:rPr>
    </w:lvl>
    <w:lvl w:ilvl="8" w:tplc="08090005" w:tentative="1">
      <w:start w:val="1"/>
      <w:numFmt w:val="bullet"/>
      <w:lvlText w:val=""/>
      <w:lvlJc w:val="left"/>
      <w:pPr>
        <w:ind w:left="6455" w:hanging="360"/>
      </w:pPr>
      <w:rPr>
        <w:rFonts w:ascii="Wingdings" w:hAnsi="Wingdings" w:hint="default"/>
      </w:rPr>
    </w:lvl>
  </w:abstractNum>
  <w:abstractNum w:abstractNumId="8" w15:restartNumberingAfterBreak="0">
    <w:nsid w:val="2F157919"/>
    <w:multiLevelType w:val="hybridMultilevel"/>
    <w:tmpl w:val="4F68C110"/>
    <w:lvl w:ilvl="0" w:tplc="5FFA700E">
      <w:start w:val="4"/>
      <w:numFmt w:val="bullet"/>
      <w:lvlText w:val="-"/>
      <w:lvlJc w:val="left"/>
      <w:pPr>
        <w:ind w:left="695" w:hanging="360"/>
      </w:pPr>
      <w:rPr>
        <w:rFonts w:ascii="Calibri" w:eastAsia="Calibri" w:hAnsi="Calibri" w:cs="Calibri" w:hint="default"/>
      </w:rPr>
    </w:lvl>
    <w:lvl w:ilvl="1" w:tplc="08090003" w:tentative="1">
      <w:start w:val="1"/>
      <w:numFmt w:val="bullet"/>
      <w:lvlText w:val="o"/>
      <w:lvlJc w:val="left"/>
      <w:pPr>
        <w:ind w:left="1415" w:hanging="360"/>
      </w:pPr>
      <w:rPr>
        <w:rFonts w:ascii="Courier New" w:hAnsi="Courier New" w:cs="Courier New" w:hint="default"/>
      </w:rPr>
    </w:lvl>
    <w:lvl w:ilvl="2" w:tplc="08090005" w:tentative="1">
      <w:start w:val="1"/>
      <w:numFmt w:val="bullet"/>
      <w:lvlText w:val=""/>
      <w:lvlJc w:val="left"/>
      <w:pPr>
        <w:ind w:left="2135" w:hanging="360"/>
      </w:pPr>
      <w:rPr>
        <w:rFonts w:ascii="Wingdings" w:hAnsi="Wingdings" w:hint="default"/>
      </w:rPr>
    </w:lvl>
    <w:lvl w:ilvl="3" w:tplc="08090001" w:tentative="1">
      <w:start w:val="1"/>
      <w:numFmt w:val="bullet"/>
      <w:lvlText w:val=""/>
      <w:lvlJc w:val="left"/>
      <w:pPr>
        <w:ind w:left="2855" w:hanging="360"/>
      </w:pPr>
      <w:rPr>
        <w:rFonts w:ascii="Symbol" w:hAnsi="Symbol" w:hint="default"/>
      </w:rPr>
    </w:lvl>
    <w:lvl w:ilvl="4" w:tplc="08090003" w:tentative="1">
      <w:start w:val="1"/>
      <w:numFmt w:val="bullet"/>
      <w:lvlText w:val="o"/>
      <w:lvlJc w:val="left"/>
      <w:pPr>
        <w:ind w:left="3575" w:hanging="360"/>
      </w:pPr>
      <w:rPr>
        <w:rFonts w:ascii="Courier New" w:hAnsi="Courier New" w:cs="Courier New" w:hint="default"/>
      </w:rPr>
    </w:lvl>
    <w:lvl w:ilvl="5" w:tplc="08090005" w:tentative="1">
      <w:start w:val="1"/>
      <w:numFmt w:val="bullet"/>
      <w:lvlText w:val=""/>
      <w:lvlJc w:val="left"/>
      <w:pPr>
        <w:ind w:left="4295" w:hanging="360"/>
      </w:pPr>
      <w:rPr>
        <w:rFonts w:ascii="Wingdings" w:hAnsi="Wingdings" w:hint="default"/>
      </w:rPr>
    </w:lvl>
    <w:lvl w:ilvl="6" w:tplc="08090001" w:tentative="1">
      <w:start w:val="1"/>
      <w:numFmt w:val="bullet"/>
      <w:lvlText w:val=""/>
      <w:lvlJc w:val="left"/>
      <w:pPr>
        <w:ind w:left="5015" w:hanging="360"/>
      </w:pPr>
      <w:rPr>
        <w:rFonts w:ascii="Symbol" w:hAnsi="Symbol" w:hint="default"/>
      </w:rPr>
    </w:lvl>
    <w:lvl w:ilvl="7" w:tplc="08090003" w:tentative="1">
      <w:start w:val="1"/>
      <w:numFmt w:val="bullet"/>
      <w:lvlText w:val="o"/>
      <w:lvlJc w:val="left"/>
      <w:pPr>
        <w:ind w:left="5735" w:hanging="360"/>
      </w:pPr>
      <w:rPr>
        <w:rFonts w:ascii="Courier New" w:hAnsi="Courier New" w:cs="Courier New" w:hint="default"/>
      </w:rPr>
    </w:lvl>
    <w:lvl w:ilvl="8" w:tplc="08090005" w:tentative="1">
      <w:start w:val="1"/>
      <w:numFmt w:val="bullet"/>
      <w:lvlText w:val=""/>
      <w:lvlJc w:val="left"/>
      <w:pPr>
        <w:ind w:left="6455" w:hanging="360"/>
      </w:pPr>
      <w:rPr>
        <w:rFonts w:ascii="Wingdings" w:hAnsi="Wingdings" w:hint="default"/>
      </w:rPr>
    </w:lvl>
  </w:abstractNum>
  <w:abstractNum w:abstractNumId="9" w15:restartNumberingAfterBreak="0">
    <w:nsid w:val="2FBE53F3"/>
    <w:multiLevelType w:val="hybridMultilevel"/>
    <w:tmpl w:val="5B2C0910"/>
    <w:lvl w:ilvl="0" w:tplc="F52AE9D6">
      <w:start w:val="4"/>
      <w:numFmt w:val="bullet"/>
      <w:lvlText w:val="-"/>
      <w:lvlJc w:val="left"/>
      <w:pPr>
        <w:ind w:left="695" w:hanging="360"/>
      </w:pPr>
      <w:rPr>
        <w:rFonts w:ascii="Calibri" w:eastAsia="Calibri" w:hAnsi="Calibri" w:cs="Calibri" w:hint="default"/>
      </w:rPr>
    </w:lvl>
    <w:lvl w:ilvl="1" w:tplc="08090003" w:tentative="1">
      <w:start w:val="1"/>
      <w:numFmt w:val="bullet"/>
      <w:lvlText w:val="o"/>
      <w:lvlJc w:val="left"/>
      <w:pPr>
        <w:ind w:left="1415" w:hanging="360"/>
      </w:pPr>
      <w:rPr>
        <w:rFonts w:ascii="Courier New" w:hAnsi="Courier New" w:cs="Courier New" w:hint="default"/>
      </w:rPr>
    </w:lvl>
    <w:lvl w:ilvl="2" w:tplc="08090005" w:tentative="1">
      <w:start w:val="1"/>
      <w:numFmt w:val="bullet"/>
      <w:lvlText w:val=""/>
      <w:lvlJc w:val="left"/>
      <w:pPr>
        <w:ind w:left="2135" w:hanging="360"/>
      </w:pPr>
      <w:rPr>
        <w:rFonts w:ascii="Wingdings" w:hAnsi="Wingdings" w:hint="default"/>
      </w:rPr>
    </w:lvl>
    <w:lvl w:ilvl="3" w:tplc="08090001" w:tentative="1">
      <w:start w:val="1"/>
      <w:numFmt w:val="bullet"/>
      <w:lvlText w:val=""/>
      <w:lvlJc w:val="left"/>
      <w:pPr>
        <w:ind w:left="2855" w:hanging="360"/>
      </w:pPr>
      <w:rPr>
        <w:rFonts w:ascii="Symbol" w:hAnsi="Symbol" w:hint="default"/>
      </w:rPr>
    </w:lvl>
    <w:lvl w:ilvl="4" w:tplc="08090003" w:tentative="1">
      <w:start w:val="1"/>
      <w:numFmt w:val="bullet"/>
      <w:lvlText w:val="o"/>
      <w:lvlJc w:val="left"/>
      <w:pPr>
        <w:ind w:left="3575" w:hanging="360"/>
      </w:pPr>
      <w:rPr>
        <w:rFonts w:ascii="Courier New" w:hAnsi="Courier New" w:cs="Courier New" w:hint="default"/>
      </w:rPr>
    </w:lvl>
    <w:lvl w:ilvl="5" w:tplc="08090005" w:tentative="1">
      <w:start w:val="1"/>
      <w:numFmt w:val="bullet"/>
      <w:lvlText w:val=""/>
      <w:lvlJc w:val="left"/>
      <w:pPr>
        <w:ind w:left="4295" w:hanging="360"/>
      </w:pPr>
      <w:rPr>
        <w:rFonts w:ascii="Wingdings" w:hAnsi="Wingdings" w:hint="default"/>
      </w:rPr>
    </w:lvl>
    <w:lvl w:ilvl="6" w:tplc="08090001" w:tentative="1">
      <w:start w:val="1"/>
      <w:numFmt w:val="bullet"/>
      <w:lvlText w:val=""/>
      <w:lvlJc w:val="left"/>
      <w:pPr>
        <w:ind w:left="5015" w:hanging="360"/>
      </w:pPr>
      <w:rPr>
        <w:rFonts w:ascii="Symbol" w:hAnsi="Symbol" w:hint="default"/>
      </w:rPr>
    </w:lvl>
    <w:lvl w:ilvl="7" w:tplc="08090003" w:tentative="1">
      <w:start w:val="1"/>
      <w:numFmt w:val="bullet"/>
      <w:lvlText w:val="o"/>
      <w:lvlJc w:val="left"/>
      <w:pPr>
        <w:ind w:left="5735" w:hanging="360"/>
      </w:pPr>
      <w:rPr>
        <w:rFonts w:ascii="Courier New" w:hAnsi="Courier New" w:cs="Courier New" w:hint="default"/>
      </w:rPr>
    </w:lvl>
    <w:lvl w:ilvl="8" w:tplc="08090005" w:tentative="1">
      <w:start w:val="1"/>
      <w:numFmt w:val="bullet"/>
      <w:lvlText w:val=""/>
      <w:lvlJc w:val="left"/>
      <w:pPr>
        <w:ind w:left="6455" w:hanging="360"/>
      </w:pPr>
      <w:rPr>
        <w:rFonts w:ascii="Wingdings" w:hAnsi="Wingdings" w:hint="default"/>
      </w:rPr>
    </w:lvl>
  </w:abstractNum>
  <w:abstractNum w:abstractNumId="10" w15:restartNumberingAfterBreak="0">
    <w:nsid w:val="5FC54ABF"/>
    <w:multiLevelType w:val="hybridMultilevel"/>
    <w:tmpl w:val="B14898C0"/>
    <w:lvl w:ilvl="0" w:tplc="04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224C2D"/>
    <w:multiLevelType w:val="multilevel"/>
    <w:tmpl w:val="0BAAD0FA"/>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E836525"/>
    <w:multiLevelType w:val="hybridMultilevel"/>
    <w:tmpl w:val="3A86808A"/>
    <w:lvl w:ilvl="0" w:tplc="73480F8E">
      <w:start w:val="4"/>
      <w:numFmt w:val="bullet"/>
      <w:lvlText w:val="-"/>
      <w:lvlJc w:val="left"/>
      <w:pPr>
        <w:ind w:left="695" w:hanging="360"/>
      </w:pPr>
      <w:rPr>
        <w:rFonts w:ascii="Calibri" w:eastAsia="Calibri" w:hAnsi="Calibri" w:cs="Calibri" w:hint="default"/>
      </w:rPr>
    </w:lvl>
    <w:lvl w:ilvl="1" w:tplc="08090003" w:tentative="1">
      <w:start w:val="1"/>
      <w:numFmt w:val="bullet"/>
      <w:lvlText w:val="o"/>
      <w:lvlJc w:val="left"/>
      <w:pPr>
        <w:ind w:left="1415" w:hanging="360"/>
      </w:pPr>
      <w:rPr>
        <w:rFonts w:ascii="Courier New" w:hAnsi="Courier New" w:cs="Courier New" w:hint="default"/>
      </w:rPr>
    </w:lvl>
    <w:lvl w:ilvl="2" w:tplc="08090005" w:tentative="1">
      <w:start w:val="1"/>
      <w:numFmt w:val="bullet"/>
      <w:lvlText w:val=""/>
      <w:lvlJc w:val="left"/>
      <w:pPr>
        <w:ind w:left="2135" w:hanging="360"/>
      </w:pPr>
      <w:rPr>
        <w:rFonts w:ascii="Wingdings" w:hAnsi="Wingdings" w:hint="default"/>
      </w:rPr>
    </w:lvl>
    <w:lvl w:ilvl="3" w:tplc="08090001" w:tentative="1">
      <w:start w:val="1"/>
      <w:numFmt w:val="bullet"/>
      <w:lvlText w:val=""/>
      <w:lvlJc w:val="left"/>
      <w:pPr>
        <w:ind w:left="2855" w:hanging="360"/>
      </w:pPr>
      <w:rPr>
        <w:rFonts w:ascii="Symbol" w:hAnsi="Symbol" w:hint="default"/>
      </w:rPr>
    </w:lvl>
    <w:lvl w:ilvl="4" w:tplc="08090003" w:tentative="1">
      <w:start w:val="1"/>
      <w:numFmt w:val="bullet"/>
      <w:lvlText w:val="o"/>
      <w:lvlJc w:val="left"/>
      <w:pPr>
        <w:ind w:left="3575" w:hanging="360"/>
      </w:pPr>
      <w:rPr>
        <w:rFonts w:ascii="Courier New" w:hAnsi="Courier New" w:cs="Courier New" w:hint="default"/>
      </w:rPr>
    </w:lvl>
    <w:lvl w:ilvl="5" w:tplc="08090005" w:tentative="1">
      <w:start w:val="1"/>
      <w:numFmt w:val="bullet"/>
      <w:lvlText w:val=""/>
      <w:lvlJc w:val="left"/>
      <w:pPr>
        <w:ind w:left="4295" w:hanging="360"/>
      </w:pPr>
      <w:rPr>
        <w:rFonts w:ascii="Wingdings" w:hAnsi="Wingdings" w:hint="default"/>
      </w:rPr>
    </w:lvl>
    <w:lvl w:ilvl="6" w:tplc="08090001" w:tentative="1">
      <w:start w:val="1"/>
      <w:numFmt w:val="bullet"/>
      <w:lvlText w:val=""/>
      <w:lvlJc w:val="left"/>
      <w:pPr>
        <w:ind w:left="5015" w:hanging="360"/>
      </w:pPr>
      <w:rPr>
        <w:rFonts w:ascii="Symbol" w:hAnsi="Symbol" w:hint="default"/>
      </w:rPr>
    </w:lvl>
    <w:lvl w:ilvl="7" w:tplc="08090003" w:tentative="1">
      <w:start w:val="1"/>
      <w:numFmt w:val="bullet"/>
      <w:lvlText w:val="o"/>
      <w:lvlJc w:val="left"/>
      <w:pPr>
        <w:ind w:left="5735" w:hanging="360"/>
      </w:pPr>
      <w:rPr>
        <w:rFonts w:ascii="Courier New" w:hAnsi="Courier New" w:cs="Courier New" w:hint="default"/>
      </w:rPr>
    </w:lvl>
    <w:lvl w:ilvl="8" w:tplc="08090005" w:tentative="1">
      <w:start w:val="1"/>
      <w:numFmt w:val="bullet"/>
      <w:lvlText w:val=""/>
      <w:lvlJc w:val="left"/>
      <w:pPr>
        <w:ind w:left="6455" w:hanging="360"/>
      </w:pPr>
      <w:rPr>
        <w:rFonts w:ascii="Wingdings" w:hAnsi="Wingdings" w:hint="default"/>
      </w:rPr>
    </w:lvl>
  </w:abstractNum>
  <w:abstractNum w:abstractNumId="13" w15:restartNumberingAfterBreak="0">
    <w:nsid w:val="757732E8"/>
    <w:multiLevelType w:val="multilevel"/>
    <w:tmpl w:val="76F8821E"/>
    <w:lvl w:ilvl="0">
      <w:start w:val="1"/>
      <w:numFmt w:val="decimal"/>
      <w:pStyle w:val="Titre1"/>
      <w:lvlText w:val="%1"/>
      <w:lvlJc w:val="left"/>
      <w:pPr>
        <w:ind w:left="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1">
      <w:start w:val="1"/>
      <w:numFmt w:val="decimal"/>
      <w:pStyle w:val="Titre2"/>
      <w:lvlText w:val="%1.%2"/>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start w:val="1"/>
      <w:numFmt w:val="decimal"/>
      <w:pStyle w:val="Titre3"/>
      <w:lvlText w:val="%1.%2.%3"/>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78E4E27"/>
    <w:multiLevelType w:val="hybridMultilevel"/>
    <w:tmpl w:val="D0E806BE"/>
    <w:lvl w:ilvl="0" w:tplc="B5AC2116">
      <w:numFmt w:val="bullet"/>
      <w:lvlText w:val="-"/>
      <w:lvlJc w:val="left"/>
      <w:pPr>
        <w:ind w:left="356" w:hanging="360"/>
      </w:pPr>
      <w:rPr>
        <w:rFonts w:ascii="Calibri" w:eastAsia="Calibri" w:hAnsi="Calibri" w:cs="Calibri" w:hint="default"/>
      </w:rPr>
    </w:lvl>
    <w:lvl w:ilvl="1" w:tplc="08090003" w:tentative="1">
      <w:start w:val="1"/>
      <w:numFmt w:val="bullet"/>
      <w:lvlText w:val="o"/>
      <w:lvlJc w:val="left"/>
      <w:pPr>
        <w:ind w:left="1076" w:hanging="360"/>
      </w:pPr>
      <w:rPr>
        <w:rFonts w:ascii="Courier New" w:hAnsi="Courier New" w:cs="Courier New" w:hint="default"/>
      </w:rPr>
    </w:lvl>
    <w:lvl w:ilvl="2" w:tplc="08090005" w:tentative="1">
      <w:start w:val="1"/>
      <w:numFmt w:val="bullet"/>
      <w:lvlText w:val=""/>
      <w:lvlJc w:val="left"/>
      <w:pPr>
        <w:ind w:left="1796" w:hanging="360"/>
      </w:pPr>
      <w:rPr>
        <w:rFonts w:ascii="Wingdings" w:hAnsi="Wingdings" w:hint="default"/>
      </w:rPr>
    </w:lvl>
    <w:lvl w:ilvl="3" w:tplc="08090001" w:tentative="1">
      <w:start w:val="1"/>
      <w:numFmt w:val="bullet"/>
      <w:lvlText w:val=""/>
      <w:lvlJc w:val="left"/>
      <w:pPr>
        <w:ind w:left="2516" w:hanging="360"/>
      </w:pPr>
      <w:rPr>
        <w:rFonts w:ascii="Symbol" w:hAnsi="Symbol" w:hint="default"/>
      </w:rPr>
    </w:lvl>
    <w:lvl w:ilvl="4" w:tplc="08090003" w:tentative="1">
      <w:start w:val="1"/>
      <w:numFmt w:val="bullet"/>
      <w:lvlText w:val="o"/>
      <w:lvlJc w:val="left"/>
      <w:pPr>
        <w:ind w:left="3236" w:hanging="360"/>
      </w:pPr>
      <w:rPr>
        <w:rFonts w:ascii="Courier New" w:hAnsi="Courier New" w:cs="Courier New" w:hint="default"/>
      </w:rPr>
    </w:lvl>
    <w:lvl w:ilvl="5" w:tplc="08090005" w:tentative="1">
      <w:start w:val="1"/>
      <w:numFmt w:val="bullet"/>
      <w:lvlText w:val=""/>
      <w:lvlJc w:val="left"/>
      <w:pPr>
        <w:ind w:left="3956" w:hanging="360"/>
      </w:pPr>
      <w:rPr>
        <w:rFonts w:ascii="Wingdings" w:hAnsi="Wingdings" w:hint="default"/>
      </w:rPr>
    </w:lvl>
    <w:lvl w:ilvl="6" w:tplc="08090001" w:tentative="1">
      <w:start w:val="1"/>
      <w:numFmt w:val="bullet"/>
      <w:lvlText w:val=""/>
      <w:lvlJc w:val="left"/>
      <w:pPr>
        <w:ind w:left="4676" w:hanging="360"/>
      </w:pPr>
      <w:rPr>
        <w:rFonts w:ascii="Symbol" w:hAnsi="Symbol" w:hint="default"/>
      </w:rPr>
    </w:lvl>
    <w:lvl w:ilvl="7" w:tplc="08090003" w:tentative="1">
      <w:start w:val="1"/>
      <w:numFmt w:val="bullet"/>
      <w:lvlText w:val="o"/>
      <w:lvlJc w:val="left"/>
      <w:pPr>
        <w:ind w:left="5396" w:hanging="360"/>
      </w:pPr>
      <w:rPr>
        <w:rFonts w:ascii="Courier New" w:hAnsi="Courier New" w:cs="Courier New" w:hint="default"/>
      </w:rPr>
    </w:lvl>
    <w:lvl w:ilvl="8" w:tplc="08090005" w:tentative="1">
      <w:start w:val="1"/>
      <w:numFmt w:val="bullet"/>
      <w:lvlText w:val=""/>
      <w:lvlJc w:val="left"/>
      <w:pPr>
        <w:ind w:left="6116" w:hanging="360"/>
      </w:pPr>
      <w:rPr>
        <w:rFonts w:ascii="Wingdings" w:hAnsi="Wingdings" w:hint="default"/>
      </w:rPr>
    </w:lvl>
  </w:abstractNum>
  <w:abstractNum w:abstractNumId="15" w15:restartNumberingAfterBreak="0">
    <w:nsid w:val="786F19A2"/>
    <w:multiLevelType w:val="hybridMultilevel"/>
    <w:tmpl w:val="EF6CA3A8"/>
    <w:lvl w:ilvl="0" w:tplc="352C41F0">
      <w:start w:val="1"/>
      <w:numFmt w:val="bullet"/>
      <w:lvlText w:val=""/>
      <w:lvlJc w:val="left"/>
      <w:pPr>
        <w:ind w:left="361" w:hanging="360"/>
      </w:pPr>
      <w:rPr>
        <w:rFonts w:ascii="Wingdings" w:eastAsia="Calibri" w:hAnsi="Wingdings" w:cs="Calibri" w:hint="default"/>
      </w:rPr>
    </w:lvl>
    <w:lvl w:ilvl="1" w:tplc="08090003" w:tentative="1">
      <w:start w:val="1"/>
      <w:numFmt w:val="bullet"/>
      <w:lvlText w:val="o"/>
      <w:lvlJc w:val="left"/>
      <w:pPr>
        <w:ind w:left="1081" w:hanging="360"/>
      </w:pPr>
      <w:rPr>
        <w:rFonts w:ascii="Courier New" w:hAnsi="Courier New" w:cs="Courier New" w:hint="default"/>
      </w:rPr>
    </w:lvl>
    <w:lvl w:ilvl="2" w:tplc="08090005" w:tentative="1">
      <w:start w:val="1"/>
      <w:numFmt w:val="bullet"/>
      <w:lvlText w:val=""/>
      <w:lvlJc w:val="left"/>
      <w:pPr>
        <w:ind w:left="1801" w:hanging="360"/>
      </w:pPr>
      <w:rPr>
        <w:rFonts w:ascii="Wingdings" w:hAnsi="Wingdings" w:hint="default"/>
      </w:rPr>
    </w:lvl>
    <w:lvl w:ilvl="3" w:tplc="08090001" w:tentative="1">
      <w:start w:val="1"/>
      <w:numFmt w:val="bullet"/>
      <w:lvlText w:val=""/>
      <w:lvlJc w:val="left"/>
      <w:pPr>
        <w:ind w:left="2521" w:hanging="360"/>
      </w:pPr>
      <w:rPr>
        <w:rFonts w:ascii="Symbol" w:hAnsi="Symbol" w:hint="default"/>
      </w:rPr>
    </w:lvl>
    <w:lvl w:ilvl="4" w:tplc="08090003" w:tentative="1">
      <w:start w:val="1"/>
      <w:numFmt w:val="bullet"/>
      <w:lvlText w:val="o"/>
      <w:lvlJc w:val="left"/>
      <w:pPr>
        <w:ind w:left="3241" w:hanging="360"/>
      </w:pPr>
      <w:rPr>
        <w:rFonts w:ascii="Courier New" w:hAnsi="Courier New" w:cs="Courier New" w:hint="default"/>
      </w:rPr>
    </w:lvl>
    <w:lvl w:ilvl="5" w:tplc="08090005" w:tentative="1">
      <w:start w:val="1"/>
      <w:numFmt w:val="bullet"/>
      <w:lvlText w:val=""/>
      <w:lvlJc w:val="left"/>
      <w:pPr>
        <w:ind w:left="3961" w:hanging="360"/>
      </w:pPr>
      <w:rPr>
        <w:rFonts w:ascii="Wingdings" w:hAnsi="Wingdings" w:hint="default"/>
      </w:rPr>
    </w:lvl>
    <w:lvl w:ilvl="6" w:tplc="08090001" w:tentative="1">
      <w:start w:val="1"/>
      <w:numFmt w:val="bullet"/>
      <w:lvlText w:val=""/>
      <w:lvlJc w:val="left"/>
      <w:pPr>
        <w:ind w:left="4681" w:hanging="360"/>
      </w:pPr>
      <w:rPr>
        <w:rFonts w:ascii="Symbol" w:hAnsi="Symbol" w:hint="default"/>
      </w:rPr>
    </w:lvl>
    <w:lvl w:ilvl="7" w:tplc="08090003" w:tentative="1">
      <w:start w:val="1"/>
      <w:numFmt w:val="bullet"/>
      <w:lvlText w:val="o"/>
      <w:lvlJc w:val="left"/>
      <w:pPr>
        <w:ind w:left="5401" w:hanging="360"/>
      </w:pPr>
      <w:rPr>
        <w:rFonts w:ascii="Courier New" w:hAnsi="Courier New" w:cs="Courier New" w:hint="default"/>
      </w:rPr>
    </w:lvl>
    <w:lvl w:ilvl="8" w:tplc="08090005" w:tentative="1">
      <w:start w:val="1"/>
      <w:numFmt w:val="bullet"/>
      <w:lvlText w:val=""/>
      <w:lvlJc w:val="left"/>
      <w:pPr>
        <w:ind w:left="6121" w:hanging="360"/>
      </w:pPr>
      <w:rPr>
        <w:rFonts w:ascii="Wingdings" w:hAnsi="Wingdings" w:hint="default"/>
      </w:rPr>
    </w:lvl>
  </w:abstractNum>
  <w:abstractNum w:abstractNumId="16" w15:restartNumberingAfterBreak="0">
    <w:nsid w:val="7F43069E"/>
    <w:multiLevelType w:val="multilevel"/>
    <w:tmpl w:val="0BAAD0FA"/>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3"/>
  </w:num>
  <w:num w:numId="2">
    <w:abstractNumId w:val="16"/>
  </w:num>
  <w:num w:numId="3">
    <w:abstractNumId w:val="2"/>
  </w:num>
  <w:num w:numId="4">
    <w:abstractNumId w:val="3"/>
  </w:num>
  <w:num w:numId="5">
    <w:abstractNumId w:val="9"/>
  </w:num>
  <w:num w:numId="6">
    <w:abstractNumId w:val="10"/>
  </w:num>
  <w:num w:numId="7">
    <w:abstractNumId w:val="5"/>
  </w:num>
  <w:num w:numId="8">
    <w:abstractNumId w:val="8"/>
  </w:num>
  <w:num w:numId="9">
    <w:abstractNumId w:val="6"/>
  </w:num>
  <w:num w:numId="10">
    <w:abstractNumId w:val="11"/>
  </w:num>
  <w:num w:numId="11">
    <w:abstractNumId w:val="0"/>
  </w:num>
  <w:num w:numId="12">
    <w:abstractNumId w:val="14"/>
  </w:num>
  <w:num w:numId="13">
    <w:abstractNumId w:val="15"/>
  </w:num>
  <w:num w:numId="14">
    <w:abstractNumId w:val="4"/>
  </w:num>
  <w:num w:numId="15">
    <w:abstractNumId w:val="12"/>
  </w:num>
  <w:num w:numId="16">
    <w:abstractNumId w:val="7"/>
  </w:num>
  <w:num w:numId="1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CDERMOTT Christopher">
    <w15:presenceInfo w15:providerId="AD" w15:userId="S-1-5-21-861567501-1417001333-682003330-279549"/>
  </w15:person>
  <w15:person w15:author="Mylène RECEVEUR">
    <w15:presenceInfo w15:providerId="Windows Live" w15:userId="fe745b9169b937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0F2"/>
    <w:rsid w:val="0005504F"/>
    <w:rsid w:val="00061B10"/>
    <w:rsid w:val="00123333"/>
    <w:rsid w:val="0013306D"/>
    <w:rsid w:val="001519FD"/>
    <w:rsid w:val="001D3EDF"/>
    <w:rsid w:val="002B6B79"/>
    <w:rsid w:val="002C78ED"/>
    <w:rsid w:val="002E4CFF"/>
    <w:rsid w:val="002F77C9"/>
    <w:rsid w:val="003033F3"/>
    <w:rsid w:val="003B7408"/>
    <w:rsid w:val="00485607"/>
    <w:rsid w:val="004A434C"/>
    <w:rsid w:val="004D6D7F"/>
    <w:rsid w:val="005469ED"/>
    <w:rsid w:val="00603489"/>
    <w:rsid w:val="00615FE5"/>
    <w:rsid w:val="0068273B"/>
    <w:rsid w:val="00723CBD"/>
    <w:rsid w:val="00727E5C"/>
    <w:rsid w:val="00753564"/>
    <w:rsid w:val="007F4668"/>
    <w:rsid w:val="008330F6"/>
    <w:rsid w:val="008A1B77"/>
    <w:rsid w:val="009C6114"/>
    <w:rsid w:val="009D6008"/>
    <w:rsid w:val="009E1479"/>
    <w:rsid w:val="00A57020"/>
    <w:rsid w:val="00A907B2"/>
    <w:rsid w:val="00AE3F3A"/>
    <w:rsid w:val="00B20F59"/>
    <w:rsid w:val="00C3718F"/>
    <w:rsid w:val="00C530B0"/>
    <w:rsid w:val="00C8664D"/>
    <w:rsid w:val="00C876AD"/>
    <w:rsid w:val="00D518EA"/>
    <w:rsid w:val="00D560F2"/>
    <w:rsid w:val="00D93CA5"/>
    <w:rsid w:val="00E618B1"/>
    <w:rsid w:val="00E81F2D"/>
    <w:rsid w:val="00F73BE0"/>
    <w:rsid w:val="00FB5A8C"/>
    <w:rsid w:val="00FC46F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7DE6B"/>
  <w15:chartTrackingRefBased/>
  <w15:docId w15:val="{6372E8E8-431F-4A23-AA06-30C39FD45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0F2"/>
    <w:pPr>
      <w:spacing w:after="3" w:line="316" w:lineRule="auto"/>
      <w:ind w:firstLine="1"/>
      <w:jc w:val="both"/>
    </w:pPr>
    <w:rPr>
      <w:rFonts w:ascii="Calibri" w:eastAsia="Calibri" w:hAnsi="Calibri" w:cs="Calibri"/>
      <w:color w:val="000000"/>
      <w:lang w:eastAsia="en-GB"/>
    </w:rPr>
  </w:style>
  <w:style w:type="paragraph" w:styleId="Titre1">
    <w:name w:val="heading 1"/>
    <w:next w:val="Normal"/>
    <w:link w:val="Titre1Car"/>
    <w:uiPriority w:val="9"/>
    <w:qFormat/>
    <w:rsid w:val="003B7408"/>
    <w:pPr>
      <w:keepNext/>
      <w:keepLines/>
      <w:numPr>
        <w:numId w:val="1"/>
      </w:numPr>
      <w:spacing w:after="43"/>
      <w:outlineLvl w:val="0"/>
    </w:pPr>
    <w:rPr>
      <w:rFonts w:ascii="Calibri" w:eastAsia="Calibri" w:hAnsi="Calibri" w:cs="Calibri"/>
      <w:color w:val="000000"/>
      <w:sz w:val="41"/>
      <w:lang w:eastAsia="en-GB"/>
    </w:rPr>
  </w:style>
  <w:style w:type="paragraph" w:styleId="Titre2">
    <w:name w:val="heading 2"/>
    <w:next w:val="Normal"/>
    <w:link w:val="Titre2Car"/>
    <w:uiPriority w:val="9"/>
    <w:unhideWhenUsed/>
    <w:qFormat/>
    <w:rsid w:val="003B7408"/>
    <w:pPr>
      <w:keepNext/>
      <w:keepLines/>
      <w:numPr>
        <w:ilvl w:val="1"/>
        <w:numId w:val="1"/>
      </w:numPr>
      <w:spacing w:after="186"/>
      <w:outlineLvl w:val="1"/>
    </w:pPr>
    <w:rPr>
      <w:rFonts w:ascii="Calibri" w:eastAsia="Calibri" w:hAnsi="Calibri" w:cs="Calibri"/>
      <w:color w:val="000000"/>
      <w:sz w:val="29"/>
      <w:lang w:eastAsia="en-GB"/>
    </w:rPr>
  </w:style>
  <w:style w:type="paragraph" w:styleId="Titre3">
    <w:name w:val="heading 3"/>
    <w:next w:val="Normal"/>
    <w:link w:val="Titre3Car"/>
    <w:uiPriority w:val="9"/>
    <w:unhideWhenUsed/>
    <w:qFormat/>
    <w:rsid w:val="003B7408"/>
    <w:pPr>
      <w:keepNext/>
      <w:keepLines/>
      <w:numPr>
        <w:ilvl w:val="2"/>
        <w:numId w:val="1"/>
      </w:numPr>
      <w:spacing w:after="173"/>
      <w:outlineLvl w:val="2"/>
    </w:pPr>
    <w:rPr>
      <w:rFonts w:ascii="Calibri" w:eastAsia="Calibri" w:hAnsi="Calibri" w:cs="Calibri"/>
      <w:color w:val="000000"/>
      <w:sz w:val="24"/>
      <w:lang w:eastAsia="en-GB"/>
    </w:rPr>
  </w:style>
  <w:style w:type="paragraph" w:styleId="Titre4">
    <w:name w:val="heading 4"/>
    <w:next w:val="Normal"/>
    <w:link w:val="Titre4Car"/>
    <w:uiPriority w:val="9"/>
    <w:unhideWhenUsed/>
    <w:qFormat/>
    <w:rsid w:val="00C8664D"/>
    <w:pPr>
      <w:keepNext/>
      <w:keepLines/>
      <w:spacing w:after="173"/>
      <w:ind w:left="21" w:hanging="10"/>
      <w:outlineLvl w:val="3"/>
    </w:pPr>
    <w:rPr>
      <w:rFonts w:ascii="Calibri" w:eastAsia="Calibri" w:hAnsi="Calibri" w:cs="Calibri"/>
      <w:color w:val="000000"/>
      <w:sz w:val="24"/>
      <w:lang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7F4668"/>
    <w:rPr>
      <w:sz w:val="16"/>
      <w:szCs w:val="16"/>
    </w:rPr>
  </w:style>
  <w:style w:type="paragraph" w:styleId="Commentaire">
    <w:name w:val="annotation text"/>
    <w:basedOn w:val="Normal"/>
    <w:link w:val="CommentaireCar"/>
    <w:uiPriority w:val="99"/>
    <w:unhideWhenUsed/>
    <w:rsid w:val="007F4668"/>
    <w:pPr>
      <w:spacing w:line="240" w:lineRule="auto"/>
    </w:pPr>
    <w:rPr>
      <w:sz w:val="20"/>
      <w:szCs w:val="20"/>
    </w:rPr>
  </w:style>
  <w:style w:type="character" w:customStyle="1" w:styleId="CommentaireCar">
    <w:name w:val="Commentaire Car"/>
    <w:basedOn w:val="Policepardfaut"/>
    <w:link w:val="Commentaire"/>
    <w:uiPriority w:val="99"/>
    <w:rsid w:val="007F4668"/>
    <w:rPr>
      <w:rFonts w:ascii="Calibri" w:eastAsia="Calibri" w:hAnsi="Calibri" w:cs="Calibri"/>
      <w:color w:val="000000"/>
      <w:sz w:val="20"/>
      <w:szCs w:val="20"/>
      <w:lang w:eastAsia="en-GB"/>
    </w:rPr>
  </w:style>
  <w:style w:type="character" w:customStyle="1" w:styleId="Titre1Car">
    <w:name w:val="Titre 1 Car"/>
    <w:basedOn w:val="Policepardfaut"/>
    <w:link w:val="Titre1"/>
    <w:rsid w:val="003B7408"/>
    <w:rPr>
      <w:rFonts w:ascii="Calibri" w:eastAsia="Calibri" w:hAnsi="Calibri" w:cs="Calibri"/>
      <w:color w:val="000000"/>
      <w:sz w:val="41"/>
      <w:lang w:eastAsia="en-GB"/>
    </w:rPr>
  </w:style>
  <w:style w:type="character" w:customStyle="1" w:styleId="Titre2Car">
    <w:name w:val="Titre 2 Car"/>
    <w:basedOn w:val="Policepardfaut"/>
    <w:link w:val="Titre2"/>
    <w:rsid w:val="003B7408"/>
    <w:rPr>
      <w:rFonts w:ascii="Calibri" w:eastAsia="Calibri" w:hAnsi="Calibri" w:cs="Calibri"/>
      <w:color w:val="000000"/>
      <w:sz w:val="29"/>
      <w:lang w:eastAsia="en-GB"/>
    </w:rPr>
  </w:style>
  <w:style w:type="character" w:customStyle="1" w:styleId="Titre3Car">
    <w:name w:val="Titre 3 Car"/>
    <w:basedOn w:val="Policepardfaut"/>
    <w:link w:val="Titre3"/>
    <w:rsid w:val="003B7408"/>
    <w:rPr>
      <w:rFonts w:ascii="Calibri" w:eastAsia="Calibri" w:hAnsi="Calibri" w:cs="Calibri"/>
      <w:color w:val="000000"/>
      <w:sz w:val="24"/>
      <w:lang w:eastAsia="en-GB"/>
    </w:rPr>
  </w:style>
  <w:style w:type="paragraph" w:styleId="Paragraphedeliste">
    <w:name w:val="List Paragraph"/>
    <w:basedOn w:val="Normal"/>
    <w:uiPriority w:val="34"/>
    <w:qFormat/>
    <w:rsid w:val="009D6008"/>
    <w:pPr>
      <w:ind w:left="720"/>
      <w:contextualSpacing/>
    </w:pPr>
  </w:style>
  <w:style w:type="character" w:customStyle="1" w:styleId="Titre4Car">
    <w:name w:val="Titre 4 Car"/>
    <w:basedOn w:val="Policepardfaut"/>
    <w:link w:val="Titre4"/>
    <w:rsid w:val="00C8664D"/>
    <w:rPr>
      <w:rFonts w:ascii="Calibri" w:eastAsia="Calibri" w:hAnsi="Calibri" w:cs="Calibri"/>
      <w:color w:val="000000"/>
      <w:sz w:val="24"/>
      <w:lang w:eastAsia="en-GB"/>
    </w:rPr>
  </w:style>
  <w:style w:type="paragraph" w:styleId="Objetducommentaire">
    <w:name w:val="annotation subject"/>
    <w:basedOn w:val="Commentaire"/>
    <w:next w:val="Commentaire"/>
    <w:link w:val="ObjetducommentaireCar"/>
    <w:uiPriority w:val="99"/>
    <w:semiHidden/>
    <w:unhideWhenUsed/>
    <w:rsid w:val="00C8664D"/>
    <w:rPr>
      <w:b/>
      <w:bCs/>
    </w:rPr>
  </w:style>
  <w:style w:type="character" w:customStyle="1" w:styleId="ObjetducommentaireCar">
    <w:name w:val="Objet du commentaire Car"/>
    <w:basedOn w:val="CommentaireCar"/>
    <w:link w:val="Objetducommentaire"/>
    <w:uiPriority w:val="99"/>
    <w:semiHidden/>
    <w:rsid w:val="00C8664D"/>
    <w:rPr>
      <w:rFonts w:ascii="Calibri" w:eastAsia="Calibri" w:hAnsi="Calibri" w:cs="Calibri"/>
      <w:b/>
      <w:bCs/>
      <w:color w:val="000000"/>
      <w:sz w:val="20"/>
      <w:szCs w:val="20"/>
      <w:lang w:eastAsia="en-GB"/>
    </w:rPr>
  </w:style>
  <w:style w:type="paragraph" w:styleId="Textedebulles">
    <w:name w:val="Balloon Text"/>
    <w:basedOn w:val="Normal"/>
    <w:link w:val="TextedebullesCar"/>
    <w:uiPriority w:val="99"/>
    <w:semiHidden/>
    <w:unhideWhenUsed/>
    <w:rsid w:val="00C8664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8664D"/>
    <w:rPr>
      <w:rFonts w:ascii="Segoe UI" w:eastAsia="Calibri" w:hAnsi="Segoe UI" w:cs="Segoe UI"/>
      <w:color w:val="000000"/>
      <w:sz w:val="18"/>
      <w:szCs w:val="18"/>
      <w:lang w:eastAsia="en-GB"/>
    </w:rPr>
  </w:style>
  <w:style w:type="character" w:styleId="Textedelespacerserv">
    <w:name w:val="Placeholder Text"/>
    <w:basedOn w:val="Policepardfaut"/>
    <w:uiPriority w:val="99"/>
    <w:semiHidden/>
    <w:rsid w:val="00C8664D"/>
    <w:rPr>
      <w:color w:val="808080"/>
    </w:rPr>
  </w:style>
  <w:style w:type="paragraph" w:styleId="Sansinterligne">
    <w:name w:val="No Spacing"/>
    <w:uiPriority w:val="1"/>
    <w:qFormat/>
    <w:rsid w:val="00C8664D"/>
    <w:pPr>
      <w:spacing w:after="0" w:line="240" w:lineRule="auto"/>
      <w:ind w:firstLine="1"/>
      <w:jc w:val="both"/>
    </w:pPr>
    <w:rPr>
      <w:rFonts w:ascii="Calibri" w:eastAsia="Calibri" w:hAnsi="Calibri" w:cs="Calibri"/>
      <w:color w:val="000000"/>
      <w:lang w:eastAsia="en-GB"/>
    </w:rPr>
  </w:style>
  <w:style w:type="character" w:styleId="Numrodeligne">
    <w:name w:val="line number"/>
    <w:basedOn w:val="Policepardfaut"/>
    <w:uiPriority w:val="99"/>
    <w:semiHidden/>
    <w:unhideWhenUsed/>
    <w:rsid w:val="00C8664D"/>
  </w:style>
  <w:style w:type="character" w:styleId="Lienhypertexte">
    <w:name w:val="Hyperlink"/>
    <w:basedOn w:val="Policepardfaut"/>
    <w:uiPriority w:val="99"/>
    <w:semiHidden/>
    <w:unhideWhenUsed/>
    <w:rsid w:val="00C8664D"/>
    <w:rPr>
      <w:color w:val="0000FF"/>
      <w:u w:val="single"/>
    </w:rPr>
  </w:style>
  <w:style w:type="character" w:styleId="Lienhypertextesuivivisit">
    <w:name w:val="FollowedHyperlink"/>
    <w:basedOn w:val="Policepardfaut"/>
    <w:uiPriority w:val="99"/>
    <w:semiHidden/>
    <w:unhideWhenUsed/>
    <w:rsid w:val="00C8664D"/>
    <w:rPr>
      <w:color w:val="954F72" w:themeColor="followedHyperlink"/>
      <w:u w:val="single"/>
    </w:rPr>
  </w:style>
  <w:style w:type="table" w:styleId="Grilledutableau">
    <w:name w:val="Table Grid"/>
    <w:basedOn w:val="TableauNormal"/>
    <w:uiPriority w:val="39"/>
    <w:rsid w:val="00C8664D"/>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C8664D"/>
    <w:pPr>
      <w:spacing w:after="0" w:line="240" w:lineRule="auto"/>
    </w:pPr>
    <w:rPr>
      <w:rFonts w:eastAsiaTheme="minorEastAsia"/>
      <w:lang w:eastAsia="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1">
    <w:name w:val="Plain Table 1"/>
    <w:basedOn w:val="TableauNormal"/>
    <w:uiPriority w:val="41"/>
    <w:rsid w:val="00C8664D"/>
    <w:pPr>
      <w:spacing w:after="0" w:line="240" w:lineRule="auto"/>
    </w:pPr>
    <w:rPr>
      <w:rFonts w:eastAsiaTheme="minorEastAsia"/>
      <w:lang w:eastAsia="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
    <w:name w:val="Grid Table 1 Light"/>
    <w:basedOn w:val="TableauNormal"/>
    <w:uiPriority w:val="46"/>
    <w:rsid w:val="00C8664D"/>
    <w:pPr>
      <w:spacing w:after="0" w:line="240" w:lineRule="auto"/>
    </w:pPr>
    <w:rPr>
      <w:rFonts w:eastAsiaTheme="minorEastAsia"/>
      <w:lang w:eastAsia="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2">
    <w:name w:val="Plain Table 2"/>
    <w:basedOn w:val="TableauNormal"/>
    <w:uiPriority w:val="42"/>
    <w:rsid w:val="00C8664D"/>
    <w:pPr>
      <w:spacing w:after="0" w:line="240" w:lineRule="auto"/>
    </w:pPr>
    <w:rPr>
      <w:rFonts w:eastAsiaTheme="minorEastAsia"/>
      <w:lang w:eastAsia="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1640</TotalTime>
  <Pages>7</Pages>
  <Words>1994</Words>
  <Characters>11372</Characters>
  <Application>Microsoft Office Word</Application>
  <DocSecurity>0</DocSecurity>
  <Lines>94</Lines>
  <Paragraphs>26</Paragraphs>
  <ScaleCrop>false</ScaleCrop>
  <HeadingPairs>
    <vt:vector size="4" baseType="variant">
      <vt:variant>
        <vt:lpstr>Titre</vt:lpstr>
      </vt:variant>
      <vt:variant>
        <vt:i4>1</vt:i4>
      </vt:variant>
      <vt:variant>
        <vt:lpstr>Titres</vt:lpstr>
      </vt:variant>
      <vt:variant>
        <vt:i4>3</vt:i4>
      </vt:variant>
    </vt:vector>
  </HeadingPairs>
  <TitlesOfParts>
    <vt:vector size="4" baseType="lpstr">
      <vt:lpstr/>
      <vt:lpstr>    Axial recharge</vt:lpstr>
      <vt:lpstr>    Three-dimensional  study of radial recharge</vt:lpstr>
      <vt:lpstr>    Heat balance analysis </vt:lpstr>
    </vt:vector>
  </TitlesOfParts>
  <Company/>
  <LinksUpToDate>false</LinksUpToDate>
  <CharactersWithSpaces>13340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Mylène RECEVEUR</dc:creator>
  <cp:keywords/>
  <dc:description/>
  <cp:lastModifiedBy>Mylène RECEVEUR</cp:lastModifiedBy>
  <cp:revision>17</cp:revision>
  <dcterms:created xsi:type="dcterms:W3CDTF">2021-02-17T17:53:00Z</dcterms:created>
  <dcterms:modified xsi:type="dcterms:W3CDTF">2021-03-01T15:23:00Z</dcterms:modified>
</cp:coreProperties>
</file>