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A8C" w:rsidRDefault="00075A7C" w:rsidP="00075A7C">
      <w:pPr>
        <w:pStyle w:val="Paragraphedeliste"/>
        <w:numPr>
          <w:ilvl w:val="0"/>
          <w:numId w:val="1"/>
        </w:numPr>
      </w:pPr>
      <w:r w:rsidRPr="00075A7C">
        <w:t>Investigate thermal interferences under seasonal e</w:t>
      </w:r>
      <w:r>
        <w:t>ffects and dynamic exchanged heat flux</w:t>
      </w:r>
      <w:r w:rsidR="00D44940">
        <w:t xml:space="preserve"> </w:t>
      </w:r>
      <w:r>
        <w:t>for a vertical coaxial BHE.</w:t>
      </w:r>
    </w:p>
    <w:p w:rsidR="00075A7C" w:rsidRDefault="00075A7C" w:rsidP="00075A7C">
      <w:pPr>
        <w:pStyle w:val="Paragraphedeliste"/>
        <w:numPr>
          <w:ilvl w:val="0"/>
          <w:numId w:val="1"/>
        </w:numPr>
      </w:pPr>
      <w:r>
        <w:t>Seasonal effects treated doing a physical balance between convective heat transfer between ambient air and soil surface and solar radiations (source term)</w:t>
      </w:r>
    </w:p>
    <w:p w:rsidR="00075A7C" w:rsidRDefault="00D44940" w:rsidP="00075A7C">
      <w:pPr>
        <w:pStyle w:val="Paragraphedeliste"/>
        <w:numPr>
          <w:ilvl w:val="0"/>
          <w:numId w:val="1"/>
        </w:numPr>
      </w:pPr>
      <w:r>
        <w:t xml:space="preserve">Transient </w:t>
      </w:r>
      <w:r w:rsidR="00075A7C">
        <w:t>2D</w:t>
      </w:r>
      <w:r w:rsidR="006B782A">
        <w:t xml:space="preserve"> ground</w:t>
      </w:r>
      <w:r w:rsidR="00075A7C">
        <w:t xml:space="preserve"> FVM model</w:t>
      </w:r>
      <w:r>
        <w:t xml:space="preserve"> accounting for accurate axial and seasonal effect</w:t>
      </w:r>
      <w:r w:rsidR="00075A7C">
        <w:t xml:space="preserve"> – coupled to a fluid model </w:t>
      </w:r>
      <w:r w:rsidR="006C2884">
        <w:t xml:space="preserve">(analytical solution of </w:t>
      </w:r>
      <w:proofErr w:type="spellStart"/>
      <w:r w:rsidR="006C2884">
        <w:t>Beier</w:t>
      </w:r>
      <w:proofErr w:type="spellEnd"/>
      <w:r w:rsidR="006C2884">
        <w:t xml:space="preserve"> </w:t>
      </w:r>
      <w:r w:rsidR="006B782A">
        <w:t xml:space="preserve">et al.) </w:t>
      </w:r>
      <w:r w:rsidR="00075A7C">
        <w:t xml:space="preserve">to introduce dynamic behaviour of heat flux </w:t>
      </w:r>
      <w:r>
        <w:t>(=function of depth and time)</w:t>
      </w:r>
    </w:p>
    <w:p w:rsidR="00D44940" w:rsidRDefault="00D44940" w:rsidP="00075A7C">
      <w:pPr>
        <w:pStyle w:val="Paragraphedeliste"/>
        <w:numPr>
          <w:ilvl w:val="0"/>
          <w:numId w:val="1"/>
        </w:numPr>
      </w:pPr>
      <w:r>
        <w:t>Extended to 3D model to evaluate interferences between neighbouring BH</w:t>
      </w:r>
    </w:p>
    <w:p w:rsidR="00075A7C" w:rsidRDefault="00075A7C" w:rsidP="00075A7C">
      <w:pPr>
        <w:pStyle w:val="Paragraphedeliste"/>
        <w:numPr>
          <w:ilvl w:val="0"/>
          <w:numId w:val="2"/>
        </w:numPr>
      </w:pPr>
      <w:r>
        <w:t>Axial and seasonal effects only relevant for short borehole depth and long operation periods</w:t>
      </w:r>
      <w:r w:rsidR="00D44940">
        <w:t xml:space="preserve"> </w:t>
      </w:r>
    </w:p>
    <w:p w:rsidR="00D44940" w:rsidRDefault="00D44940" w:rsidP="00075A7C">
      <w:pPr>
        <w:pStyle w:val="Paragraphedeliste"/>
        <w:numPr>
          <w:ilvl w:val="0"/>
          <w:numId w:val="2"/>
        </w:numPr>
      </w:pPr>
      <w:r>
        <w:t>Dynamic heat flux along the depth is more considerable for long borehole depth</w:t>
      </w:r>
    </w:p>
    <w:p w:rsidR="00D44940" w:rsidRDefault="00D44940" w:rsidP="00075A7C">
      <w:pPr>
        <w:pStyle w:val="Paragraphedeliste"/>
        <w:numPr>
          <w:ilvl w:val="0"/>
          <w:numId w:val="2"/>
        </w:numPr>
      </w:pPr>
      <w:r>
        <w:t>Good agreement with T Line Source analytical model (</w:t>
      </w:r>
      <w:proofErr w:type="spellStart"/>
      <w:r>
        <w:t>Beier</w:t>
      </w:r>
      <w:proofErr w:type="spellEnd"/>
      <w:r>
        <w:t xml:space="preserve"> et al)</w:t>
      </w:r>
    </w:p>
    <w:p w:rsidR="004A46FC" w:rsidRDefault="00D44940" w:rsidP="006B782A">
      <w:pPr>
        <w:pStyle w:val="Paragraphedeliste"/>
        <w:numPr>
          <w:ilvl w:val="0"/>
          <w:numId w:val="2"/>
        </w:numPr>
      </w:pPr>
      <w:r>
        <w:t xml:space="preserve">Result 3D model: soil resistance increases with time; outlet temperature </w:t>
      </w:r>
      <w:r w:rsidR="006B782A">
        <w:t xml:space="preserve">and withdrawn energy </w:t>
      </w:r>
      <w:r>
        <w:t>decreases</w:t>
      </w:r>
      <w:r w:rsidR="006B782A">
        <w:t xml:space="preserve"> over time</w:t>
      </w:r>
      <w:r>
        <w:t xml:space="preserve"> thus decreasing performances of heat pump. Recommended to couple system with solar thermal recharging system or couple with energy storage system.</w:t>
      </w:r>
    </w:p>
    <w:p w:rsidR="00D44940" w:rsidRDefault="004A46FC" w:rsidP="004A46FC">
      <w:pPr>
        <w:jc w:val="center"/>
      </w:pPr>
      <w:r>
        <w:rPr>
          <w:noProof/>
        </w:rPr>
        <w:drawing>
          <wp:inline distT="0" distB="0" distL="0" distR="0" wp14:anchorId="495B23E9" wp14:editId="1D36E6D1">
            <wp:extent cx="3285449" cy="2611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691" cy="26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55" w:rsidRDefault="00401755" w:rsidP="004A46FC">
      <w:pPr>
        <w:jc w:val="center"/>
      </w:pPr>
      <w:r>
        <w:t>This is the temperature profile (with depth = initial condition), different from seasonal variation (to use as BC)</w:t>
      </w:r>
    </w:p>
    <w:p w:rsidR="00401755" w:rsidRDefault="00D44940" w:rsidP="00D44940">
      <w:pPr>
        <w:jc w:val="center"/>
      </w:pPr>
      <w:r>
        <w:rPr>
          <w:noProof/>
        </w:rPr>
        <w:drawing>
          <wp:inline distT="0" distB="0" distL="0" distR="0" wp14:anchorId="36C81E1D" wp14:editId="71130814">
            <wp:extent cx="2885440" cy="11269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96" cy="11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55" w:rsidRDefault="00401755" w:rsidP="00401755">
      <w:pPr>
        <w:autoSpaceDE w:val="0"/>
        <w:autoSpaceDN w:val="0"/>
        <w:adjustRightInd w:val="0"/>
        <w:spacing w:after="0" w:line="240" w:lineRule="auto"/>
        <w:rPr>
          <w:rFonts w:ascii="AdvCaeciliaRm" w:hAnsi="AdvCaeciliaRm" w:cs="AdvCaeciliaRm"/>
          <w:color w:val="000000"/>
          <w:sz w:val="16"/>
          <w:szCs w:val="16"/>
        </w:rPr>
      </w:pPr>
      <w:r>
        <w:rPr>
          <w:rFonts w:ascii="AdvCaeciliaRm" w:hAnsi="AdvCaeciliaRm" w:cs="AdvCaeciliaRm"/>
          <w:color w:val="000000"/>
          <w:sz w:val="16"/>
          <w:szCs w:val="16"/>
        </w:rPr>
        <w:t xml:space="preserve">CE and LE are given by </w:t>
      </w:r>
      <w:proofErr w:type="spellStart"/>
      <w:r>
        <w:rPr>
          <w:rFonts w:ascii="AdvCaeciliaRm" w:hAnsi="AdvCaeciliaRm" w:cs="AdvCaeciliaRm"/>
          <w:color w:val="000000"/>
          <w:sz w:val="16"/>
          <w:szCs w:val="16"/>
        </w:rPr>
        <w:t>Mihalakakou</w:t>
      </w:r>
      <w:proofErr w:type="spellEnd"/>
      <w:r>
        <w:rPr>
          <w:rFonts w:ascii="AdvCaeciliaRm" w:hAnsi="AdvCaeciliaRm" w:cs="AdvCaeciliaRm"/>
          <w:color w:val="000000"/>
          <w:sz w:val="16"/>
          <w:szCs w:val="16"/>
        </w:rPr>
        <w:t xml:space="preserve"> et al. </w:t>
      </w:r>
      <w:r>
        <w:rPr>
          <w:rFonts w:ascii="AdvCaeciliaRm" w:hAnsi="AdvCaeciliaRm" w:cs="AdvCaeciliaRm"/>
          <w:color w:val="2197D2"/>
          <w:sz w:val="16"/>
          <w:szCs w:val="16"/>
        </w:rPr>
        <w:t>[37]</w:t>
      </w:r>
      <w:r>
        <w:rPr>
          <w:rFonts w:ascii="AdvCaeciliaRm" w:hAnsi="AdvCaeciliaRm" w:cs="AdvCaeciliaRm"/>
          <w:color w:val="000000"/>
          <w:sz w:val="16"/>
          <w:szCs w:val="16"/>
        </w:rPr>
        <w:t>, LR and SR are</w:t>
      </w:r>
      <w:r>
        <w:rPr>
          <w:rFonts w:ascii="AdvCaeciliaRm" w:hAnsi="AdvCaeciliaRm" w:cs="AdvCaeciliaRm"/>
          <w:color w:val="000000"/>
          <w:sz w:val="16"/>
          <w:szCs w:val="16"/>
        </w:rPr>
        <w:t xml:space="preserve"> </w:t>
      </w:r>
      <w:r>
        <w:rPr>
          <w:rFonts w:ascii="AdvCaeciliaRm" w:hAnsi="AdvCaeciliaRm" w:cs="AdvCaeciliaRm"/>
          <w:color w:val="000000"/>
          <w:sz w:val="16"/>
          <w:szCs w:val="16"/>
        </w:rPr>
        <w:t xml:space="preserve">given by Thiers and </w:t>
      </w:r>
      <w:proofErr w:type="spellStart"/>
      <w:r>
        <w:rPr>
          <w:rFonts w:ascii="AdvCaeciliaRm" w:hAnsi="AdvCaeciliaRm" w:cs="AdvCaeciliaRm"/>
          <w:color w:val="000000"/>
          <w:sz w:val="16"/>
          <w:szCs w:val="16"/>
        </w:rPr>
        <w:t>Peuportier</w:t>
      </w:r>
      <w:proofErr w:type="spellEnd"/>
      <w:r>
        <w:rPr>
          <w:rFonts w:ascii="AdvCaeciliaRm" w:hAnsi="AdvCaeciliaRm" w:cs="AdvCaeciliaRm"/>
          <w:color w:val="000000"/>
          <w:sz w:val="16"/>
          <w:szCs w:val="16"/>
        </w:rPr>
        <w:t xml:space="preserve"> </w:t>
      </w:r>
      <w:r>
        <w:rPr>
          <w:rFonts w:ascii="AdvCaeciliaRm" w:hAnsi="AdvCaeciliaRm" w:cs="AdvCaeciliaRm"/>
          <w:color w:val="2197D2"/>
          <w:sz w:val="16"/>
          <w:szCs w:val="16"/>
        </w:rPr>
        <w:t>[41]</w:t>
      </w:r>
      <w:r>
        <w:rPr>
          <w:rFonts w:ascii="AdvCaeciliaRm" w:hAnsi="AdvCaeciliaRm" w:cs="AdvCaeciliaRm"/>
          <w:color w:val="000000"/>
          <w:sz w:val="16"/>
          <w:szCs w:val="16"/>
        </w:rPr>
        <w:t>.</w:t>
      </w:r>
    </w:p>
    <w:p w:rsidR="00D44940" w:rsidRDefault="00D44940" w:rsidP="00401755">
      <w:pPr>
        <w:jc w:val="center"/>
      </w:pPr>
      <w:r>
        <w:rPr>
          <w:noProof/>
        </w:rPr>
        <w:lastRenderedPageBreak/>
        <w:drawing>
          <wp:inline distT="0" distB="0" distL="0" distR="0" wp14:anchorId="7DF34DE6" wp14:editId="796C1970">
            <wp:extent cx="2978850" cy="3906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39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55" w:rsidRPr="00401755" w:rsidRDefault="00401755" w:rsidP="00401755">
      <w:pPr>
        <w:rPr>
          <w:rFonts w:eastAsia="Times New Roman" w:cs="Arial"/>
        </w:rPr>
      </w:pPr>
      <w:r>
        <w:t xml:space="preserve">Equation for LE differs slightly from </w:t>
      </w:r>
      <w:r w:rsidRPr="00401755">
        <w:rPr>
          <w:rFonts w:eastAsia="Times New Roman" w:cs="Arial"/>
        </w:rPr>
        <w:t>MIHALAKAKOU et al (1997)</w:t>
      </w:r>
      <w:r>
        <w:rPr>
          <w:rFonts w:eastAsia="Times New Roman" w:cs="Arial"/>
        </w:rPr>
        <w:t xml:space="preserve">, where </w:t>
      </w:r>
      <w:proofErr w:type="spellStart"/>
      <w:r>
        <w:rPr>
          <w:rFonts w:eastAsia="Times New Roman" w:cs="Arial"/>
        </w:rPr>
        <w:t>blat</w:t>
      </w:r>
      <w:proofErr w:type="spellEnd"/>
      <w:r>
        <w:rPr>
          <w:rFonts w:eastAsia="Times New Roman" w:cs="Arial"/>
        </w:rPr>
        <w:t xml:space="preserve"> = t = 609 Pa</w:t>
      </w:r>
    </w:p>
    <w:p w:rsidR="009959CB" w:rsidRDefault="009959CB" w:rsidP="00D44940">
      <w:pPr>
        <w:jc w:val="center"/>
      </w:pPr>
    </w:p>
    <w:p w:rsidR="009959CB" w:rsidRDefault="009959CB" w:rsidP="00EC2CCE">
      <w:pPr>
        <w:jc w:val="center"/>
      </w:pPr>
      <w:r>
        <w:rPr>
          <w:noProof/>
        </w:rPr>
        <w:drawing>
          <wp:inline distT="0" distB="0" distL="0" distR="0" wp14:anchorId="0010CAE4" wp14:editId="0F03075D">
            <wp:extent cx="2921620" cy="1828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631" cy="18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244AF" wp14:editId="23973151">
            <wp:extent cx="2981960" cy="310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83" cy="3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E" w:rsidRDefault="00EC2CCE" w:rsidP="00EC2CCE">
      <w:pPr>
        <w:jc w:val="both"/>
      </w:pPr>
      <w:r>
        <w:t xml:space="preserve">Model </w:t>
      </w:r>
      <w:r>
        <w:t>the impact of axial effects and the way of</w:t>
      </w:r>
      <w:r>
        <w:t xml:space="preserve"> </w:t>
      </w:r>
      <w:r>
        <w:t>their consideration on the temperature distribution in the</w:t>
      </w:r>
      <w:r>
        <w:t xml:space="preserve"> </w:t>
      </w:r>
      <w:r>
        <w:t>surrounding ground</w:t>
      </w:r>
      <w:r>
        <w:t>. Discrepancy between analytical and FVM due to the fact that analytical line source model only consider th</w:t>
      </w:r>
      <w:r>
        <w:t>e initial</w:t>
      </w:r>
      <w:r>
        <w:t xml:space="preserve"> </w:t>
      </w:r>
      <w:r>
        <w:t xml:space="preserve">distribution of the undisturbed ground temperature </w:t>
      </w:r>
      <w:r>
        <w:t>(</w:t>
      </w:r>
      <w:r>
        <w:t>soil surface temperature remains constant and</w:t>
      </w:r>
      <w:r>
        <w:t xml:space="preserve"> </w:t>
      </w:r>
      <w:r>
        <w:t>equal to the initial temperature over the operation period</w:t>
      </w:r>
      <w:r>
        <w:t xml:space="preserve"> vs </w:t>
      </w:r>
      <w:r>
        <w:t>numerical solution has the ability to</w:t>
      </w:r>
      <w:r>
        <w:t xml:space="preserve"> </w:t>
      </w:r>
      <w:r>
        <w:t>consider a time dependant surface temperature</w:t>
      </w:r>
      <w:r>
        <w:t xml:space="preserve"> </w:t>
      </w:r>
      <w:r>
        <w:sym w:font="Wingdings" w:char="F0E0"/>
      </w:r>
      <w:r>
        <w:t xml:space="preserve"> differences in solution down to 10 m deep). </w:t>
      </w:r>
    </w:p>
    <w:p w:rsidR="00EC2CCE" w:rsidRDefault="00EC2CCE" w:rsidP="00EC2CCE">
      <w:pPr>
        <w:jc w:val="both"/>
      </w:pPr>
    </w:p>
    <w:p w:rsidR="006B782A" w:rsidRDefault="006B782A" w:rsidP="00EC2CCE">
      <w:pPr>
        <w:jc w:val="both"/>
      </w:pPr>
    </w:p>
    <w:p w:rsidR="00EC2CCE" w:rsidRDefault="00EC2CCE" w:rsidP="00EC2CCE">
      <w:pPr>
        <w:jc w:val="both"/>
      </w:pPr>
      <w:r>
        <w:t xml:space="preserve">As during operation the </w:t>
      </w:r>
      <w:r>
        <w:t>temperature</w:t>
      </w:r>
      <w:r>
        <w:t xml:space="preserve"> </w:t>
      </w:r>
      <w:r>
        <w:t>distribution is not equal to the undisturbed ground temperature</w:t>
      </w:r>
      <w:r>
        <w:t xml:space="preserve"> </w:t>
      </w:r>
      <w:r>
        <w:t>from the surface to the bottom,</w:t>
      </w:r>
      <w:r>
        <w:t xml:space="preserve"> it is more accurate to consider a HF BC instead of </w:t>
      </w:r>
      <w:r>
        <w:t>an imposed undisturbed temperature at the surface</w:t>
      </w:r>
      <w:r>
        <w:t xml:space="preserve"> (=</w:t>
      </w:r>
      <w:r>
        <w:t>resultant of solar</w:t>
      </w:r>
      <w:r>
        <w:t xml:space="preserve"> </w:t>
      </w:r>
      <w:r>
        <w:t xml:space="preserve">radiation </w:t>
      </w:r>
      <w:r>
        <w:t>+</w:t>
      </w:r>
      <w:r>
        <w:t xml:space="preserve"> convection heat flux that has a non-uniform</w:t>
      </w:r>
      <w:r>
        <w:t xml:space="preserve"> </w:t>
      </w:r>
      <w:r>
        <w:t>radial distribution</w:t>
      </w:r>
      <w:r>
        <w:t xml:space="preserve"> [</w:t>
      </w:r>
      <w:r>
        <w:t xml:space="preserve">variation </w:t>
      </w:r>
      <w:r>
        <w:t xml:space="preserve">of </w:t>
      </w:r>
      <w:r>
        <w:t>radial temperature distribution in the vicinity of</w:t>
      </w:r>
      <w:r>
        <w:t xml:space="preserve"> </w:t>
      </w:r>
      <w:r>
        <w:t>borehole induced by the operation of the heat pump</w:t>
      </w:r>
      <w:r>
        <w:t>]</w:t>
      </w:r>
      <w:r>
        <w:t>.</w:t>
      </w:r>
    </w:p>
    <w:p w:rsidR="00EC2CCE" w:rsidRDefault="00EC2CCE" w:rsidP="00EC2CCE">
      <w:pPr>
        <w:pStyle w:val="Paragraphedeliste"/>
        <w:numPr>
          <w:ilvl w:val="0"/>
          <w:numId w:val="3"/>
        </w:numPr>
        <w:jc w:val="both"/>
      </w:pPr>
      <w:r>
        <w:t>P</w:t>
      </w:r>
      <w:r>
        <w:t>redict</w:t>
      </w:r>
      <w:r>
        <w:t>ion of th</w:t>
      </w:r>
      <w:r>
        <w:t>e undisturbed ground</w:t>
      </w:r>
      <w:r>
        <w:t xml:space="preserve"> </w:t>
      </w:r>
      <w:r>
        <w:t>surface temperature numerically over the operation period</w:t>
      </w:r>
      <w:r>
        <w:t xml:space="preserve"> </w:t>
      </w:r>
      <w:r>
        <w:t>by treating the surface heat flux detailed in Ref. [37]</w:t>
      </w:r>
      <w:r>
        <w:t xml:space="preserve"> + </w:t>
      </w:r>
      <w:r>
        <w:t>analytical prediction [39] to better account for seasonal effects</w:t>
      </w:r>
      <w:r>
        <w:t xml:space="preserve"> (</w:t>
      </w:r>
      <w:r>
        <w:t>solar radiation, ambient air temperature and</w:t>
      </w:r>
      <w:r>
        <w:t xml:space="preserve"> </w:t>
      </w:r>
      <w:r>
        <w:t>velocity values are given for each hour over a year</w:t>
      </w:r>
      <w:r>
        <w:t>)</w:t>
      </w:r>
      <w:r w:rsidR="006C2884">
        <w:t xml:space="preserve"> for 8760h</w:t>
      </w:r>
    </w:p>
    <w:p w:rsidR="00EC2CCE" w:rsidRDefault="00EC2CCE" w:rsidP="00EC2CCE">
      <w:pPr>
        <w:pStyle w:val="Paragraphedeliste"/>
        <w:numPr>
          <w:ilvl w:val="0"/>
          <w:numId w:val="3"/>
        </w:numPr>
        <w:jc w:val="both"/>
      </w:pPr>
      <w:r>
        <w:t xml:space="preserve">Prediction </w:t>
      </w:r>
      <w:r>
        <w:t>of the surroundings</w:t>
      </w:r>
      <w:r>
        <w:t xml:space="preserve"> vertical </w:t>
      </w:r>
      <w:r>
        <w:t>temperature distribution for an operating heat pump</w:t>
      </w:r>
    </w:p>
    <w:p w:rsidR="006C2884" w:rsidRDefault="006C2884" w:rsidP="006C2884">
      <w:pPr>
        <w:jc w:val="both"/>
      </w:pPr>
      <w:r>
        <w:t>The difference between imposed natural heat flux and imposed ambient</w:t>
      </w:r>
      <w:r>
        <w:t xml:space="preserve"> </w:t>
      </w:r>
      <w:r>
        <w:t>temperature</w:t>
      </w:r>
      <w:r>
        <w:t xml:space="preserve"> </w:t>
      </w:r>
      <w:r>
        <w:t>affected</w:t>
      </w:r>
      <w:r>
        <w:t xml:space="preserve"> </w:t>
      </w:r>
      <w:r>
        <w:t>soil temperature up to 1.4 m from the surface. This effect is</w:t>
      </w:r>
      <w:r>
        <w:t xml:space="preserve"> </w:t>
      </w:r>
      <w:r>
        <w:t>expected to be greater for longer operation of heat pump.</w:t>
      </w:r>
    </w:p>
    <w:p w:rsidR="006B782A" w:rsidRDefault="006B782A" w:rsidP="006B782A">
      <w:pPr>
        <w:jc w:val="both"/>
      </w:pPr>
      <w:r>
        <w:t>surface heat flux rather than the</w:t>
      </w:r>
      <w:r>
        <w:t xml:space="preserve"> </w:t>
      </w:r>
      <w:r>
        <w:t>undisturbed ground surface temperature in the soil region</w:t>
      </w:r>
      <w:r>
        <w:t xml:space="preserve"> </w:t>
      </w:r>
      <w:r>
        <w:t>lead to a closer to the reality thermal analysis in the soil</w:t>
      </w:r>
      <w:r>
        <w:t>.</w:t>
      </w:r>
    </w:p>
    <w:p w:rsidR="006B782A" w:rsidRDefault="006B782A" w:rsidP="006B782A">
      <w:pPr>
        <w:jc w:val="center"/>
      </w:pPr>
      <w:r>
        <w:rPr>
          <w:noProof/>
        </w:rPr>
        <w:drawing>
          <wp:inline distT="0" distB="0" distL="0" distR="0" wp14:anchorId="30671685" wp14:editId="30E8F157">
            <wp:extent cx="4396045" cy="1996440"/>
            <wp:effectExtent l="0" t="0" r="508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98" cy="19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Default="006B782A" w:rsidP="006B782A">
      <w:pPr>
        <w:pStyle w:val="Paragraphedeliste"/>
        <w:numPr>
          <w:ilvl w:val="0"/>
          <w:numId w:val="2"/>
        </w:numPr>
        <w:jc w:val="both"/>
      </w:pPr>
      <w:r>
        <w:t xml:space="preserve">Non linear distribution due to circulating fluid (dynamic </w:t>
      </w:r>
      <w:proofErr w:type="spellStart"/>
      <w:r>
        <w:t>behavior</w:t>
      </w:r>
      <w:proofErr w:type="spellEnd"/>
      <w:r>
        <w:t xml:space="preserve"> of the BHE, which cannot be seen away from the BHE</w:t>
      </w:r>
      <w:proofErr w:type="gramStart"/>
      <w:r>
        <w:t>: )</w:t>
      </w:r>
      <w:proofErr w:type="gramEnd"/>
    </w:p>
    <w:p w:rsidR="006B782A" w:rsidRDefault="006B782A" w:rsidP="006B782A">
      <w:pPr>
        <w:ind w:left="360"/>
        <w:jc w:val="center"/>
      </w:pPr>
      <w:r>
        <w:rPr>
          <w:noProof/>
        </w:rPr>
        <w:drawing>
          <wp:inline distT="0" distB="0" distL="0" distR="0" wp14:anchorId="7CDBA7B4" wp14:editId="02276BC6">
            <wp:extent cx="4794812" cy="236728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566" cy="23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2A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Caecilia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2398"/>
    <w:multiLevelType w:val="hybridMultilevel"/>
    <w:tmpl w:val="A4E69564"/>
    <w:lvl w:ilvl="0" w:tplc="18AE0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7B48"/>
    <w:multiLevelType w:val="hybridMultilevel"/>
    <w:tmpl w:val="2284ADF0"/>
    <w:lvl w:ilvl="0" w:tplc="A560E4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74765B"/>
    <w:multiLevelType w:val="hybridMultilevel"/>
    <w:tmpl w:val="BA18C1DE"/>
    <w:lvl w:ilvl="0" w:tplc="BCC68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7C"/>
    <w:rsid w:val="00075A7C"/>
    <w:rsid w:val="00401755"/>
    <w:rsid w:val="00485607"/>
    <w:rsid w:val="004A46FC"/>
    <w:rsid w:val="006B782A"/>
    <w:rsid w:val="006C2884"/>
    <w:rsid w:val="009959CB"/>
    <w:rsid w:val="00D44940"/>
    <w:rsid w:val="00EC2CCE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F7E4"/>
  <w15:chartTrackingRefBased/>
  <w15:docId w15:val="{C8E46721-EE9E-4E3D-B295-F6DA7F2D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2</cp:revision>
  <dcterms:created xsi:type="dcterms:W3CDTF">2020-04-16T15:33:00Z</dcterms:created>
  <dcterms:modified xsi:type="dcterms:W3CDTF">2020-04-17T11:46:00Z</dcterms:modified>
</cp:coreProperties>
</file>