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A8C" w:rsidRDefault="007D5CA4">
      <w:r>
        <w:rPr>
          <w:noProof/>
        </w:rPr>
        <w:drawing>
          <wp:inline distT="0" distB="0" distL="0" distR="0" wp14:anchorId="73AA84AA" wp14:editId="13B4CB24">
            <wp:extent cx="5760720" cy="62090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A4" w:rsidRDefault="007D5CA4">
      <w:r w:rsidRPr="007D5CA4">
        <w:t xml:space="preserve">New heat flow </w:t>
      </w:r>
      <w:proofErr w:type="gramStart"/>
      <w:r w:rsidRPr="007D5CA4">
        <w:t>data  from</w:t>
      </w:r>
      <w:proofErr w:type="gramEnd"/>
      <w:r w:rsidRPr="007D5CA4">
        <w:t xml:space="preserve"> four  Caledonian-age  granites, which are  part of the  Eastern</w:t>
      </w:r>
      <w:r>
        <w:t xml:space="preserve"> </w:t>
      </w:r>
      <w:r w:rsidRPr="007D5CA4">
        <w:t xml:space="preserve">Highlands  batholith,  are  in  the  range  59-76mW/m2  (Table 1).  </w:t>
      </w:r>
      <w:r>
        <w:t xml:space="preserve">These values </w:t>
      </w:r>
      <w:proofErr w:type="gramStart"/>
      <w:r w:rsidRPr="007D5CA4">
        <w:t>define  a</w:t>
      </w:r>
      <w:proofErr w:type="gramEnd"/>
      <w:r w:rsidRPr="007D5CA4">
        <w:t xml:space="preserve">  zone of higher  than  average  heat flow  in Scotland which  is  closely related  spatially to  the  Eastern  Highlands  batholith. </w:t>
      </w:r>
    </w:p>
    <w:sectPr w:rsidR="007D5CA4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A4"/>
    <w:rsid w:val="00485607"/>
    <w:rsid w:val="007D5CA4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D8E8"/>
  <w15:chartTrackingRefBased/>
  <w15:docId w15:val="{4D462C25-AD3B-4092-BD80-F5F9C40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2020-04-16T15:50:00Z</dcterms:created>
  <dcterms:modified xsi:type="dcterms:W3CDTF">2020-04-16T16:22:00Z</dcterms:modified>
</cp:coreProperties>
</file>