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A8C" w:rsidRDefault="007F1419">
      <w:r w:rsidRPr="007F1419">
        <w:t>Liuzzo-</w:t>
      </w:r>
      <w:proofErr w:type="spellStart"/>
      <w:r w:rsidRPr="007F1419">
        <w:t>Scorpo</w:t>
      </w:r>
      <w:proofErr w:type="spellEnd"/>
      <w:r w:rsidRPr="007F1419">
        <w:t xml:space="preserve"> et al. [10] demonstrated that even very low groundwater ﬂow rates can signiﬁcantly reduce the Inﬂuence Length of the exchanger. In another study, Wang et al. [11] conducted a thermal performance experiment of a BHE under groundwater ﬂow in China and showed that the presence of groundwater ﬂow enhanced the </w:t>
      </w:r>
      <w:proofErr w:type="spellStart"/>
      <w:r w:rsidRPr="007F1419">
        <w:t>thermalperformance</w:t>
      </w:r>
      <w:proofErr w:type="spellEnd"/>
      <w:r w:rsidRPr="007F1419">
        <w:t xml:space="preserve"> </w:t>
      </w:r>
      <w:proofErr w:type="spellStart"/>
      <w:r w:rsidRPr="007F1419">
        <w:t>oftheboreholeheatexchanger</w:t>
      </w:r>
      <w:proofErr w:type="spellEnd"/>
      <w:r w:rsidRPr="007F1419">
        <w:t xml:space="preserve"> </w:t>
      </w:r>
      <w:proofErr w:type="spellStart"/>
      <w:r w:rsidRPr="007F1419">
        <w:t>andinﬂuencedthe</w:t>
      </w:r>
      <w:proofErr w:type="spellEnd"/>
      <w:r w:rsidRPr="007F1419">
        <w:t xml:space="preserve"> temperature proﬁle in the aquifer</w:t>
      </w:r>
    </w:p>
    <w:sectPr w:rsidR="00FB5A8C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19"/>
    <w:rsid w:val="00485607"/>
    <w:rsid w:val="007F1419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16A59-721B-4BCE-BF28-2C65746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2020-04-16T16:54:00Z</dcterms:created>
  <dcterms:modified xsi:type="dcterms:W3CDTF">2020-04-16T16:55:00Z</dcterms:modified>
</cp:coreProperties>
</file>