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F5297" w:rsidRDefault="00DF5297">
      <w:r>
        <w:t>Wagner et al (2004)</w:t>
      </w:r>
    </w:p>
    <w:p w:rsidR="00FB5A8C" w:rsidRDefault="00DF5297">
      <w:r>
        <w:rPr>
          <w:noProof/>
        </w:rPr>
        <w:drawing>
          <wp:inline distT="0" distB="0" distL="0" distR="0" wp14:anchorId="09F8E8C0" wp14:editId="4EB917ED">
            <wp:extent cx="2705100" cy="3915773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9011" cy="39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4F9031" wp14:editId="01061D87">
            <wp:extent cx="3019425" cy="3210397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7369" cy="321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297" w:rsidRDefault="00DF5297">
      <w:r>
        <w:t xml:space="preserve">We ignore </w:t>
      </w:r>
      <w:proofErr w:type="spellStart"/>
      <w:r>
        <w:t>Rb</w:t>
      </w:r>
      <w:proofErr w:type="spellEnd"/>
      <w:r>
        <w:t>, the heat recovery coefficient, which relates to the borehole wall temperature to the heat carrier fluid temperature (Sutton et al., 2002)</w:t>
      </w:r>
    </w:p>
    <w:p w:rsidR="00DF5297" w:rsidRDefault="00DF5297">
      <w:r>
        <w:rPr>
          <w:noProof/>
        </w:rPr>
        <w:drawing>
          <wp:inline distT="0" distB="0" distL="0" distR="0" wp14:anchorId="2A198DE6" wp14:editId="1AE904D9">
            <wp:extent cx="3209925" cy="2052795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0379" cy="205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EC9C50" wp14:editId="4ACAF428">
            <wp:extent cx="4486275" cy="1518314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7787" cy="152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297" w:rsidSect="004856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297"/>
    <w:rsid w:val="000458C2"/>
    <w:rsid w:val="00485607"/>
    <w:rsid w:val="00DF5297"/>
    <w:rsid w:val="00FB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774BF"/>
  <w15:chartTrackingRefBased/>
  <w15:docId w15:val="{B3F1F006-1B70-473E-957F-D84841329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Mylène RECEVEUR</dc:creator>
  <cp:keywords/>
  <dc:description/>
  <cp:lastModifiedBy>Mylène RECEVEUR</cp:lastModifiedBy>
  <cp:revision>1</cp:revision>
  <dcterms:created xsi:type="dcterms:W3CDTF">2020-04-27T08:08:00Z</dcterms:created>
  <dcterms:modified xsi:type="dcterms:W3CDTF">2020-04-27T10:50:00Z</dcterms:modified>
</cp:coreProperties>
</file>