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Calibri" w:cs="Calibri" w:eastAsia="Calibri" w:hAnsi="Calibri"/>
          <w:b/>
          <w:bCs/>
          <w:color w:val="1F4E79"/>
          <w:sz w:val="52"/>
          <w:szCs w:val="52"/>
        </w:rPr>
        <w:t xml:space="preserve">MYLES JOSHUA CHUATICO</w:t>
      </w:r>
    </w:p>
    <w:p>
      <w:pPr>
        <w:spacing w:before="0" w:after="60"/>
      </w:pPr>
      <w:r>
        <w:rPr>
          <w:rFonts w:ascii="Calibri" w:cs="Calibri" w:eastAsia="Calibri" w:hAnsi="Calibri"/>
          <w:i/>
          <w:iCs/>
          <w:color w:val="555555"/>
          <w:sz w:val="20"/>
          <w:szCs w:val="20"/>
        </w:rPr>
        <w:t xml:space="preserve">Business &amp; Operations Analyst  |  Process Improvement  |  Systems &amp; Reporting</w:t>
      </w:r>
    </w:p>
    <w:p>
      <w:pPr>
        <w:pBdr>
          <w:bottom w:val="single" w:color="D6E4F0" w:sz="6" w:space="2"/>
        </w:pBdr>
        <w:spacing w:before="0" w:after="0"/>
      </w:pPr>
      <w:r>
        <w:rPr>
          <w:rFonts w:ascii="Calibri" w:cs="Calibri" w:eastAsia="Calibri" w:hAnsi="Calibri"/>
          <w:color w:val="555555"/>
          <w:sz w:val="19"/>
          <w:szCs w:val="19"/>
        </w:rPr>
        <w:t xml:space="preserve">Orange County, CA</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myles.chuatico@gmail.com</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(657) 331-2995</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linkedin.com/in/myles-joshua-chuatico-61b7b42a1</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myles-chuatico.github.io</w:t>
      </w:r>
      <w:r>
        <w:rPr>
          <w:rFonts w:ascii="Calibri" w:cs="Calibri" w:eastAsia="Calibri" w:hAnsi="Calibri"/>
          <w:color w:val="1F4E79"/>
          <w:sz w:val="19"/>
          <w:szCs w:val="19"/>
        </w:rPr>
        <w:t xml:space="preserve">   •   </w:t>
      </w:r>
      <w:r>
        <w:rPr>
          <w:rFonts w:ascii="Calibri" w:cs="Calibri" w:eastAsia="Calibri" w:hAnsi="Calibri"/>
          <w:color w:val="555555"/>
          <w:sz w:val="19"/>
          <w:szCs w:val="19"/>
        </w:rPr>
        <w:t xml:space="preserve">Open to Remote / Hybrid / On-site</w:t>
      </w:r>
    </w:p>
    <w:p>
      <w:pPr>
        <w:spacing w:before="120" w:after="0"/>
      </w:pPr>
    </w:p>
    <w:p>
      <w:pPr>
        <w:spacing w:before="200" w:after="0"/>
      </w:pPr>
      <w:r>
        <w:rPr>
          <w:rFonts w:ascii="Calibri" w:cs="Calibri" w:eastAsia="Calibri" w:hAnsi="Calibri"/>
          <w:b/>
          <w:bCs/>
          <w:color w:val="1F4E79"/>
          <w:sz w:val="22"/>
          <w:szCs w:val="22"/>
        </w:rPr>
        <w:t xml:space="preserve">PROFESSIONAL SUMMARY</w:t>
      </w:r>
    </w:p>
    <w:p>
      <w:pPr>
        <w:pBdr>
          <w:bottom w:val="single" w:color="1F4E79" w:sz="8" w:space="1"/>
        </w:pBdr>
        <w:spacing w:before="0" w:after="80"/>
      </w:pPr>
    </w:p>
    <w:p>
      <w:pPr>
        <w:spacing w:before="80" w:after="80"/>
      </w:pPr>
      <w:r>
        <w:rPr>
          <w:rFonts w:ascii="Calibri" w:cs="Calibri" w:eastAsia="Calibri" w:hAnsi="Calibri"/>
          <w:color w:val="1A1A1A"/>
          <w:sz w:val="19"/>
          <w:szCs w:val="19"/>
        </w:rPr>
        <w:t xml:space="preserve">Operations and systems analyst with 7+ years across financial services and international organizations. Builds tools, automates workflows, and governs enterprise platforms. Track record of self-initiated projects: a full-stack mortgage decision-support tool, a department-wide log automation pipeline, and a Power BI reporting suite with live API integration. Skilled in platform administration (Freshservice/FinCoorP), UAT, process documentation, and cross-functional stakeholder coordination.</w:t>
      </w:r>
    </w:p>
    <w:p>
      <w:pPr>
        <w:spacing w:before="200" w:after="0"/>
      </w:pPr>
      <w:r>
        <w:rPr>
          <w:rFonts w:ascii="Calibri" w:cs="Calibri" w:eastAsia="Calibri" w:hAnsi="Calibri"/>
          <w:b/>
          <w:bCs/>
          <w:color w:val="1F4E79"/>
          <w:sz w:val="22"/>
          <w:szCs w:val="22"/>
        </w:rPr>
        <w:t xml:space="preserve">PROFESSIONAL EXPERIENCE</w:t>
      </w:r>
    </w:p>
    <w:p>
      <w:pPr>
        <w:pBdr>
          <w:bottom w:val="single" w:color="1F4E79" w:sz="8" w:space="1"/>
        </w:pBdr>
        <w:spacing w:before="0" w:after="80"/>
      </w:pPr>
    </w:p>
    <w:p>
      <w:pPr>
        <w:tabs>
          <w:tab w:val="right" w:pos="9360"/>
        </w:tabs>
        <w:spacing w:before="160" w:after="30"/>
      </w:pPr>
      <w:r>
        <w:rPr>
          <w:rFonts w:ascii="Calibri" w:cs="Calibri" w:eastAsia="Calibri" w:hAnsi="Calibri"/>
          <w:b/>
          <w:bCs/>
          <w:color w:val="1A1A1A"/>
          <w:sz w:val="21"/>
          <w:szCs w:val="21"/>
        </w:rPr>
        <w:t xml:space="preserve">International Organization for Migration (IOM – UN)</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Finance Associate, Quality Assurance</w:t>
      </w:r>
      <w:r>
        <w:rPr>
          <w:rFonts w:ascii="Calibri" w:cs="Calibri" w:eastAsia="Calibri" w:hAnsi="Calibri"/>
        </w:rPr>
        <w:t xml:space="preserve">	</w:t>
      </w:r>
      <w:r>
        <w:rPr>
          <w:rFonts w:ascii="Calibri" w:cs="Calibri" w:eastAsia="Calibri" w:hAnsi="Calibri"/>
          <w:color w:val="555555"/>
          <w:sz w:val="19"/>
          <w:szCs w:val="19"/>
        </w:rPr>
        <w:t xml:space="preserve">May 2025 – Feb 2026</w:t>
      </w:r>
    </w:p>
    <w:p>
      <w:pPr>
        <w:spacing w:before="20" w:after="40"/>
      </w:pPr>
      <w:r>
        <w:rPr>
          <w:rFonts w:ascii="Calibri" w:cs="Calibri" w:eastAsia="Calibri" w:hAnsi="Calibri"/>
          <w:i/>
          <w:iCs/>
          <w:color w:val="555555"/>
          <w:sz w:val="18"/>
          <w:szCs w:val="18"/>
        </w:rPr>
        <w:t xml:space="preserve">Manila Global Administrative Centre  |  Enterprise Finance Platform (FinCoorP / Freshservice)</w:t>
      </w:r>
    </w:p>
    <w:p>
      <w:pPr>
        <w:pStyle w:val="ListParagraph"/>
        <w:numPr>
          <w:ilvl w:val="0"/>
          <w:numId w:val="2"/>
        </w:numPr>
        <w:spacing w:before="30" w:after="30"/>
      </w:pPr>
      <w:r>
        <w:rPr>
          <w:rFonts w:ascii="Calibri" w:cs="Calibri" w:eastAsia="Calibri" w:hAnsi="Calibri"/>
          <w:color w:val="1A1A1A"/>
          <w:sz w:val="19"/>
          <w:szCs w:val="19"/>
        </w:rPr>
        <w:t xml:space="preserve">Administered FinCoorP, a Freshservice-based enterprise service management platform processing ~8,000 tickets/month (~96,000 annually) across 5 global finance units serving IOM missions worldwide. Maintained 95 published and active service items in the production catalog.</w:t>
      </w:r>
    </w:p>
    <w:p>
      <w:pPr>
        <w:pStyle w:val="ListParagraph"/>
        <w:numPr>
          <w:ilvl w:val="0"/>
          <w:numId w:val="2"/>
        </w:numPr>
        <w:spacing w:before="30" w:after="30"/>
      </w:pPr>
      <w:r>
        <w:rPr>
          <w:rFonts w:ascii="Calibri" w:cs="Calibri" w:eastAsia="Calibri" w:hAnsi="Calibri"/>
          <w:color w:val="1A1A1A"/>
          <w:sz w:val="19"/>
          <w:szCs w:val="19"/>
        </w:rPr>
        <w:t xml:space="preserve">Built and deployed a Power BI dashboard suite (June 2025) with direct FinCoorP API integration, giving leadership daily visibility into backlog trends, SLA compliance, and resolution efficiency. Platform maintained 95.78% average SLA compliance over 12 months.</w:t>
      </w:r>
    </w:p>
    <w:p>
      <w:pPr>
        <w:pStyle w:val="ListParagraph"/>
        <w:numPr>
          <w:ilvl w:val="0"/>
          <w:numId w:val="2"/>
        </w:numPr>
        <w:spacing w:before="30" w:after="30"/>
      </w:pPr>
      <w:r>
        <w:rPr>
          <w:rFonts w:ascii="Calibri" w:cs="Calibri" w:eastAsia="Calibri" w:hAnsi="Calibri"/>
          <w:color w:val="1A1A1A"/>
          <w:sz w:val="19"/>
          <w:szCs w:val="19"/>
        </w:rPr>
        <w:t xml:space="preserve">Owned end-to-end go-live deployments for new service workflows: requirements gathering, UAT configuration and testing, screenshot documentation for audit, production rollout, and post-deployment monitoring.</w:t>
      </w:r>
    </w:p>
    <w:p>
      <w:pPr>
        <w:pStyle w:val="ListParagraph"/>
        <w:numPr>
          <w:ilvl w:val="0"/>
          <w:numId w:val="2"/>
        </w:numPr>
        <w:spacing w:before="30" w:after="30"/>
      </w:pPr>
      <w:r>
        <w:rPr>
          <w:rFonts w:ascii="Calibri" w:cs="Calibri" w:eastAsia="Calibri" w:hAnsi="Calibri"/>
          <w:color w:val="1A1A1A"/>
          <w:sz w:val="19"/>
          <w:szCs w:val="19"/>
        </w:rPr>
        <w:t xml:space="preserve">Built workflow automators for all major service items including BUD Funding Availability, Manual MPR, PRISM Goods Receipt Reversal, and Cheque Sequence, ensuring category, BA code, finance unit, and agent group fields populated automatically from form inputs without manual re-entry.</w:t>
      </w:r>
    </w:p>
    <w:p>
      <w:pPr>
        <w:pStyle w:val="ListParagraph"/>
        <w:numPr>
          <w:ilvl w:val="0"/>
          <w:numId w:val="2"/>
        </w:numPr>
        <w:spacing w:before="30" w:after="30"/>
      </w:pPr>
      <w:r>
        <w:rPr>
          <w:rFonts w:ascii="Calibri" w:cs="Calibri" w:eastAsia="Calibri" w:hAnsi="Calibri"/>
          <w:color w:val="1A1A1A"/>
          <w:sz w:val="19"/>
          <w:szCs w:val="19"/>
        </w:rPr>
        <w:t xml:space="preserve">Managed a monthly configuration change governance cycle: submitted enhancement requests to the Quality Team by the 25th of each month, coordinating scheduling, documentation, and production launch timelines.</w:t>
      </w:r>
    </w:p>
    <w:p>
      <w:pPr>
        <w:pStyle w:val="ListParagraph"/>
        <w:numPr>
          <w:ilvl w:val="0"/>
          <w:numId w:val="2"/>
        </w:numPr>
        <w:spacing w:before="30" w:after="30"/>
      </w:pPr>
      <w:r>
        <w:rPr>
          <w:rFonts w:ascii="Calibri" w:cs="Calibri" w:eastAsia="Calibri" w:hAnsi="Calibri"/>
          <w:color w:val="1A1A1A"/>
          <w:sz w:val="19"/>
          <w:szCs w:val="19"/>
        </w:rPr>
        <w:t xml:space="preserve">Produced a monthly reporting suite of 8 platform analytics reports, admin summaries, long unresolved ticket reports, and service delivery reports distributed to team leads and leadership on fixed schedules. Participated in quarterly business reviews with Freshservice.</w:t>
      </w:r>
    </w:p>
    <w:p>
      <w:pPr>
        <w:pStyle w:val="ListParagraph"/>
        <w:numPr>
          <w:ilvl w:val="0"/>
          <w:numId w:val="2"/>
        </w:numPr>
        <w:spacing w:before="30" w:after="30"/>
      </w:pPr>
      <w:r>
        <w:rPr>
          <w:rFonts w:ascii="Calibri" w:cs="Calibri" w:eastAsia="Calibri" w:hAnsi="Calibri"/>
          <w:color w:val="1A1A1A"/>
          <w:sz w:val="19"/>
          <w:szCs w:val="19"/>
        </w:rPr>
        <w:t xml:space="preserve">Resolved critical platform incidents including a 15-mailbox email forwarding outage and a bank account data erasure requiring manual reconciliation.</w:t>
      </w:r>
    </w:p>
    <w:p>
      <w:pPr>
        <w:pStyle w:val="ListParagraph"/>
        <w:numPr>
          <w:ilvl w:val="0"/>
          <w:numId w:val="2"/>
        </w:numPr>
        <w:spacing w:before="30" w:after="30"/>
      </w:pPr>
      <w:r>
        <w:rPr>
          <w:rFonts w:ascii="Calibri" w:cs="Calibri" w:eastAsia="Calibri" w:hAnsi="Calibri"/>
          <w:color w:val="1A1A1A"/>
          <w:sz w:val="19"/>
          <w:szCs w:val="19"/>
        </w:rPr>
        <w:t xml:space="preserve">Performed ongoing platform governance: service catalog and workflow automator maintenance, agent account management, data validation across UAT and production, annual user access reviews, license renewal coordination with IT procurement, and inactive item cleanup.</w:t>
      </w:r>
    </w:p>
    <w:p>
      <w:pPr>
        <w:pStyle w:val="ListParagraph"/>
        <w:numPr>
          <w:ilvl w:val="0"/>
          <w:numId w:val="2"/>
        </w:numPr>
        <w:spacing w:before="30" w:after="30"/>
      </w:pPr>
      <w:r>
        <w:rPr>
          <w:rFonts w:ascii="Calibri" w:cs="Calibri" w:eastAsia="Calibri" w:hAnsi="Calibri"/>
          <w:color w:val="1A1A1A"/>
          <w:sz w:val="19"/>
          <w:szCs w:val="19"/>
        </w:rPr>
        <w:t xml:space="preserve">Produced and maintained the FinCoorP Agent Guide, go-live checklists, work instruction manuals, and knowledge base articles.</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Change Manager – Operations (Acting)</w:t>
      </w:r>
      <w:r>
        <w:rPr>
          <w:rFonts w:ascii="Calibri" w:cs="Calibri" w:eastAsia="Calibri" w:hAnsi="Calibri"/>
        </w:rPr>
        <w:t xml:space="preserve">	</w:t>
      </w:r>
      <w:r>
        <w:rPr>
          <w:rFonts w:ascii="Calibri" w:cs="Calibri" w:eastAsia="Calibri" w:hAnsi="Calibri"/>
          <w:color w:val="555555"/>
          <w:sz w:val="19"/>
          <w:szCs w:val="19"/>
        </w:rPr>
        <w:t xml:space="preserve">Aug 2024 – Feb 2025</w:t>
      </w:r>
    </w:p>
    <w:p>
      <w:pPr>
        <w:pStyle w:val="ListParagraph"/>
        <w:numPr>
          <w:ilvl w:val="0"/>
          <w:numId w:val="2"/>
        </w:numPr>
        <w:spacing w:before="30" w:after="30"/>
      </w:pPr>
      <w:r>
        <w:rPr>
          <w:rFonts w:ascii="Calibri" w:cs="Calibri" w:eastAsia="Calibri" w:hAnsi="Calibri"/>
          <w:color w:val="1A1A1A"/>
          <w:sz w:val="19"/>
          <w:szCs w:val="19"/>
        </w:rPr>
        <w:t xml:space="preserve">Built a full-stack mortgage decision-support tool (HTML, CSS, JavaScript): a branching yes/no decision tree that routes agents to the correct debt repayment plan based on account status, with integrated calculators for plan-specific financial formulas.</w:t>
      </w:r>
    </w:p>
    <w:p>
      <w:pPr>
        <w:pStyle w:val="ListParagraph"/>
        <w:numPr>
          <w:ilvl w:val="0"/>
          <w:numId w:val="2"/>
        </w:numPr>
        <w:spacing w:before="30" w:after="30"/>
      </w:pPr>
      <w:r>
        <w:rPr>
          <w:rFonts w:ascii="Calibri" w:cs="Calibri" w:eastAsia="Calibri" w:hAnsi="Calibri"/>
          <w:color w:val="1A1A1A"/>
          <w:sz w:val="19"/>
          <w:szCs w:val="19"/>
        </w:rPr>
        <w:t xml:space="preserve">Led the project end-to-end: designed the workflow in Visio with a process partner, aligned requirements with the AVP, and managed development, testing, and department-wide rollout.</w:t>
      </w:r>
    </w:p>
    <w:p>
      <w:pPr>
        <w:pStyle w:val="ListParagraph"/>
        <w:numPr>
          <w:ilvl w:val="0"/>
          <w:numId w:val="2"/>
        </w:numPr>
        <w:spacing w:before="30" w:after="30"/>
      </w:pPr>
      <w:r>
        <w:rPr>
          <w:rFonts w:ascii="Calibri" w:cs="Calibri" w:eastAsia="Calibri" w:hAnsi="Calibri"/>
          <w:color w:val="1A1A1A"/>
          <w:sz w:val="19"/>
          <w:szCs w:val="19"/>
        </w:rPr>
        <w:t xml:space="preserve">Built a department-wide eLinq utilization reporting pipeline across 100+ agents on restricted corporate endpoints: used Windows Task Scheduler (the only available automation option) to run a daily batch script collecting logs to a shared folder, cleaned and transformed the data via Power Query, matched against SAS utilization data, and delivered weekly reports to leadership.</w:t>
      </w:r>
    </w:p>
    <w:p>
      <w:pPr>
        <w:pStyle w:val="ListParagraph"/>
        <w:numPr>
          <w:ilvl w:val="0"/>
          <w:numId w:val="2"/>
        </w:numPr>
        <w:spacing w:before="30" w:after="30"/>
      </w:pPr>
      <w:r>
        <w:rPr>
          <w:rFonts w:ascii="Calibri" w:cs="Calibri" w:eastAsia="Calibri" w:hAnsi="Calibri"/>
          <w:color w:val="1A1A1A"/>
          <w:sz w:val="19"/>
          <w:szCs w:val="19"/>
        </w:rPr>
        <w:t xml:space="preserve">Coordinated with team leaders, department managers, AVPs, IT, peer change managers, and high-performing agents to gather requirements, validate constraints, and drive adoption of operational improvements.</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Performance Coach – Operations</w:t>
      </w:r>
      <w:r>
        <w:rPr>
          <w:rFonts w:ascii="Calibri" w:cs="Calibri" w:eastAsia="Calibri" w:hAnsi="Calibri"/>
        </w:rPr>
        <w:t xml:space="preserve">	</w:t>
      </w:r>
      <w:r>
        <w:rPr>
          <w:rFonts w:ascii="Calibri" w:cs="Calibri" w:eastAsia="Calibri" w:hAnsi="Calibri"/>
          <w:color w:val="555555"/>
          <w:sz w:val="19"/>
          <w:szCs w:val="19"/>
        </w:rPr>
        <w:t xml:space="preserve">Nov 2022 – Aug 2024</w:t>
      </w:r>
    </w:p>
    <w:p>
      <w:pPr>
        <w:pStyle w:val="ListParagraph"/>
        <w:numPr>
          <w:ilvl w:val="0"/>
          <w:numId w:val="2"/>
        </w:numPr>
        <w:spacing w:before="30" w:after="30"/>
      </w:pPr>
      <w:r>
        <w:rPr>
          <w:rFonts w:ascii="Calibri" w:cs="Calibri" w:eastAsia="Calibri" w:hAnsi="Calibri"/>
          <w:color w:val="1A1A1A"/>
          <w:sz w:val="19"/>
          <w:szCs w:val="19"/>
        </w:rPr>
        <w:t xml:space="preserve">Coached agents across DevHub (post-training cohorts of 4–5), Late Stage Academy, and BAU operations, supporting 1 cluster of 3–4 teams (8–10 agents per team) within a department of ~4 clusters.</w:t>
      </w:r>
    </w:p>
    <w:p>
      <w:pPr>
        <w:pStyle w:val="ListParagraph"/>
        <w:numPr>
          <w:ilvl w:val="0"/>
          <w:numId w:val="2"/>
        </w:numPr>
        <w:spacing w:before="30" w:after="30"/>
      </w:pPr>
      <w:r>
        <w:rPr>
          <w:rFonts w:ascii="Calibri" w:cs="Calibri" w:eastAsia="Calibri" w:hAnsi="Calibri"/>
          <w:color w:val="1A1A1A"/>
          <w:sz w:val="19"/>
          <w:szCs w:val="19"/>
        </w:rPr>
        <w:t xml:space="preserve">Drove improvement in ACT scores (process compliance) and Outcome scores (call quality) through structured one-on-one coaching focused on outliers and low performers.</w:t>
      </w:r>
    </w:p>
    <w:p>
      <w:pPr>
        <w:pStyle w:val="ListParagraph"/>
        <w:numPr>
          <w:ilvl w:val="0"/>
          <w:numId w:val="2"/>
        </w:numPr>
        <w:spacing w:before="30" w:after="30"/>
      </w:pPr>
      <w:r>
        <w:rPr>
          <w:rFonts w:ascii="Calibri" w:cs="Calibri" w:eastAsia="Calibri" w:hAnsi="Calibri"/>
          <w:color w:val="1A1A1A"/>
          <w:sz w:val="19"/>
          <w:szCs w:val="19"/>
        </w:rPr>
        <w:t xml:space="preserve">Led production discipline audits across the cluster, reviewing calls to identify call avoidance, conduct issues, and compliance breaches.</w:t>
      </w:r>
    </w:p>
    <w:p>
      <w:pPr>
        <w:tabs>
          <w:tab w:val="right" w:pos="9360"/>
        </w:tabs>
        <w:spacing w:before="160" w:after="30"/>
      </w:pPr>
      <w:r>
        <w:rPr>
          <w:rFonts w:ascii="Calibri" w:cs="Calibri" w:eastAsia="Calibri" w:hAnsi="Calibri"/>
          <w:b/>
          <w:bCs/>
          <w:color w:val="1A1A1A"/>
          <w:sz w:val="21"/>
          <w:szCs w:val="21"/>
        </w:rPr>
        <w:t xml:space="preserve">HSBC</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Senior Financial Support Specialist</w:t>
      </w:r>
      <w:r>
        <w:rPr>
          <w:rFonts w:ascii="Calibri" w:cs="Calibri" w:eastAsia="Calibri" w:hAnsi="Calibri"/>
        </w:rPr>
        <w:t xml:space="preserve">	</w:t>
      </w:r>
      <w:r>
        <w:rPr>
          <w:rFonts w:ascii="Calibri" w:cs="Calibri" w:eastAsia="Calibri" w:hAnsi="Calibri"/>
          <w:color w:val="555555"/>
          <w:sz w:val="19"/>
          <w:szCs w:val="19"/>
        </w:rPr>
        <w:t xml:space="preserve">Nov 2019 – Nov 2022</w:t>
      </w:r>
    </w:p>
    <w:p>
      <w:pPr>
        <w:pStyle w:val="ListParagraph"/>
        <w:numPr>
          <w:ilvl w:val="0"/>
          <w:numId w:val="2"/>
        </w:numPr>
        <w:spacing w:before="30" w:after="30"/>
      </w:pPr>
      <w:r>
        <w:rPr>
          <w:rFonts w:ascii="Calibri" w:cs="Calibri" w:eastAsia="Calibri" w:hAnsi="Calibri"/>
          <w:color w:val="1A1A1A"/>
          <w:sz w:val="19"/>
          <w:szCs w:val="19"/>
        </w:rPr>
        <w:t xml:space="preserve">Conducted detailed financial assessments of customer income, expenses, and liabilities to structure appropriate debt repayment programs in compliance with regulatory and internal policy requirements.</w:t>
      </w:r>
    </w:p>
    <w:p>
      <w:pPr>
        <w:pStyle w:val="ListParagraph"/>
        <w:numPr>
          <w:ilvl w:val="0"/>
          <w:numId w:val="2"/>
        </w:numPr>
        <w:spacing w:before="30" w:after="30"/>
      </w:pPr>
      <w:r>
        <w:rPr>
          <w:rFonts w:ascii="Calibri" w:cs="Calibri" w:eastAsia="Calibri" w:hAnsi="Calibri"/>
          <w:color w:val="1A1A1A"/>
          <w:sz w:val="19"/>
          <w:szCs w:val="19"/>
        </w:rPr>
        <w:t xml:space="preserve">Managed high-volume complex hardship caseloads with accurate documentation, serving as a technical resource for junior staff on case handling and contributing to team training initiatives.</w:t>
      </w:r>
    </w:p>
    <w:p>
      <w:pPr>
        <w:tabs>
          <w:tab w:val="right" w:pos="9360"/>
        </w:tabs>
        <w:spacing w:before="160" w:after="30"/>
      </w:pPr>
      <w:r>
        <w:rPr>
          <w:rFonts w:ascii="Calibri" w:cs="Calibri" w:eastAsia="Calibri" w:hAnsi="Calibri"/>
          <w:b/>
          <w:bCs/>
          <w:color w:val="1A1A1A"/>
          <w:sz w:val="21"/>
          <w:szCs w:val="21"/>
        </w:rPr>
        <w:t xml:space="preserve">Concentrix</w:t>
      </w:r>
      <w:r>
        <w:rPr>
          <w:rFonts w:ascii="Calibri" w:cs="Calibri" w:eastAsia="Calibri" w:hAnsi="Calibri"/>
          <w:color w:val="555555"/>
          <w:sz w:val="20"/>
          <w:szCs w:val="20"/>
        </w:rPr>
        <w:t xml:space="preserve">  |  </w:t>
      </w:r>
      <w:r>
        <w:rPr>
          <w:rFonts w:ascii="Calibri" w:cs="Calibri" w:eastAsia="Calibri" w:hAnsi="Calibri"/>
          <w:b w:val="false"/>
          <w:bCs w:val="false"/>
          <w:i/>
          <w:iCs/>
          <w:color w:val="555555"/>
          <w:sz w:val="20"/>
          <w:szCs w:val="20"/>
        </w:rPr>
        <w:t xml:space="preserve">Customer Service Representative – PayPal Transactions &amp; Disputes</w:t>
      </w:r>
      <w:r>
        <w:rPr>
          <w:rFonts w:ascii="Calibri" w:cs="Calibri" w:eastAsia="Calibri" w:hAnsi="Calibri"/>
        </w:rPr>
        <w:t xml:space="preserve">	</w:t>
      </w:r>
      <w:r>
        <w:rPr>
          <w:rFonts w:ascii="Calibri" w:cs="Calibri" w:eastAsia="Calibri" w:hAnsi="Calibri"/>
          <w:color w:val="555555"/>
          <w:sz w:val="19"/>
          <w:szCs w:val="19"/>
        </w:rPr>
        <w:t xml:space="preserve">May 2018 – Nov 2019</w:t>
      </w:r>
    </w:p>
    <w:p>
      <w:pPr>
        <w:pStyle w:val="ListParagraph"/>
        <w:numPr>
          <w:ilvl w:val="0"/>
          <w:numId w:val="2"/>
        </w:numPr>
        <w:spacing w:before="30" w:after="30"/>
      </w:pPr>
      <w:r>
        <w:rPr>
          <w:rFonts w:ascii="Calibri" w:cs="Calibri" w:eastAsia="Calibri" w:hAnsi="Calibri"/>
          <w:color w:val="1A1A1A"/>
          <w:sz w:val="19"/>
          <w:szCs w:val="19"/>
        </w:rPr>
        <w:t xml:space="preserve">Managed PayPal transaction disputes and account escalations, performing root-cause analysis, coordinating with internal teams for resolution, and maintaining accurate case documentation across high-volume customer interactions.</w:t>
      </w:r>
    </w:p>
    <w:p>
      <w:pPr>
        <w:spacing w:before="200" w:after="0"/>
      </w:pPr>
      <w:r>
        <w:rPr>
          <w:rFonts w:ascii="Calibri" w:cs="Calibri" w:eastAsia="Calibri" w:hAnsi="Calibri"/>
          <w:b/>
          <w:bCs/>
          <w:color w:val="1F4E79"/>
          <w:sz w:val="22"/>
          <w:szCs w:val="22"/>
        </w:rPr>
        <w:t xml:space="preserve">TECHNICAL SKILLS</w:t>
      </w:r>
    </w:p>
    <w:p>
      <w:pPr>
        <w:pBdr>
          <w:bottom w:val="single" w:color="1F4E79" w:sz="8" w:space="1"/>
        </w:pBdr>
        <w:spacing w:before="0" w:after="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7360"/>
      </w:tblGrid>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Analytics &amp; BI</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Power BI (API integration, Power Query, dashboards, KPI reporting), Advanced Excel (Pivot Tables, Lookups), SAS (data matching)</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Development</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HTML, CSS, JavaScript (full-stack tool development), Batch scripting (Windows), Power Query (data cleaning &amp; transformation)</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Platforms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FinCoorP / Freshservice (admin), Oracle ERP / PRISM (process exposure), eLinq, Microsoft Office Suite</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Methods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Business process mapping, UAT, workflow automation, root cause analysis, change management, requirements gathering</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Deliverables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Process documentation, workflow diagrams (Visio), work instruction manuals, configuration guides, knowledge base articles</w:t>
            </w:r>
          </w:p>
        </w:tc>
      </w:tr>
      <w:tr>
        <w:tc>
          <w:tcPr>
            <w:tcW w:type="dxa" w:w="2000"/>
            <w:tcBorders>
              <w:top w:val="none" w:color="FFFFFF" w:sz="0"/>
              <w:left w:val="none" w:color="FFFFFF" w:sz="0"/>
              <w:bottom w:val="none" w:color="FFFFFF" w:sz="0"/>
              <w:right w:val="none" w:color="FFFFFF" w:sz="0"/>
            </w:tcBorders>
            <w:tcMar>
              <w:top w:type="dxa" w:w="60"/>
              <w:left w:type="dxa" w:w="0"/>
              <w:bottom w:type="dxa" w:w="60"/>
              <w:right w:type="dxa" w:w="120"/>
            </w:tcMar>
          </w:tcPr>
          <w:p>
            <w:r>
              <w:rPr>
                <w:rFonts w:ascii="Calibri" w:cs="Calibri" w:eastAsia="Calibri" w:hAnsi="Calibri"/>
                <w:b/>
                <w:bCs/>
                <w:color w:val="1F4E79"/>
                <w:sz w:val="19"/>
                <w:szCs w:val="19"/>
              </w:rPr>
              <w:t xml:space="preserve">Languages</w:t>
            </w:r>
          </w:p>
        </w:tc>
        <w:tc>
          <w:tcPr>
            <w:tcW w:type="dxa" w:w="7360"/>
            <w:tcBorders>
              <w:top w:val="none" w:color="FFFFFF" w:sz="0"/>
              <w:left w:val="none" w:color="FFFFFF" w:sz="0"/>
              <w:bottom w:val="none" w:color="FFFFFF" w:sz="0"/>
              <w:right w:val="none" w:color="FFFFFF" w:sz="0"/>
            </w:tcBorders>
            <w:tcMar>
              <w:top w:type="dxa" w:w="60"/>
              <w:left w:type="dxa" w:w="0"/>
              <w:bottom w:type="dxa" w:w="60"/>
              <w:right w:type="dxa" w:w="0"/>
            </w:tcMar>
          </w:tcPr>
          <w:p>
            <w:r>
              <w:rPr>
                <w:rFonts w:ascii="Calibri" w:cs="Calibri" w:eastAsia="Calibri" w:hAnsi="Calibri"/>
                <w:color w:val="1A1A1A"/>
                <w:sz w:val="19"/>
                <w:szCs w:val="19"/>
              </w:rPr>
              <w:t xml:space="preserve">English (Fluent), Filipino (Fluent)</w:t>
            </w:r>
          </w:p>
        </w:tc>
      </w:tr>
    </w:tbl>
    <w:p>
      <w:pPr>
        <w:spacing w:before="200" w:after="0"/>
      </w:pPr>
      <w:r>
        <w:rPr>
          <w:rFonts w:ascii="Calibri" w:cs="Calibri" w:eastAsia="Calibri" w:hAnsi="Calibri"/>
          <w:b/>
          <w:bCs/>
          <w:color w:val="1F4E79"/>
          <w:sz w:val="22"/>
          <w:szCs w:val="22"/>
        </w:rPr>
        <w:t xml:space="preserve">PROFESSIONAL DEVELOPMENT</w:t>
      </w:r>
    </w:p>
    <w:p>
      <w:pPr>
        <w:pBdr>
          <w:bottom w:val="single" w:color="1F4E79" w:sz="8" w:space="1"/>
        </w:pBdr>
        <w:spacing w:before="0" w:after="80"/>
      </w:pPr>
    </w:p>
    <w:p>
      <w:pPr>
        <w:tabs>
          <w:tab w:val="right" w:pos="9360"/>
        </w:tabs>
        <w:spacing w:before="80" w:after="30"/>
      </w:pPr>
      <w:r>
        <w:rPr>
          <w:rFonts w:ascii="Calibri" w:cs="Calibri" w:eastAsia="Calibri" w:hAnsi="Calibri"/>
          <w:b/>
          <w:bCs/>
          <w:color w:val="1A1A1A"/>
          <w:sz w:val="20"/>
          <w:szCs w:val="20"/>
        </w:rPr>
        <w:t xml:space="preserve">Toastmasters International</w:t>
      </w:r>
      <w:r>
        <w:rPr>
          <w:rFonts w:ascii="Calibri" w:cs="Calibri" w:eastAsia="Calibri" w:hAnsi="Calibri"/>
        </w:rPr>
        <w:t xml:space="preserve">	</w:t>
      </w:r>
      <w:r>
        <w:rPr>
          <w:rFonts w:ascii="Calibri" w:cs="Calibri" w:eastAsia="Calibri" w:hAnsi="Calibri"/>
          <w:color w:val="555555"/>
          <w:sz w:val="19"/>
          <w:szCs w:val="19"/>
        </w:rPr>
        <w:t xml:space="preserve">Active Member</w:t>
      </w:r>
    </w:p>
    <w:p>
      <w:pPr>
        <w:spacing w:before="0" w:after="0"/>
      </w:pPr>
      <w:r>
        <w:rPr>
          <w:rFonts w:ascii="Calibri" w:cs="Calibri" w:eastAsia="Calibri" w:hAnsi="Calibri"/>
          <w:i/>
          <w:iCs/>
          <w:color w:val="555555"/>
          <w:sz w:val="19"/>
          <w:szCs w:val="19"/>
        </w:rPr>
        <w:t xml:space="preserve">Presentation Mastery Pathway — Level 3</w:t>
      </w:r>
    </w:p>
    <w:p>
      <w:pPr>
        <w:spacing w:before="200" w:after="0"/>
      </w:pPr>
      <w:r>
        <w:rPr>
          <w:rFonts w:ascii="Calibri" w:cs="Calibri" w:eastAsia="Calibri" w:hAnsi="Calibri"/>
          <w:b/>
          <w:bCs/>
          <w:color w:val="1F4E79"/>
          <w:sz w:val="22"/>
          <w:szCs w:val="22"/>
        </w:rPr>
        <w:t xml:space="preserve">EDUCATION</w:t>
      </w:r>
    </w:p>
    <w:p>
      <w:pPr>
        <w:pBdr>
          <w:bottom w:val="single" w:color="1F4E79" w:sz="8" w:space="1"/>
        </w:pBdr>
        <w:spacing w:before="0" w:after="80"/>
      </w:pPr>
    </w:p>
    <w:p>
      <w:pPr>
        <w:tabs>
          <w:tab w:val="right" w:pos="9360"/>
        </w:tabs>
        <w:spacing w:before="80" w:after="30"/>
      </w:pPr>
      <w:r>
        <w:rPr>
          <w:rFonts w:ascii="Calibri" w:cs="Calibri" w:eastAsia="Calibri" w:hAnsi="Calibri"/>
          <w:b/>
          <w:bCs/>
          <w:color w:val="1A1A1A"/>
          <w:sz w:val="20"/>
          <w:szCs w:val="20"/>
        </w:rPr>
        <w:t xml:space="preserve">Mapúa Institute of Technology</w:t>
      </w:r>
      <w:r>
        <w:rPr>
          <w:rFonts w:ascii="Calibri" w:cs="Calibri" w:eastAsia="Calibri" w:hAnsi="Calibri"/>
        </w:rPr>
        <w:t xml:space="preserve">	</w:t>
      </w:r>
      <w:r>
        <w:rPr>
          <w:rFonts w:ascii="Calibri" w:cs="Calibri" w:eastAsia="Calibri" w:hAnsi="Calibri"/>
          <w:color w:val="555555"/>
          <w:sz w:val="19"/>
          <w:szCs w:val="19"/>
        </w:rPr>
        <w:t xml:space="preserve">Manila, Philippines</w:t>
      </w:r>
    </w:p>
    <w:p>
      <w:pPr>
        <w:spacing w:before="0" w:after="0"/>
      </w:pPr>
      <w:r>
        <w:rPr>
          <w:rFonts w:ascii="Calibri" w:cs="Calibri" w:eastAsia="Calibri" w:hAnsi="Calibri"/>
          <w:i/>
          <w:iCs/>
          <w:color w:val="555555"/>
          <w:sz w:val="19"/>
          <w:szCs w:val="19"/>
        </w:rPr>
        <w:t xml:space="preserve">Architecture / Construction Engineering Management — Coursework completed</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2026-03-12T19:42:30.944Z</dcterms:created>
  <dcterms:modified xsi:type="dcterms:W3CDTF">2026-03-12T19:42:30.945Z</dcterms:modified>
</cp:coreProperties>
</file>

<file path=docProps/custom.xml><?xml version="1.0" encoding="utf-8"?>
<Properties xmlns="http://schemas.openxmlformats.org/officeDocument/2006/custom-properties" xmlns:vt="http://schemas.openxmlformats.org/officeDocument/2006/docPropsVTypes"/>
</file>