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EF9E7" w:val="clear"/>
            <w:tcMar>
              <w:top w:type="dxa" w:w="100"/>
              <w:left w:type="dxa" w:w="160"/>
              <w:bottom w:type="dxa" w:w="100"/>
              <w:right w:type="dxa" w:w="160"/>
            </w:tcMar>
          </w:tcPr>
          <w:p>
            <w:r>
              <w:rPr>
                <w:rFonts w:ascii="Arial" w:cs="Arial" w:eastAsia="Arial" w:hAnsi="Arial"/>
                <w:b/>
                <w:bCs/>
                <w:color w:val="E67E22"/>
                <w:sz w:val="20"/>
                <w:szCs w:val="20"/>
              </w:rPr>
              <w:t xml:space="preserve">⚠ PORTFOLIO SAMPLE — For Illustrative Purposes Only: </w:t>
            </w:r>
            <w:r>
              <w:rPr>
                <w:rFonts w:ascii="Arial" w:cs="Arial" w:eastAsia="Arial" w:hAnsi="Arial"/>
                <w:color w:val="333333"/>
                <w:sz w:val="20"/>
                <w:szCs w:val="20"/>
              </w:rPr>
              <w:t xml:space="preserve">This document is a sanitized sample created for portfolio purposes. All organization-specific names, internal system identifiers, and sensitive operational details have been replaced with generic equivalents. The original document was produced during employment and remains confidential.</w:t>
            </w:r>
          </w:p>
        </w:tc>
      </w:tr>
    </w:tbl>
    <w:p>
      <w:pPr>
        <w:spacing w:after="1600"/>
      </w:pPr>
    </w:p>
    <w:p>
      <w:pPr>
        <w:jc w:val="center"/>
      </w:pPr>
      <w:r>
        <w:rPr>
          <w:rFonts w:ascii="Arial" w:cs="Arial" w:eastAsia="Arial" w:hAnsi="Arial"/>
          <w:b/>
          <w:bCs/>
          <w:color w:val="1F4E79"/>
          <w:sz w:val="56"/>
          <w:szCs w:val="56"/>
        </w:rPr>
        <w:t xml:space="preserve">(Service Platform)</w:t>
      </w:r>
    </w:p>
    <w:p>
      <w:pPr>
        <w:spacing w:after="80"/>
        <w:jc w:val="center"/>
      </w:pPr>
      <w:r>
        <w:rPr>
          <w:rFonts w:ascii="Arial" w:cs="Arial" w:eastAsia="Arial" w:hAnsi="Arial"/>
          <w:color w:val="2E75B6"/>
          <w:sz w:val="44"/>
          <w:szCs w:val="44"/>
        </w:rPr>
        <w:t xml:space="preserve">Platform Admin Endorsement</w:t>
      </w:r>
    </w:p>
    <w:p>
      <w:pPr>
        <w:spacing w:after="400"/>
        <w:jc w:val="center"/>
      </w:pPr>
      <w:r>
        <w:rPr>
          <w:rFonts w:ascii="Arial" w:cs="Arial" w:eastAsia="Arial" w:hAnsi="Arial"/>
          <w:i/>
          <w:iCs/>
          <w:color w:val="666666"/>
          <w:sz w:val="24"/>
          <w:szCs w:val="24"/>
        </w:rPr>
        <w:t xml:space="preserve">Operations Summary &amp; Handover Documentation</w:t>
      </w:r>
    </w:p>
    <w:p>
      <w:pPr>
        <w:pBdr>
          <w:bottom w:val="single" w:color="D5E8F0" w:sz="2" w:space="1"/>
        </w:pBdr>
        <w:spacing w:before="200" w:after="200"/>
      </w:pPr>
    </w:p>
    <w:p>
      <w:pPr>
        <w:spacing w:after="200"/>
      </w:pPr>
    </w:p>
    <w:p>
      <w:pPr>
        <w:jc w:val="center"/>
      </w:pPr>
      <w:r>
        <w:rPr>
          <w:rFonts w:ascii="Arial" w:cs="Arial" w:eastAsia="Arial" w:hAnsi="Arial"/>
          <w:color w:val="333333"/>
          <w:sz w:val="24"/>
          <w:szCs w:val="24"/>
        </w:rPr>
        <w:t xml:space="preserve">Author: M. Chuatico</w:t>
      </w:r>
    </w:p>
    <w:p>
      <w:pPr>
        <w:spacing w:after="60"/>
        <w:jc w:val="center"/>
      </w:pPr>
      <w:r>
        <w:rPr>
          <w:rFonts w:ascii="Arial" w:cs="Arial" w:eastAsia="Arial" w:hAnsi="Arial"/>
          <w:color w:val="666666"/>
          <w:sz w:val="20"/>
          <w:szCs w:val="20"/>
        </w:rPr>
        <w:t xml:space="preserve">Platform: Freshservice by Freshworks</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Documentation Summary</w:t>
      </w:r>
    </w:p>
    <w:p>
      <w:pPr>
        <w:spacing w:after="120"/>
        <w:jc w:val="left"/>
      </w:pPr>
      <w:r>
        <w:rPr>
          <w:rFonts w:ascii="Arial" w:cs="Arial" w:eastAsia="Arial" w:hAnsi="Arial"/>
          <w:b w:val="false"/>
          <w:bCs w:val="false"/>
          <w:i w:val="false"/>
          <w:iCs w:val="false"/>
          <w:color w:val="333333"/>
          <w:sz w:val="22"/>
          <w:szCs w:val="22"/>
        </w:rPr>
        <w:t xml:space="preserve">This document summarizes all documentation and operational scope of (Service Platform), covering both UAT and Production environments.</w:t>
      </w:r>
    </w:p>
    <w:p>
      <w:pPr>
        <w:pStyle w:val="Heading2"/>
      </w:pPr>
      <w:r>
        <w:rPr>
          <w:rFonts w:ascii="Arial" w:cs="Arial" w:eastAsia="Arial" w:hAnsi="Arial"/>
        </w:rPr>
        <w:t xml:space="preserve">Relevant Information</w:t>
      </w:r>
    </w:p>
    <w:p>
      <w:pPr>
        <w:pStyle w:val="ListParagraph"/>
        <w:numPr>
          <w:ilvl w:val="0"/>
          <w:numId w:val="2"/>
        </w:numPr>
        <w:spacing w:after="60"/>
      </w:pPr>
      <w:r>
        <w:rPr>
          <w:rFonts w:ascii="Arial" w:cs="Arial" w:eastAsia="Arial" w:hAnsi="Arial"/>
          <w:color w:val="333333"/>
          <w:sz w:val="22"/>
          <w:szCs w:val="22"/>
        </w:rPr>
        <w:t xml:space="preserve">Two instances — (Service Platform) UAT and (Service Platform) Production — are managed by the Platform Admin. Both are renewed through annual agent license subscription renewal, coordinated with IT Procurement.</w:t>
      </w:r>
    </w:p>
    <w:p>
      <w:pPr>
        <w:pStyle w:val="ListParagraph"/>
        <w:numPr>
          <w:ilvl w:val="0"/>
          <w:numId w:val="2"/>
        </w:numPr>
        <w:spacing w:after="60"/>
      </w:pPr>
      <w:r>
        <w:rPr>
          <w:rFonts w:ascii="Arial" w:cs="Arial" w:eastAsia="Arial" w:hAnsi="Arial"/>
          <w:color w:val="333333"/>
          <w:sz w:val="22"/>
          <w:szCs w:val="22"/>
        </w:rPr>
        <w:t xml:space="preserve">Tickets can be generated via two channels: (1) the end-user portal and (2) registered support email addresses.</w:t>
      </w:r>
    </w:p>
    <w:p>
      <w:pPr>
        <w:pStyle w:val="ListParagraph"/>
        <w:numPr>
          <w:ilvl w:val="1"/>
          <w:numId w:val="2"/>
        </w:numPr>
        <w:spacing w:after="40"/>
      </w:pPr>
      <w:r>
        <w:rPr>
          <w:rFonts w:ascii="Arial" w:cs="Arial" w:eastAsia="Arial" w:hAnsi="Arial"/>
          <w:color w:val="666666"/>
          <w:sz w:val="20"/>
          <w:szCs w:val="20"/>
        </w:rPr>
        <w:t xml:space="preserve">(Service Platform) UAT email — [servicedesk-uat@company.com]</w:t>
      </w:r>
    </w:p>
    <w:p>
      <w:pPr>
        <w:pStyle w:val="ListParagraph"/>
        <w:numPr>
          <w:ilvl w:val="1"/>
          <w:numId w:val="2"/>
        </w:numPr>
        <w:spacing w:after="40"/>
      </w:pPr>
      <w:r>
        <w:rPr>
          <w:rFonts w:ascii="Arial" w:cs="Arial" w:eastAsia="Arial" w:hAnsi="Arial"/>
          <w:color w:val="666666"/>
          <w:sz w:val="20"/>
          <w:szCs w:val="20"/>
        </w:rPr>
        <w:t xml:space="preserve">(Service Platform) Production email — [servicedesk@company.com]</w:t>
      </w:r>
    </w:p>
    <w:p>
      <w:pPr>
        <w:pStyle w:val="ListParagraph"/>
        <w:numPr>
          <w:ilvl w:val="0"/>
          <w:numId w:val="2"/>
        </w:numPr>
        <w:spacing w:after="60"/>
      </w:pPr>
      <w:r>
        <w:rPr>
          <w:rFonts w:ascii="Arial" w:cs="Arial" w:eastAsia="Arial" w:hAnsi="Arial"/>
          <w:color w:val="333333"/>
          <w:sz w:val="22"/>
          <w:szCs w:val="22"/>
        </w:rPr>
        <w:t xml:space="preserve">A dedicated service account acts as Admin, powering the API key used in workflow automators and the Treasury automation bot. This separates Bot Admin actions from Human Admin actions.</w:t>
      </w:r>
    </w:p>
    <w:p>
      <w:pPr>
        <w:pStyle w:val="ListParagraph"/>
        <w:numPr>
          <w:ilvl w:val="1"/>
          <w:numId w:val="2"/>
        </w:numPr>
        <w:spacing w:after="40"/>
      </w:pPr>
      <w:r>
        <w:rPr>
          <w:rFonts w:ascii="Arial" w:cs="Arial" w:eastAsia="Arial" w:hAnsi="Arial"/>
          <w:color w:val="666666"/>
          <w:sz w:val="20"/>
          <w:szCs w:val="20"/>
        </w:rPr>
        <w:t xml:space="preserve">UAT Service Account API Key — [REDACTED]</w:t>
      </w:r>
    </w:p>
    <w:p>
      <w:pPr>
        <w:pStyle w:val="ListParagraph"/>
        <w:numPr>
          <w:ilvl w:val="1"/>
          <w:numId w:val="2"/>
        </w:numPr>
        <w:spacing w:after="40"/>
      </w:pPr>
      <w:r>
        <w:rPr>
          <w:rFonts w:ascii="Arial" w:cs="Arial" w:eastAsia="Arial" w:hAnsi="Arial"/>
          <w:color w:val="666666"/>
          <w:sz w:val="20"/>
          <w:szCs w:val="20"/>
        </w:rPr>
        <w:t xml:space="preserve">Production Service Account API Key — [REDACTED]</w:t>
      </w:r>
    </w:p>
    <w:p>
      <w:pPr>
        <w:pStyle w:val="ListParagraph"/>
        <w:numPr>
          <w:ilvl w:val="0"/>
          <w:numId w:val="2"/>
        </w:numPr>
        <w:spacing w:after="60"/>
      </w:pPr>
      <w:r>
        <w:rPr>
          <w:rFonts w:ascii="Arial" w:cs="Arial" w:eastAsia="Arial" w:hAnsi="Arial"/>
          <w:color w:val="333333"/>
          <w:sz w:val="22"/>
          <w:szCs w:val="22"/>
        </w:rPr>
        <w:t xml:space="preserve">Sole control and authority of (Service Platform) resides with the Platform Admin Team and the Division Head.</w:t>
      </w:r>
    </w:p>
    <w:p>
      <w:pPr>
        <w:pStyle w:val="ListParagraph"/>
        <w:numPr>
          <w:ilvl w:val="0"/>
          <w:numId w:val="2"/>
        </w:numPr>
        <w:spacing w:after="60"/>
      </w:pPr>
      <w:r>
        <w:rPr>
          <w:rFonts w:ascii="Arial" w:cs="Arial" w:eastAsia="Arial" w:hAnsi="Arial"/>
          <w:color w:val="333333"/>
          <w:sz w:val="22"/>
          <w:szCs w:val="22"/>
        </w:rPr>
        <w:t xml:space="preserve">For any inquiry, concern, or request to the platform vendor, submit a ticket via the vendor’s support email. If the concern cannot be resolved via email alone:</w:t>
      </w:r>
    </w:p>
    <w:p>
      <w:pPr>
        <w:pStyle w:val="ListParagraph"/>
        <w:numPr>
          <w:ilvl w:val="1"/>
          <w:numId w:val="2"/>
        </w:numPr>
        <w:spacing w:after="40"/>
      </w:pPr>
      <w:r>
        <w:rPr>
          <w:rFonts w:ascii="Arial" w:cs="Arial" w:eastAsia="Arial" w:hAnsi="Arial"/>
          <w:color w:val="666666"/>
          <w:sz w:val="20"/>
          <w:szCs w:val="20"/>
        </w:rPr>
        <w:t xml:space="preserve">For UAT issues: prior coordination required with the vendor. Vendor has UAT access for testing and issue resolution. Note that email notifications are active — use only emails of those involved in testing.</w:t>
      </w:r>
    </w:p>
    <w:p>
      <w:pPr>
        <w:pStyle w:val="ListParagraph"/>
        <w:numPr>
          <w:ilvl w:val="1"/>
          <w:numId w:val="2"/>
        </w:numPr>
        <w:spacing w:after="40"/>
      </w:pPr>
      <w:r>
        <w:rPr>
          <w:rFonts w:ascii="Arial" w:cs="Arial" w:eastAsia="Arial" w:hAnsi="Arial"/>
          <w:color w:val="666666"/>
          <w:sz w:val="20"/>
          <w:szCs w:val="20"/>
        </w:rPr>
        <w:t xml:space="preserve">For Production issues: do not allow any third party to manage the instance independently. Coordinate via the scheduled meeting call or arrange a session and work on it together.</w:t>
      </w:r>
    </w:p>
    <w:p>
      <w:pPr>
        <w:pStyle w:val="ListParagraph"/>
        <w:numPr>
          <w:ilvl w:val="0"/>
          <w:numId w:val="2"/>
        </w:numPr>
        <w:spacing w:after="60"/>
      </w:pPr>
      <w:r>
        <w:rPr>
          <w:rFonts w:ascii="Arial" w:cs="Arial" w:eastAsia="Arial" w:hAnsi="Arial"/>
          <w:color w:val="333333"/>
          <w:sz w:val="22"/>
          <w:szCs w:val="22"/>
        </w:rPr>
        <w:t xml:space="preserve">An automation bot is used in selected service items (e.g., Mission Fund Request, Mission Payment Request) for Treasury. Coordinate with Treasury for any configuration change that may affect their bot, such as API key changes.</w:t>
      </w:r>
    </w:p>
    <w:p>
      <w:pPr>
        <w:pStyle w:val="ListParagraph"/>
        <w:numPr>
          <w:ilvl w:val="0"/>
          <w:numId w:val="2"/>
        </w:numPr>
        <w:spacing w:after="60"/>
      </w:pPr>
      <w:r>
        <w:rPr>
          <w:rFonts w:ascii="Arial" w:cs="Arial" w:eastAsia="Arial" w:hAnsi="Arial"/>
          <w:color w:val="333333"/>
          <w:sz w:val="22"/>
          <w:szCs w:val="22"/>
        </w:rPr>
        <w:t xml:space="preserve">Tickets closed after 1 year of inactivity are archived into a separate folder.</w:t>
      </w:r>
    </w:p>
    <w:p>
      <w:pPr>
        <w:pBdr>
          <w:bottom w:val="single" w:color="D5E8F0" w:sz="2" w:space="1"/>
        </w:pBdr>
        <w:spacing w:before="200" w:after="200"/>
      </w:pPr>
    </w:p>
    <w:p>
      <w:pPr>
        <w:pStyle w:val="Heading2"/>
      </w:pPr>
      <w:r>
        <w:rPr>
          <w:rFonts w:ascii="Arial" w:cs="Arial" w:eastAsia="Arial" w:hAnsi="Arial"/>
        </w:rPr>
        <w:t xml:space="preserve">Process Document Master File</w:t>
      </w:r>
    </w:p>
    <w:p>
      <w:pPr>
        <w:spacing w:after="120"/>
        <w:jc w:val="left"/>
      </w:pPr>
      <w:r>
        <w:rPr>
          <w:rFonts w:ascii="Arial" w:cs="Arial" w:eastAsia="Arial" w:hAnsi="Arial"/>
          <w:b w:val="false"/>
          <w:bCs w:val="false"/>
          <w:i w:val="false"/>
          <w:iCs w:val="false"/>
          <w:color w:val="333333"/>
          <w:sz w:val="22"/>
          <w:szCs w:val="22"/>
        </w:rPr>
        <w:t xml:space="preserve">This document depicts all processes across finance units. The data recorded represents actual processes illustrated via flowcharts. Most processes are already registered in (Service Platform) while others remain in UAT, pending requirements, or are not yet on the roadmap.</w:t>
      </w:r>
    </w:p>
    <w:p>
      <w:pPr>
        <w:pStyle w:val="Heading2"/>
      </w:pPr>
      <w:r>
        <w:rPr>
          <w:rFonts w:ascii="Arial" w:cs="Arial" w:eastAsia="Arial" w:hAnsi="Arial"/>
        </w:rPr>
        <w:t xml:space="preserve">Process Narratives</w:t>
      </w:r>
    </w:p>
    <w:p>
      <w:pPr>
        <w:spacing w:after="120"/>
        <w:jc w:val="left"/>
      </w:pPr>
      <w:r>
        <w:rPr>
          <w:rFonts w:ascii="Arial" w:cs="Arial" w:eastAsia="Arial" w:hAnsi="Arial"/>
          <w:b w:val="false"/>
          <w:bCs w:val="false"/>
          <w:i w:val="false"/>
          <w:iCs w:val="false"/>
          <w:color w:val="333333"/>
          <w:sz w:val="22"/>
          <w:szCs w:val="22"/>
        </w:rPr>
        <w:t xml:space="preserve">Through discussion with each unit’s representatives and process walkthroughs, the Quality Assurance Team prepared process documentation tables summarizing:</w:t>
      </w:r>
    </w:p>
    <w:p>
      <w:pPr>
        <w:pStyle w:val="ListParagraph"/>
        <w:numPr>
          <w:ilvl w:val="0"/>
          <w:numId w:val="2"/>
        </w:numPr>
        <w:spacing w:after="60"/>
      </w:pPr>
      <w:r>
        <w:rPr>
          <w:rFonts w:ascii="Arial" w:cs="Arial" w:eastAsia="Arial" w:hAnsi="Arial"/>
          <w:color w:val="333333"/>
          <w:sz w:val="22"/>
          <w:szCs w:val="22"/>
        </w:rPr>
        <w:t xml:space="preserve">Unit responsible for the process</w:t>
      </w:r>
    </w:p>
    <w:p>
      <w:pPr>
        <w:pStyle w:val="ListParagraph"/>
        <w:numPr>
          <w:ilvl w:val="0"/>
          <w:numId w:val="2"/>
        </w:numPr>
        <w:spacing w:after="60"/>
      </w:pPr>
      <w:r>
        <w:rPr>
          <w:rFonts w:ascii="Arial" w:cs="Arial" w:eastAsia="Arial" w:hAnsi="Arial"/>
          <w:color w:val="333333"/>
          <w:sz w:val="22"/>
          <w:szCs w:val="22"/>
        </w:rPr>
        <w:t xml:space="preserve">Other units and persons involved</w:t>
      </w:r>
    </w:p>
    <w:p>
      <w:pPr>
        <w:pStyle w:val="ListParagraph"/>
        <w:numPr>
          <w:ilvl w:val="0"/>
          <w:numId w:val="2"/>
        </w:numPr>
        <w:spacing w:after="60"/>
      </w:pPr>
      <w:r>
        <w:rPr>
          <w:rFonts w:ascii="Arial" w:cs="Arial" w:eastAsia="Arial" w:hAnsi="Arial"/>
          <w:color w:val="333333"/>
          <w:sz w:val="22"/>
          <w:szCs w:val="22"/>
        </w:rPr>
        <w:t xml:space="preserve">Related SOPs and policies</w:t>
      </w:r>
    </w:p>
    <w:p>
      <w:pPr>
        <w:pStyle w:val="ListParagraph"/>
        <w:numPr>
          <w:ilvl w:val="0"/>
          <w:numId w:val="2"/>
        </w:numPr>
        <w:spacing w:after="60"/>
      </w:pPr>
      <w:r>
        <w:rPr>
          <w:rFonts w:ascii="Arial" w:cs="Arial" w:eastAsia="Arial" w:hAnsi="Arial"/>
          <w:color w:val="333333"/>
          <w:sz w:val="22"/>
          <w:szCs w:val="22"/>
        </w:rPr>
        <w:t xml:space="preserve">Necessary documents and references</w:t>
      </w:r>
    </w:p>
    <w:p>
      <w:pPr>
        <w:pStyle w:val="ListParagraph"/>
        <w:numPr>
          <w:ilvl w:val="0"/>
          <w:numId w:val="2"/>
        </w:numPr>
        <w:spacing w:after="60"/>
      </w:pPr>
      <w:r>
        <w:rPr>
          <w:rFonts w:ascii="Arial" w:cs="Arial" w:eastAsia="Arial" w:hAnsi="Arial"/>
          <w:color w:val="333333"/>
          <w:sz w:val="22"/>
          <w:szCs w:val="22"/>
        </w:rPr>
        <w:t xml:space="preserve">Issues, challenges, remarks, and recommendations</w:t>
      </w:r>
    </w:p>
    <w:p>
      <w:pPr>
        <w:pStyle w:val="Heading2"/>
      </w:pPr>
      <w:r>
        <w:rPr>
          <w:rFonts w:ascii="Arial" w:cs="Arial" w:eastAsia="Arial" w:hAnsi="Arial"/>
        </w:rPr>
        <w:t xml:space="preserve">Service Item Mapping</w:t>
      </w:r>
    </w:p>
    <w:p>
      <w:pPr>
        <w:spacing w:after="120"/>
        <w:jc w:val="left"/>
      </w:pPr>
      <w:r>
        <w:rPr>
          <w:rFonts w:ascii="Arial" w:cs="Arial" w:eastAsia="Arial" w:hAnsi="Arial"/>
          <w:b w:val="false"/>
          <w:bCs w:val="false"/>
          <w:i w:val="false"/>
          <w:iCs w:val="false"/>
          <w:color w:val="333333"/>
          <w:sz w:val="22"/>
          <w:szCs w:val="22"/>
        </w:rPr>
        <w:t xml:space="preserve">Unlike the process document master file, this document is limited to service items created in (Service Platform). It shows service item layouts and high-level flowcharts.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5FB" w:val="clear"/>
            <w:tcMar>
              <w:top w:type="dxa" w:w="100"/>
              <w:left w:type="dxa" w:w="160"/>
              <w:bottom w:type="dxa" w:w="100"/>
              <w:right w:type="dxa" w:w="160"/>
            </w:tcMar>
          </w:tcPr>
          <w:p>
            <w:r>
              <w:rPr>
                <w:rFonts w:ascii="Arial" w:cs="Arial" w:eastAsia="Arial" w:hAnsi="Arial"/>
                <w:b/>
                <w:bCs/>
                <w:color w:val="2E75B6"/>
                <w:sz w:val="20"/>
                <w:szCs w:val="20"/>
              </w:rPr>
              <w:t xml:space="preserve">Current State: </w:t>
            </w:r>
            <w:r>
              <w:rPr>
                <w:rFonts w:ascii="Arial" w:cs="Arial" w:eastAsia="Arial" w:hAnsi="Arial"/>
                <w:color w:val="333333"/>
                <w:sz w:val="20"/>
                <w:szCs w:val="20"/>
              </w:rPr>
              <w:t xml:space="preserve">95 published and active service items in the production catalog.</w:t>
            </w:r>
          </w:p>
        </w:tc>
      </w:tr>
    </w:tbl>
    <w:p>
      <w:pPr>
        <w:pBdr>
          <w:bottom w:val="single" w:color="D5E8F0" w:sz="2" w:space="1"/>
        </w:pBdr>
        <w:spacing w:before="200" w:after="200"/>
      </w:pPr>
    </w:p>
    <w:p>
      <w:pPr>
        <w:pStyle w:val="Heading2"/>
      </w:pPr>
      <w:r>
        <w:rPr>
          <w:rFonts w:ascii="Arial" w:cs="Arial" w:eastAsia="Arial" w:hAnsi="Arial"/>
        </w:rPr>
        <w:t xml:space="preserve">Admin Configurations Mapping</w:t>
      </w:r>
    </w:p>
    <w:p>
      <w:pPr>
        <w:spacing w:after="120"/>
        <w:jc w:val="left"/>
      </w:pPr>
      <w:r>
        <w:rPr>
          <w:rFonts w:ascii="Arial" w:cs="Arial" w:eastAsia="Arial" w:hAnsi="Arial"/>
          <w:b w:val="false"/>
          <w:bCs w:val="false"/>
          <w:i w:val="false"/>
          <w:iCs w:val="false"/>
          <w:color w:val="333333"/>
          <w:sz w:val="22"/>
          <w:szCs w:val="22"/>
        </w:rPr>
        <w:t xml:space="preserve">Workflow automators automate repetitive tasks and manual processes. Every workflow consists of an event, condition, and an action. This document provides detailed explanations of each workflow automator created in (Service Platform).</w:t>
      </w:r>
    </w:p>
    <w:p>
      <w:pPr>
        <w:pStyle w:val="Heading2"/>
      </w:pPr>
      <w:r>
        <w:rPr>
          <w:rFonts w:ascii="Arial" w:cs="Arial" w:eastAsia="Arial" w:hAnsi="Arial"/>
        </w:rPr>
        <w:t xml:space="preserve">Go-Live Documents</w:t>
      </w:r>
    </w:p>
    <w:p>
      <w:pPr>
        <w:spacing w:after="120"/>
        <w:jc w:val="left"/>
      </w:pPr>
      <w:r>
        <w:rPr>
          <w:rFonts w:ascii="Arial" w:cs="Arial" w:eastAsia="Arial" w:hAnsi="Arial"/>
          <w:b w:val="false"/>
          <w:bCs w:val="false"/>
          <w:i w:val="false"/>
          <w:iCs w:val="false"/>
          <w:color w:val="333333"/>
          <w:sz w:val="22"/>
          <w:szCs w:val="22"/>
        </w:rPr>
        <w:t xml:space="preserve">Before a service item is launched, a checklist is created to monitor the key actions taken for the roll-out of a new process. The checklist covers:</w:t>
      </w:r>
    </w:p>
    <w:p>
      <w:pPr>
        <w:pStyle w:val="ListParagraph"/>
        <w:numPr>
          <w:ilvl w:val="0"/>
          <w:numId w:val="2"/>
        </w:numPr>
        <w:spacing w:after="60"/>
      </w:pPr>
      <w:r>
        <w:rPr>
          <w:rFonts w:ascii="Arial" w:cs="Arial" w:eastAsia="Arial" w:hAnsi="Arial"/>
          <w:color w:val="333333"/>
          <w:sz w:val="22"/>
          <w:szCs w:val="22"/>
        </w:rPr>
        <w:t xml:space="preserve">Unit briefing and requirements gathering</w:t>
      </w:r>
    </w:p>
    <w:p>
      <w:pPr>
        <w:pStyle w:val="ListParagraph"/>
        <w:numPr>
          <w:ilvl w:val="0"/>
          <w:numId w:val="2"/>
        </w:numPr>
        <w:spacing w:after="60"/>
      </w:pPr>
      <w:r>
        <w:rPr>
          <w:rFonts w:ascii="Arial" w:cs="Arial" w:eastAsia="Arial" w:hAnsi="Arial"/>
          <w:color w:val="333333"/>
          <w:sz w:val="22"/>
          <w:szCs w:val="22"/>
        </w:rPr>
        <w:t xml:space="preserve">Configuration setup and testing in UAT environment</w:t>
      </w:r>
    </w:p>
    <w:p>
      <w:pPr>
        <w:pStyle w:val="ListParagraph"/>
        <w:numPr>
          <w:ilvl w:val="0"/>
          <w:numId w:val="2"/>
        </w:numPr>
        <w:spacing w:after="60"/>
      </w:pPr>
      <w:r>
        <w:rPr>
          <w:rFonts w:ascii="Arial" w:cs="Arial" w:eastAsia="Arial" w:hAnsi="Arial"/>
          <w:color w:val="333333"/>
          <w:sz w:val="22"/>
          <w:szCs w:val="22"/>
        </w:rPr>
        <w:t xml:space="preserve">Requirements finalization and QA approval</w:t>
      </w:r>
    </w:p>
    <w:p>
      <w:pPr>
        <w:pStyle w:val="ListParagraph"/>
        <w:numPr>
          <w:ilvl w:val="0"/>
          <w:numId w:val="2"/>
        </w:numPr>
        <w:spacing w:after="60"/>
      </w:pPr>
      <w:r>
        <w:rPr>
          <w:rFonts w:ascii="Arial" w:cs="Arial" w:eastAsia="Arial" w:hAnsi="Arial"/>
          <w:color w:val="333333"/>
          <w:sz w:val="22"/>
          <w:szCs w:val="22"/>
        </w:rPr>
        <w:t xml:space="preserve">Configuration replication in Production environment</w:t>
      </w:r>
    </w:p>
    <w:p>
      <w:pPr>
        <w:pStyle w:val="ListParagraph"/>
        <w:numPr>
          <w:ilvl w:val="0"/>
          <w:numId w:val="2"/>
        </w:numPr>
        <w:spacing w:after="60"/>
      </w:pPr>
      <w:r>
        <w:rPr>
          <w:rFonts w:ascii="Arial" w:cs="Arial" w:eastAsia="Arial" w:hAnsi="Arial"/>
          <w:color w:val="333333"/>
          <w:sz w:val="22"/>
          <w:szCs w:val="22"/>
        </w:rPr>
        <w:t xml:space="preserve">Agent training</w:t>
      </w:r>
    </w:p>
    <w:p>
      <w:pPr>
        <w:pStyle w:val="ListParagraph"/>
        <w:numPr>
          <w:ilvl w:val="0"/>
          <w:numId w:val="2"/>
        </w:numPr>
        <w:spacing w:after="60"/>
      </w:pPr>
      <w:r>
        <w:rPr>
          <w:rFonts w:ascii="Arial" w:cs="Arial" w:eastAsia="Arial" w:hAnsi="Arial"/>
          <w:color w:val="333333"/>
          <w:sz w:val="22"/>
          <w:szCs w:val="22"/>
        </w:rPr>
        <w:t xml:space="preserve">Post-deployment monitoring and documentation</w:t>
      </w:r>
    </w:p>
    <w:p>
      <w:pPr>
        <w:pStyle w:val="Heading2"/>
      </w:pPr>
      <w:r>
        <w:rPr>
          <w:rFonts w:ascii="Arial" w:cs="Arial" w:eastAsia="Arial" w:hAnsi="Arial"/>
        </w:rPr>
        <w:t xml:space="preserve">Knowledge Base Solutions</w:t>
      </w:r>
    </w:p>
    <w:p>
      <w:pPr>
        <w:spacing w:after="120"/>
        <w:jc w:val="left"/>
      </w:pPr>
      <w:r>
        <w:rPr>
          <w:rFonts w:ascii="Arial" w:cs="Arial" w:eastAsia="Arial" w:hAnsi="Arial"/>
          <w:b w:val="false"/>
          <w:bCs w:val="false"/>
          <w:i w:val="false"/>
          <w:iCs w:val="false"/>
          <w:color w:val="333333"/>
          <w:sz w:val="22"/>
          <w:szCs w:val="22"/>
        </w:rPr>
        <w:t xml:space="preserve">Solutions are articles containing information about Finance and Accounting topics and FAQs to promote self-help within the support portal. Relevant solution folders include:</w:t>
      </w:r>
    </w:p>
    <w:p>
      <w:pPr>
        <w:pStyle w:val="ListParagraph"/>
        <w:numPr>
          <w:ilvl w:val="0"/>
          <w:numId w:val="2"/>
        </w:numPr>
        <w:spacing w:after="60"/>
      </w:pPr>
      <w:r>
        <w:rPr>
          <w:rFonts w:ascii="Arial" w:cs="Arial" w:eastAsia="Arial" w:hAnsi="Arial"/>
          <w:color w:val="333333"/>
          <w:sz w:val="22"/>
          <w:szCs w:val="22"/>
        </w:rPr>
        <w:t xml:space="preserve">User Guides — Platform, Document Management System, Finance System</w:t>
      </w:r>
    </w:p>
    <w:p>
      <w:pPr>
        <w:pStyle w:val="ListParagraph"/>
        <w:numPr>
          <w:ilvl w:val="0"/>
          <w:numId w:val="2"/>
        </w:numPr>
        <w:spacing w:after="60"/>
      </w:pPr>
      <w:r>
        <w:rPr>
          <w:rFonts w:ascii="Arial" w:cs="Arial" w:eastAsia="Arial" w:hAnsi="Arial"/>
          <w:color w:val="333333"/>
          <w:sz w:val="22"/>
          <w:szCs w:val="22"/>
        </w:rPr>
        <w:t xml:space="preserve">Platform FAQ</w:t>
      </w:r>
    </w:p>
    <w:p>
      <w:pPr>
        <w:pStyle w:val="ListParagraph"/>
        <w:numPr>
          <w:ilvl w:val="0"/>
          <w:numId w:val="2"/>
        </w:numPr>
        <w:spacing w:after="60"/>
      </w:pPr>
      <w:r>
        <w:rPr>
          <w:rFonts w:ascii="Arial" w:cs="Arial" w:eastAsia="Arial" w:hAnsi="Arial"/>
          <w:color w:val="333333"/>
          <w:sz w:val="22"/>
          <w:szCs w:val="22"/>
        </w:rPr>
        <w:t xml:space="preserve">Other useful materials (for Agents)</w:t>
      </w:r>
    </w:p>
    <w:p>
      <w:r>
        <w:br w:type="page"/>
      </w:r>
    </w:p>
    <w:p>
      <w:pPr>
        <w:pStyle w:val="Heading1"/>
      </w:pPr>
      <w:r>
        <w:rPr>
          <w:rFonts w:ascii="Arial" w:cs="Arial" w:eastAsia="Arial" w:hAnsi="Arial"/>
        </w:rPr>
        <w:t xml:space="preserve">Configurations, Enhancements &amp; Reports</w:t>
      </w:r>
    </w:p>
    <w:p>
      <w:pPr>
        <w:pStyle w:val="Heading2"/>
      </w:pPr>
      <w:r>
        <w:rPr>
          <w:rFonts w:ascii="Arial" w:cs="Arial" w:eastAsia="Arial" w:hAnsi="Arial"/>
        </w:rPr>
        <w:t xml:space="preserve">Configuration &amp; Enhancement Governance</w:t>
      </w:r>
    </w:p>
    <w:p>
      <w:pPr>
        <w:spacing w:after="120"/>
        <w:jc w:val="left"/>
      </w:pPr>
      <w:r>
        <w:rPr>
          <w:rFonts w:ascii="Arial" w:cs="Arial" w:eastAsia="Arial" w:hAnsi="Arial"/>
          <w:b w:val="false"/>
          <w:bCs w:val="false"/>
          <w:i w:val="false"/>
          <w:iCs w:val="false"/>
          <w:color w:val="333333"/>
          <w:sz w:val="22"/>
          <w:szCs w:val="22"/>
        </w:rPr>
        <w:t xml:space="preserve">Ongoing configurations and enhancements are documented from background and rationale through to illustrations of how the configuration works. All production changes are documented using a standardized template.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5FB" w:val="clear"/>
            <w:tcMar>
              <w:top w:type="dxa" w:w="100"/>
              <w:left w:type="dxa" w:w="160"/>
              <w:bottom w:type="dxa" w:w="100"/>
              <w:right w:type="dxa" w:w="160"/>
            </w:tcMar>
          </w:tcPr>
          <w:p>
            <w:r>
              <w:rPr>
                <w:rFonts w:ascii="Arial" w:cs="Arial" w:eastAsia="Arial" w:hAnsi="Arial"/>
                <w:b/>
                <w:bCs/>
                <w:color w:val="2E75B6"/>
                <w:sz w:val="20"/>
                <w:szCs w:val="20"/>
              </w:rPr>
              <w:t xml:space="preserve">Governance Cycle: </w:t>
            </w:r>
            <w:r>
              <w:rPr>
                <w:rFonts w:ascii="Arial" w:cs="Arial" w:eastAsia="Arial" w:hAnsi="Arial"/>
                <w:color w:val="333333"/>
                <w:sz w:val="20"/>
                <w:szCs w:val="20"/>
              </w:rPr>
              <w:t xml:space="preserve">The Platform Admin submits the List of Configurations/Enhancements to the Quality Team by the 25th of each month for review and approval. User submission cutoff is the 10th of the month. Only requests completed through Step 4 (UAT testing) by the 25th are included.</w:t>
            </w:r>
          </w:p>
        </w:tc>
      </w:tr>
    </w:tbl>
    <w:p>
      <w:pPr>
        <w:spacing w:after="80"/>
      </w:pPr>
    </w:p>
    <w:p>
      <w:pPr>
        <w:spacing w:after="120"/>
        <w:jc w:val="left"/>
      </w:pPr>
      <w:r>
        <w:rPr>
          <w:rFonts w:ascii="Arial" w:cs="Arial" w:eastAsia="Arial" w:hAnsi="Arial"/>
          <w:b/>
          <w:bCs/>
          <w:i w:val="false"/>
          <w:iCs w:val="false"/>
          <w:color w:val="333333"/>
          <w:sz w:val="20"/>
          <w:szCs w:val="20"/>
        </w:rPr>
        <w:t xml:space="preserve">Illustration of the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Submission Cutoff</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Launch in Production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10th of Month 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 N+1 (or earlier, depending on QT approval)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10th of Month N+1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 N+2 (or earlier, depending on QT approval)</w:t>
            </w:r>
          </w:p>
        </w:tc>
      </w:tr>
    </w:tbl>
    <w:p>
      <w:pPr>
        <w:spacing w:after="120"/>
      </w:pPr>
    </w:p>
    <w:p>
      <w:pPr>
        <w:pStyle w:val="Heading2"/>
      </w:pPr>
      <w:r>
        <w:rPr>
          <w:rFonts w:ascii="Arial" w:cs="Arial" w:eastAsia="Arial" w:hAnsi="Arial"/>
        </w:rPr>
        <w:t xml:space="preserve">Monthly Summary Report</w:t>
      </w:r>
    </w:p>
    <w:p>
      <w:pPr>
        <w:spacing w:after="120"/>
        <w:jc w:val="left"/>
      </w:pPr>
      <w:r>
        <w:rPr>
          <w:rFonts w:ascii="Arial" w:cs="Arial" w:eastAsia="Arial" w:hAnsi="Arial"/>
          <w:b w:val="false"/>
          <w:bCs w:val="false"/>
          <w:i w:val="false"/>
          <w:iCs w:val="false"/>
          <w:color w:val="333333"/>
          <w:sz w:val="22"/>
          <w:szCs w:val="22"/>
        </w:rPr>
        <w:t xml:space="preserve">This report summarizes monthly platform activities across seven sections:</w:t>
      </w:r>
    </w:p>
    <w:p>
      <w:pPr>
        <w:pStyle w:val="ListParagraph"/>
        <w:numPr>
          <w:ilvl w:val="0"/>
          <w:numId w:val="2"/>
        </w:numPr>
        <w:spacing w:after="60"/>
      </w:pPr>
      <w:r>
        <w:rPr>
          <w:rFonts w:ascii="Arial" w:cs="Arial" w:eastAsia="Arial" w:hAnsi="Arial"/>
          <w:color w:val="333333"/>
          <w:sz w:val="22"/>
          <w:szCs w:val="22"/>
        </w:rPr>
        <w:t xml:space="preserve">Issues Reported and Support Requests</w:t>
      </w:r>
    </w:p>
    <w:p>
      <w:pPr>
        <w:pStyle w:val="ListParagraph"/>
        <w:numPr>
          <w:ilvl w:val="0"/>
          <w:numId w:val="2"/>
        </w:numPr>
        <w:spacing w:after="60"/>
      </w:pPr>
      <w:r>
        <w:rPr>
          <w:rFonts w:ascii="Arial" w:cs="Arial" w:eastAsia="Arial" w:hAnsi="Arial"/>
          <w:color w:val="333333"/>
          <w:sz w:val="22"/>
          <w:szCs w:val="22"/>
        </w:rPr>
        <w:t xml:space="preserve">Enhancements and Optimization</w:t>
      </w:r>
    </w:p>
    <w:p>
      <w:pPr>
        <w:pStyle w:val="ListParagraph"/>
        <w:numPr>
          <w:ilvl w:val="0"/>
          <w:numId w:val="2"/>
        </w:numPr>
        <w:spacing w:after="60"/>
      </w:pPr>
      <w:r>
        <w:rPr>
          <w:rFonts w:ascii="Arial" w:cs="Arial" w:eastAsia="Arial" w:hAnsi="Arial"/>
          <w:color w:val="333333"/>
          <w:sz w:val="22"/>
          <w:szCs w:val="22"/>
        </w:rPr>
        <w:t xml:space="preserve">Feature Requests</w:t>
      </w:r>
    </w:p>
    <w:p>
      <w:pPr>
        <w:pStyle w:val="ListParagraph"/>
        <w:numPr>
          <w:ilvl w:val="0"/>
          <w:numId w:val="2"/>
        </w:numPr>
        <w:spacing w:after="60"/>
      </w:pPr>
      <w:r>
        <w:rPr>
          <w:rFonts w:ascii="Arial" w:cs="Arial" w:eastAsia="Arial" w:hAnsi="Arial"/>
          <w:color w:val="333333"/>
          <w:sz w:val="22"/>
          <w:szCs w:val="22"/>
        </w:rPr>
        <w:t xml:space="preserve">Process Go-Live</w:t>
      </w:r>
    </w:p>
    <w:p>
      <w:pPr>
        <w:pStyle w:val="ListParagraph"/>
        <w:numPr>
          <w:ilvl w:val="0"/>
          <w:numId w:val="2"/>
        </w:numPr>
        <w:spacing w:after="60"/>
      </w:pPr>
      <w:r>
        <w:rPr>
          <w:rFonts w:ascii="Arial" w:cs="Arial" w:eastAsia="Arial" w:hAnsi="Arial"/>
          <w:color w:val="333333"/>
          <w:sz w:val="22"/>
          <w:szCs w:val="22"/>
        </w:rPr>
        <w:t xml:space="preserve">Integration Updates</w:t>
      </w:r>
    </w:p>
    <w:p>
      <w:pPr>
        <w:pStyle w:val="ListParagraph"/>
        <w:numPr>
          <w:ilvl w:val="0"/>
          <w:numId w:val="2"/>
        </w:numPr>
        <w:spacing w:after="60"/>
      </w:pPr>
      <w:r>
        <w:rPr>
          <w:rFonts w:ascii="Arial" w:cs="Arial" w:eastAsia="Arial" w:hAnsi="Arial"/>
          <w:color w:val="333333"/>
          <w:sz w:val="22"/>
          <w:szCs w:val="22"/>
        </w:rPr>
        <w:t xml:space="preserve">User Support</w:t>
      </w:r>
    </w:p>
    <w:p>
      <w:pPr>
        <w:pStyle w:val="ListParagraph"/>
        <w:numPr>
          <w:ilvl w:val="0"/>
          <w:numId w:val="2"/>
        </w:numPr>
        <w:spacing w:after="60"/>
      </w:pPr>
      <w:r>
        <w:rPr>
          <w:rFonts w:ascii="Arial" w:cs="Arial" w:eastAsia="Arial" w:hAnsi="Arial"/>
          <w:color w:val="333333"/>
          <w:sz w:val="22"/>
          <w:szCs w:val="22"/>
        </w:rPr>
        <w:t xml:space="preserve">Other Projects and Activities</w:t>
      </w:r>
    </w:p>
    <w:p>
      <w:pPr>
        <w:pStyle w:val="Heading2"/>
      </w:pPr>
      <w:r>
        <w:rPr>
          <w:rFonts w:ascii="Arial" w:cs="Arial" w:eastAsia="Arial" w:hAnsi="Arial"/>
        </w:rPr>
        <w:t xml:space="preserve">Monthly Service Delivery Report</w:t>
      </w:r>
    </w:p>
    <w:p>
      <w:pPr>
        <w:spacing w:after="120"/>
        <w:jc w:val="left"/>
      </w:pPr>
      <w:r>
        <w:rPr>
          <w:rFonts w:ascii="Arial" w:cs="Arial" w:eastAsia="Arial" w:hAnsi="Arial"/>
          <w:b w:val="false"/>
          <w:bCs w:val="false"/>
          <w:i w:val="false"/>
          <w:iCs w:val="false"/>
          <w:color w:val="333333"/>
          <w:sz w:val="22"/>
          <w:szCs w:val="22"/>
        </w:rPr>
        <w:t xml:space="preserve">Initiated by the Division Head, this report consolidates monthly highlights, issues encountered, and remedial actions by agent group. Upon sending monthly analytics reports to team leads, this report collects their inputs on progress and challenges.</w:t>
      </w:r>
    </w:p>
    <w:p>
      <w:pPr>
        <w:pStyle w:val="Heading2"/>
      </w:pPr>
      <w:r>
        <w:rPr>
          <w:rFonts w:ascii="Arial" w:cs="Arial" w:eastAsia="Arial" w:hAnsi="Arial"/>
        </w:rPr>
        <w:t xml:space="preserve">Platform Monitoring File</w:t>
      </w:r>
    </w:p>
    <w:p>
      <w:pPr>
        <w:spacing w:after="120"/>
        <w:jc w:val="left"/>
      </w:pPr>
      <w:r>
        <w:rPr>
          <w:rFonts w:ascii="Arial" w:cs="Arial" w:eastAsia="Arial" w:hAnsi="Arial"/>
          <w:b w:val="false"/>
          <w:bCs w:val="false"/>
          <w:i w:val="false"/>
          <w:iCs w:val="false"/>
          <w:color w:val="333333"/>
          <w:sz w:val="22"/>
          <w:szCs w:val="22"/>
        </w:rPr>
        <w:t xml:space="preserve">A daily workload log tracking user support requests, tasks completed, and communications with the platform vendor. Used as a supporting document for the monthly Admin Summary Report.</w:t>
      </w:r>
    </w:p>
    <w:p>
      <w:pPr>
        <w:pStyle w:val="Heading2"/>
      </w:pPr>
      <w:r>
        <w:rPr>
          <w:rFonts w:ascii="Arial" w:cs="Arial" w:eastAsia="Arial" w:hAnsi="Arial"/>
        </w:rPr>
        <w:t xml:space="preserve">Document Management System</w:t>
      </w:r>
    </w:p>
    <w:p>
      <w:pPr>
        <w:spacing w:after="120"/>
        <w:jc w:val="left"/>
      </w:pPr>
      <w:r>
        <w:rPr>
          <w:rFonts w:ascii="Arial" w:cs="Arial" w:eastAsia="Arial" w:hAnsi="Arial"/>
          <w:b w:val="false"/>
          <w:bCs w:val="false"/>
          <w:i w:val="false"/>
          <w:iCs w:val="false"/>
          <w:color w:val="333333"/>
          <w:sz w:val="22"/>
          <w:szCs w:val="22"/>
        </w:rPr>
        <w:t xml:space="preserve">A centralized database repository of all platform-related documents: meetings, reports, issues, change requests, optimization and improvement records, product enhancements, go-live documentation, service item mapping, training materials, and other operational artifacts.</w:t>
      </w:r>
    </w:p>
    <w:p>
      <w:r>
        <w:br w:type="page"/>
      </w:r>
    </w:p>
    <w:p>
      <w:pPr>
        <w:pStyle w:val="Heading1"/>
      </w:pPr>
      <w:r>
        <w:rPr>
          <w:rFonts w:ascii="Arial" w:cs="Arial" w:eastAsia="Arial" w:hAnsi="Arial"/>
        </w:rPr>
        <w:t xml:space="preserve">Deliverables Schedule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Platform Reports (8 generated reports + 1 narrative)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1st working day of the 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Link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Long Unresolved Tickets Report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1st working day of the 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Link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Admin Summary Report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7th working day of the 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Link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of Enhancements/Configurations for QT Approval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(submit by 25th)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Link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Summary narratives for QA Team Head meeting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1st Tuesday of the 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Monitoring File (daily workload)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Link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License Renewal (Production + UAT)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Annually (coord. with IT Procurement)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Cleanup activity (agents, KB, workflow automators, supervisor rules, reports, roles)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 least twice a year (agents); as needed (others)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Platform Meeting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Semi-monthly / Monthly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Link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Quarterly Business Review with vendor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Quarterly (historically 1–2x/year)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 hoc tasks (YE documentation, report creation, presentation materials)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r>
    </w:tbl>
    <w:p>
      <w:pPr>
        <w:spacing w:after="200"/>
      </w:pPr>
    </w:p>
    <w:p>
      <w:pPr>
        <w:pBdr>
          <w:bottom w:val="single" w:color="D5E8F0" w:sz="2" w:space="1"/>
        </w:pBdr>
        <w:spacing w:before="200" w:after="200"/>
      </w:pPr>
    </w:p>
    <w:p>
      <w:pPr>
        <w:spacing w:before="200"/>
        <w:jc w:val="center"/>
      </w:pPr>
      <w:r>
        <w:rPr>
          <w:rFonts w:ascii="Arial" w:cs="Arial" w:eastAsia="Arial" w:hAnsi="Arial"/>
          <w:i/>
          <w:iCs/>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666666"/>
        <w:sz w:val="16"/>
        <w:szCs w:val="16"/>
      </w:rPr>
      <w:t xml:space="preserve">(Service Platform)  |  Platform Admin Endorsement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2026-03-17T22:12:34.504Z</dcterms:created>
  <dcterms:modified xsi:type="dcterms:W3CDTF">2026-03-17T22:12:34.505Z</dcterms:modified>
</cp:coreProperties>
</file>

<file path=docProps/custom.xml><?xml version="1.0" encoding="utf-8"?>
<Properties xmlns="http://schemas.openxmlformats.org/officeDocument/2006/custom-properties" xmlns:vt="http://schemas.openxmlformats.org/officeDocument/2006/docPropsVTypes"/>
</file>