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a1a1a"/>
          <w:sz w:val="28"/>
          <w:szCs w:val="28"/>
        </w:rPr>
        <w:t xml:space="preserve">MYLES JOSHUA CHUATICO</w:t>
      </w:r>
    </w:p>
    <w:p>
      <w:pPr>
        <w:spacing w:after="20"/>
        <w:jc w:val="center"/>
      </w:pPr>
      <w:r>
        <w:rPr>
          <w:rFonts w:ascii="Calibri" w:cs="Calibri" w:eastAsia="Calibri" w:hAnsi="Calibri"/>
          <w:color w:val="555555"/>
          <w:sz w:val="20"/>
          <w:szCs w:val="20"/>
        </w:rPr>
        <w:t xml:space="preserve">Business Analyst  |  Process Improvement  |  Systems &amp; Reporting</w:t>
      </w:r>
    </w:p>
    <w:p>
      <w:pPr>
        <w:spacing w:after="40"/>
        <w:jc w:val="center"/>
      </w:pPr>
      <w:r>
        <w:rPr>
          <w:rFonts w:ascii="Calibri" w:cs="Calibri" w:eastAsia="Calibri" w:hAnsi="Calibri"/>
          <w:color w:val="555555"/>
          <w:sz w:val="18"/>
          <w:szCs w:val="18"/>
        </w:rPr>
        <w:t xml:space="preserve">Orange County, CA  •  myles.chuatico@gmail.com  •  (657) 331-2995</w:t>
      </w:r>
    </w:p>
    <w:p>
      <w:pPr>
        <w:spacing w:after="80"/>
        <w:jc w:val="center"/>
      </w:pPr>
      <w:r>
        <w:rPr>
          <w:rFonts w:ascii="Calibri" w:cs="Calibri" w:eastAsia="Calibri" w:hAnsi="Calibri"/>
          <w:color w:val="555555"/>
          <w:sz w:val="18"/>
          <w:szCs w:val="18"/>
        </w:rPr>
        <w:t xml:space="preserve">linkedin.com/in/myles-joshua-chuatico-61b7b42a1  •  Portfolio: myles-chuatico.github.io</w:t>
      </w:r>
    </w:p>
    <w:p>
      <w:pPr>
        <w:pBdr>
          <w:bottom w:val="single" w:color="2b4c7e" w:sz="4" w:space="2"/>
        </w:pBdr>
        <w:spacing w:before="200" w:after="80"/>
      </w:pPr>
      <w:r>
        <w:rPr>
          <w:rFonts w:ascii="Calibri" w:cs="Calibri" w:eastAsia="Calibri" w:hAnsi="Calibri"/>
          <w:b/>
          <w:bCs/>
          <w:color w:val="2b4c7e"/>
          <w:sz w:val="22"/>
          <w:szCs w:val="22"/>
        </w:rPr>
        <w:t xml:space="preserve">PROFESSIONAL SUMMARY</w:t>
      </w:r>
    </w:p>
    <w:p>
      <w:pPr>
        <w:spacing w:before="0" w:after="60"/>
        <w:jc w:val="left"/>
      </w:pPr>
      <w:r>
        <w:rPr>
          <w:rFonts w:ascii="Calibri" w:cs="Calibri" w:eastAsia="Calibri" w:hAnsi="Calibri"/>
          <w:b w:val="false"/>
          <w:bCs w:val="false"/>
          <w:i w:val="false"/>
          <w:iCs w:val="false"/>
          <w:color w:val="1a1a1a"/>
          <w:sz w:val="20"/>
          <w:szCs w:val="20"/>
        </w:rPr>
        <w:t xml:space="preserve">7+ years across HSBC and IOM/UN Migration. Started in frontline financial services as the team’s subject matter expert, structuring debt repayment solutions and setting the training standard for new hires. Moved into coaching and performance analysis across 3–4 teams, then was competitively selected as acting change manager — building decision-support tools and reporting pipelines for 100+ agents. Most recently led enterprise ITSM platform administration across 5 global units, designing automation, deploying workflows from requirements through production, and restoring KPI accuracy through root cause analysis on 23,697 records. Portfolio: myles-chuatico.github.io</w:t>
      </w:r>
    </w:p>
    <w:p>
      <w:pPr>
        <w:pBdr>
          <w:bottom w:val="single" w:color="2b4c7e" w:sz="4" w:space="2"/>
        </w:pBdr>
        <w:spacing w:before="200" w:after="80"/>
      </w:pPr>
      <w:r>
        <w:rPr>
          <w:rFonts w:ascii="Calibri" w:cs="Calibri" w:eastAsia="Calibri" w:hAnsi="Calibri"/>
          <w:b/>
          <w:bCs/>
          <w:color w:val="2b4c7e"/>
          <w:sz w:val="22"/>
          <w:szCs w:val="22"/>
        </w:rPr>
        <w:t xml:space="preserve">PROFESSIONAL EXPERIENCE</w:t>
      </w:r>
    </w:p>
    <w:p>
      <w:pPr>
        <w:tabs>
          <w:tab w:val="right" w:pos="10080"/>
        </w:tabs>
        <w:spacing w:before="140" w:after="20"/>
      </w:pPr>
      <w:r>
        <w:rPr>
          <w:rFonts w:ascii="Calibri" w:cs="Calibri" w:eastAsia="Calibri" w:hAnsi="Calibri"/>
          <w:b/>
          <w:bCs/>
          <w:color w:val="1a1a1a"/>
          <w:sz w:val="20"/>
          <w:szCs w:val="20"/>
        </w:rPr>
        <w:t xml:space="preserve">International Organization for Migration (IOM — UN)</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Finance Associate, Quality Assurance &amp; Business Process Improvement</w:t>
      </w:r>
      <w:r>
        <w:rPr>
          <w:rFonts w:ascii="Calibri" w:cs="Calibri" w:eastAsia="Calibri" w:hAnsi="Calibri"/>
          <w:sz w:val="20"/>
          <w:szCs w:val="20"/>
        </w:rPr>
        <w:t xml:space="preserve">	</w:t>
      </w:r>
      <w:r>
        <w:rPr>
          <w:rFonts w:ascii="Calibri" w:cs="Calibri" w:eastAsia="Calibri" w:hAnsi="Calibri"/>
          <w:color w:val="555555"/>
          <w:sz w:val="20"/>
          <w:szCs w:val="20"/>
        </w:rPr>
        <w:t xml:space="preserve">May 2025 – Feb 2026</w:t>
      </w:r>
    </w:p>
    <w:p>
      <w:pPr>
        <w:spacing w:before="0" w:after="40"/>
      </w:pPr>
      <w:r>
        <w:rPr>
          <w:rFonts w:ascii="Calibri" w:cs="Calibri" w:eastAsia="Calibri" w:hAnsi="Calibri"/>
          <w:i/>
          <w:iCs/>
          <w:color w:val="555555"/>
          <w:sz w:val="18"/>
          <w:szCs w:val="18"/>
        </w:rPr>
        <w:t xml:space="preserve">Enterprise ITSM platform administration across 5 global finance units | FinCoorP (Freshservice), 100+ service items, ~96K tickets/year</w:t>
      </w:r>
    </w:p>
    <w:p>
      <w:pPr>
        <w:pStyle w:val="ListParagraph"/>
        <w:numPr>
          <w:ilvl w:val="0"/>
          <w:numId w:val="2"/>
        </w:numPr>
        <w:spacing w:before="20" w:after="20"/>
      </w:pPr>
      <w:r>
        <w:rPr>
          <w:rFonts w:ascii="Calibri" w:cs="Calibri" w:eastAsia="Calibri" w:hAnsi="Calibri"/>
          <w:color w:val="1a1a1a"/>
          <w:sz w:val="20"/>
          <w:szCs w:val="20"/>
        </w:rPr>
        <w:t xml:space="preserve">Built a Power BI dashboard suite with direct FinCoorP (Freshservice) REST API integration, translating stakeholder reporting requirements into a live, self-serve solution that replaced manual weekly distribution to 12+ stakeholders.</w:t>
      </w:r>
    </w:p>
    <w:p>
      <w:pPr>
        <w:pStyle w:val="ListParagraph"/>
        <w:numPr>
          <w:ilvl w:val="0"/>
          <w:numId w:val="2"/>
        </w:numPr>
        <w:spacing w:before="20" w:after="20"/>
      </w:pPr>
      <w:r>
        <w:rPr>
          <w:rFonts w:ascii="Calibri" w:cs="Calibri" w:eastAsia="Calibri" w:hAnsi="Calibri"/>
          <w:color w:val="1a1a1a"/>
          <w:sz w:val="20"/>
          <w:szCs w:val="20"/>
        </w:rPr>
        <w:t xml:space="preserve">Designed and implemented FinCoorP’s entire business rules and automation layer across all service items, eliminating manual field entry on ~8,000 tickets/month.</w:t>
      </w:r>
    </w:p>
    <w:p>
      <w:pPr>
        <w:pStyle w:val="ListParagraph"/>
        <w:numPr>
          <w:ilvl w:val="0"/>
          <w:numId w:val="2"/>
        </w:numPr>
        <w:spacing w:before="20" w:after="20"/>
      </w:pPr>
      <w:r>
        <w:rPr>
          <w:rFonts w:ascii="Calibri" w:cs="Calibri" w:eastAsia="Calibri" w:hAnsi="Calibri"/>
          <w:color w:val="1a1a1a"/>
          <w:sz w:val="20"/>
          <w:szCs w:val="20"/>
        </w:rPr>
        <w:t xml:space="preserve">Conducted root cause analysis on 23,697 anomalous records, tracing 98.6% to a single system integration error and restoring KPI reporting accuracy across 5 global units.</w:t>
      </w:r>
    </w:p>
    <w:p>
      <w:pPr>
        <w:pStyle w:val="ListParagraph"/>
        <w:numPr>
          <w:ilvl w:val="0"/>
          <w:numId w:val="2"/>
        </w:numPr>
        <w:spacing w:before="20" w:after="20"/>
      </w:pPr>
      <w:r>
        <w:rPr>
          <w:rFonts w:ascii="Calibri" w:cs="Calibri" w:eastAsia="Calibri" w:hAnsi="Calibri"/>
          <w:color w:val="1a1a1a"/>
          <w:sz w:val="20"/>
          <w:szCs w:val="20"/>
        </w:rPr>
        <w:t xml:space="preserve">Led full requirements-to-deployment lifecycle for 4 FinCoorP service workflows — requirements gathering, specification, UAT configuration, production rollout — replacing manual email requests with tracked, SLA-enforced processes.</w:t>
      </w:r>
    </w:p>
    <w:p>
      <w:pPr>
        <w:pStyle w:val="ListParagraph"/>
        <w:numPr>
          <w:ilvl w:val="0"/>
          <w:numId w:val="2"/>
        </w:numPr>
        <w:spacing w:before="20" w:after="20"/>
      </w:pPr>
      <w:r>
        <w:rPr>
          <w:rFonts w:ascii="Calibri" w:cs="Calibri" w:eastAsia="Calibri" w:hAnsi="Calibri"/>
          <w:color w:val="1a1a1a"/>
          <w:sz w:val="20"/>
          <w:szCs w:val="20"/>
        </w:rPr>
        <w:t xml:space="preserve">Authored FinCoorP’s 154-page master guide covering all Freshservice modules, workflows, SLA policies, automations, and system operations — the primary onboarding and operational reference across all finance units.</w:t>
      </w:r>
    </w:p>
    <w:p>
      <w:pPr>
        <w:pStyle w:val="ListParagraph"/>
        <w:numPr>
          <w:ilvl w:val="0"/>
          <w:numId w:val="2"/>
        </w:numPr>
        <w:spacing w:before="20" w:after="20"/>
      </w:pPr>
      <w:r>
        <w:rPr>
          <w:rFonts w:ascii="Calibri" w:cs="Calibri" w:eastAsia="Calibri" w:hAnsi="Calibri"/>
          <w:color w:val="1a1a1a"/>
          <w:sz w:val="20"/>
          <w:szCs w:val="20"/>
        </w:rPr>
        <w:t xml:space="preserve">Elevated platform operations by introducing previously unused technical capabilities; managed system configuration, user access controls, service catalog, and led quarterly vendor reviews and compliance audits.</w:t>
      </w:r>
    </w:p>
    <w:p>
      <w:pPr>
        <w:tabs>
          <w:tab w:val="right" w:pos="10080"/>
        </w:tabs>
        <w:spacing w:before="140" w:after="20"/>
      </w:pPr>
      <w:r>
        <w:rPr>
          <w:rFonts w:ascii="Calibri" w:cs="Calibri" w:eastAsia="Calibri" w:hAnsi="Calibri"/>
          <w:b/>
          <w:bCs/>
          <w:color w:val="1a1a1a"/>
          <w:sz w:val="20"/>
          <w:szCs w:val="20"/>
        </w:rPr>
        <w:t xml:space="preserve">HSBC</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Change Manager, Operations (Acting)</w:t>
      </w:r>
      <w:r>
        <w:rPr>
          <w:rFonts w:ascii="Calibri" w:cs="Calibri" w:eastAsia="Calibri" w:hAnsi="Calibri"/>
          <w:sz w:val="20"/>
          <w:szCs w:val="20"/>
        </w:rPr>
        <w:t xml:space="preserve">	</w:t>
      </w:r>
      <w:r>
        <w:rPr>
          <w:rFonts w:ascii="Calibri" w:cs="Calibri" w:eastAsia="Calibri" w:hAnsi="Calibri"/>
          <w:color w:val="555555"/>
          <w:sz w:val="20"/>
          <w:szCs w:val="20"/>
        </w:rPr>
        <w:t xml:space="preserve">Aug 2024 – Feb 2025</w:t>
      </w:r>
    </w:p>
    <w:p>
      <w:pPr>
        <w:spacing w:before="0" w:after="40"/>
      </w:pPr>
      <w:r>
        <w:rPr>
          <w:rFonts w:ascii="Calibri" w:cs="Calibri" w:eastAsia="Calibri" w:hAnsi="Calibri"/>
          <w:i/>
          <w:iCs/>
          <w:color w:val="555555"/>
          <w:sz w:val="18"/>
          <w:szCs w:val="18"/>
        </w:rPr>
        <w:t xml:space="preserve">Selected for short-term acting assignment | Built tools and reporting pipelines for department-wide change initiatives</w:t>
      </w:r>
    </w:p>
    <w:p>
      <w:pPr>
        <w:pStyle w:val="ListParagraph"/>
        <w:numPr>
          <w:ilvl w:val="0"/>
          <w:numId w:val="2"/>
        </w:numPr>
        <w:spacing w:before="20" w:after="20"/>
      </w:pPr>
      <w:r>
        <w:rPr>
          <w:rFonts w:ascii="Calibri" w:cs="Calibri" w:eastAsia="Calibri" w:hAnsi="Calibri"/>
          <w:color w:val="1a1a1a"/>
          <w:sz w:val="20"/>
          <w:szCs w:val="20"/>
        </w:rPr>
        <w:t xml:space="preserve">Self-initiated and delivered a decision-support tool (HTML/CSS/JavaScript) that standardized business rules for repayment plan routing department-wide, reducing plan errors, callbacks, and handling time. Led requirements analysis, workflow design in Visio, solution development, and rollout.</w:t>
      </w:r>
    </w:p>
    <w:p>
      <w:pPr>
        <w:pStyle w:val="ListParagraph"/>
        <w:numPr>
          <w:ilvl w:val="0"/>
          <w:numId w:val="2"/>
        </w:numPr>
        <w:spacing w:before="20" w:after="20"/>
      </w:pPr>
      <w:r>
        <w:rPr>
          <w:rFonts w:ascii="Calibri" w:cs="Calibri" w:eastAsia="Calibri" w:hAnsi="Calibri"/>
          <w:color w:val="1a1a1a"/>
          <w:sz w:val="20"/>
          <w:szCs w:val="20"/>
        </w:rPr>
        <w:t xml:space="preserve">Identified unreported tool utilization gap across 100+ agents; defined requirements, built the full reporting pipeline on restricted endpoints — Task Scheduler, Power Query, SAS match — delivering weekly reports that drove targeted training.</w:t>
      </w:r>
    </w:p>
    <w:p>
      <w:pPr>
        <w:pStyle w:val="ListParagraph"/>
        <w:numPr>
          <w:ilvl w:val="0"/>
          <w:numId w:val="2"/>
        </w:numPr>
        <w:spacing w:before="20" w:after="20"/>
      </w:pPr>
      <w:r>
        <w:rPr>
          <w:rFonts w:ascii="Calibri" w:cs="Calibri" w:eastAsia="Calibri" w:hAnsi="Calibri"/>
          <w:color w:val="1a1a1a"/>
          <w:sz w:val="20"/>
          <w:szCs w:val="20"/>
        </w:rPr>
        <w:t xml:space="preserve">Managed change requests, stakeholder communications, rollout planning, and process documentation for department-wide initiatives.</w:t>
      </w:r>
    </w:p>
    <w:p>
      <w:pPr>
        <w:tabs>
          <w:tab w:val="right" w:pos="10080"/>
        </w:tabs>
        <w:spacing w:before="140" w:after="20"/>
      </w:pPr>
      <w:r>
        <w:rPr>
          <w:rFonts w:ascii="Calibri" w:cs="Calibri" w:eastAsia="Calibri" w:hAnsi="Calibri"/>
          <w:b/>
          <w:bCs/>
          <w:color w:val="1a1a1a"/>
          <w:sz w:val="20"/>
          <w:szCs w:val="20"/>
        </w:rPr>
        <w:t xml:space="preserve">HSBC</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Performance Coach, Operations</w:t>
      </w:r>
      <w:r>
        <w:rPr>
          <w:rFonts w:ascii="Calibri" w:cs="Calibri" w:eastAsia="Calibri" w:hAnsi="Calibri"/>
          <w:sz w:val="20"/>
          <w:szCs w:val="20"/>
        </w:rPr>
        <w:t xml:space="preserve">	</w:t>
      </w:r>
      <w:r>
        <w:rPr>
          <w:rFonts w:ascii="Calibri" w:cs="Calibri" w:eastAsia="Calibri" w:hAnsi="Calibri"/>
          <w:color w:val="555555"/>
          <w:sz w:val="20"/>
          <w:szCs w:val="20"/>
        </w:rPr>
        <w:t xml:space="preserve">Nov 2022 – May 2025</w:t>
      </w:r>
    </w:p>
    <w:p>
      <w:pPr>
        <w:spacing w:before="0" w:after="40"/>
      </w:pPr>
      <w:r>
        <w:rPr>
          <w:rFonts w:ascii="Calibri" w:cs="Calibri" w:eastAsia="Calibri" w:hAnsi="Calibri"/>
          <w:i/>
          <w:iCs/>
          <w:color w:val="555555"/>
          <w:sz w:val="18"/>
          <w:szCs w:val="18"/>
        </w:rPr>
        <w:t xml:space="preserve">Performance analysis and coaching across 3–4 operations teams | Identified trends, reported to leadership, drove process compliance</w:t>
      </w:r>
    </w:p>
    <w:p>
      <w:pPr>
        <w:pStyle w:val="ListParagraph"/>
        <w:numPr>
          <w:ilvl w:val="0"/>
          <w:numId w:val="2"/>
        </w:numPr>
        <w:spacing w:before="20" w:after="20"/>
      </w:pPr>
      <w:r>
        <w:rPr>
          <w:rFonts w:ascii="Calibri" w:cs="Calibri" w:eastAsia="Calibri" w:hAnsi="Calibri"/>
          <w:color w:val="1a1a1a"/>
          <w:sz w:val="20"/>
          <w:szCs w:val="20"/>
        </w:rPr>
        <w:t xml:space="preserve">Coached 3–4 teams (8–10 agents each); consistently improved outlier performance through structured 1:1 analysis and coaching, developing bottom-performers into top-performers.</w:t>
      </w:r>
    </w:p>
    <w:p>
      <w:pPr>
        <w:pStyle w:val="ListParagraph"/>
        <w:numPr>
          <w:ilvl w:val="0"/>
          <w:numId w:val="2"/>
        </w:numPr>
        <w:spacing w:before="20" w:after="20"/>
      </w:pPr>
      <w:r>
        <w:rPr>
          <w:rFonts w:ascii="Calibri" w:cs="Calibri" w:eastAsia="Calibri" w:hAnsi="Calibri"/>
          <w:color w:val="1a1a1a"/>
          <w:sz w:val="20"/>
          <w:szCs w:val="20"/>
        </w:rPr>
        <w:t xml:space="preserve">Uncovered a compliance gap through cross-day data analysis that had gone undetected; findings led to corrective action and a revised audit framework.</w:t>
      </w:r>
    </w:p>
    <w:p>
      <w:pPr>
        <w:pStyle w:val="ListParagraph"/>
        <w:numPr>
          <w:ilvl w:val="0"/>
          <w:numId w:val="2"/>
        </w:numPr>
        <w:spacing w:before="20" w:after="20"/>
      </w:pPr>
      <w:r>
        <w:rPr>
          <w:rFonts w:ascii="Calibri" w:cs="Calibri" w:eastAsia="Calibri" w:hAnsi="Calibri"/>
          <w:color w:val="1a1a1a"/>
          <w:sz w:val="20"/>
          <w:szCs w:val="20"/>
        </w:rPr>
        <w:t xml:space="preserve">Maintained coaching frameworks, ran weekly calibrations, analyzed performance data against KPIs, and reported trends and recommendations to leadership.</w:t>
      </w:r>
    </w:p>
    <w:p>
      <w:pPr>
        <w:tabs>
          <w:tab w:val="right" w:pos="10080"/>
        </w:tabs>
        <w:spacing w:before="140" w:after="20"/>
      </w:pPr>
      <w:r>
        <w:rPr>
          <w:rFonts w:ascii="Calibri" w:cs="Calibri" w:eastAsia="Calibri" w:hAnsi="Calibri"/>
          <w:b/>
          <w:bCs/>
          <w:color w:val="1a1a1a"/>
          <w:sz w:val="20"/>
          <w:szCs w:val="20"/>
        </w:rPr>
        <w:t xml:space="preserve">HSBC</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Senior Financial Support Specialist</w:t>
      </w:r>
      <w:r>
        <w:rPr>
          <w:rFonts w:ascii="Calibri" w:cs="Calibri" w:eastAsia="Calibri" w:hAnsi="Calibri"/>
          <w:sz w:val="20"/>
          <w:szCs w:val="20"/>
        </w:rPr>
        <w:t xml:space="preserve">	</w:t>
      </w:r>
      <w:r>
        <w:rPr>
          <w:rFonts w:ascii="Calibri" w:cs="Calibri" w:eastAsia="Calibri" w:hAnsi="Calibri"/>
          <w:color w:val="555555"/>
          <w:sz w:val="20"/>
          <w:szCs w:val="20"/>
        </w:rPr>
        <w:t xml:space="preserve">Nov 2019 – Nov 2022</w:t>
      </w:r>
    </w:p>
    <w:p>
      <w:pPr>
        <w:spacing w:before="0" w:after="40"/>
      </w:pPr>
      <w:r>
        <w:rPr>
          <w:rFonts w:ascii="Calibri" w:cs="Calibri" w:eastAsia="Calibri" w:hAnsi="Calibri"/>
          <w:i/>
          <w:iCs/>
          <w:color w:val="555555"/>
          <w:sz w:val="18"/>
          <w:szCs w:val="18"/>
        </w:rPr>
        <w:t xml:space="preserve">Frontline business analysis of customer financial data | Structured solutions in compliance with UK regulatory requirements</w:t>
      </w:r>
    </w:p>
    <w:p>
      <w:pPr>
        <w:pStyle w:val="ListParagraph"/>
        <w:numPr>
          <w:ilvl w:val="0"/>
          <w:numId w:val="2"/>
        </w:numPr>
        <w:spacing w:before="20" w:after="20"/>
      </w:pPr>
      <w:r>
        <w:rPr>
          <w:rFonts w:ascii="Calibri" w:cs="Calibri" w:eastAsia="Calibri" w:hAnsi="Calibri"/>
          <w:color w:val="1a1a1a"/>
          <w:sz w:val="20"/>
          <w:szCs w:val="20"/>
        </w:rPr>
        <w:t xml:space="preserve">Primary SME and team lead backup; real-time guidance on case analysis and system navigation improved handle time, outcome scores, and reduced escalations. Calls used as the department training standard for all new hires.</w:t>
      </w:r>
    </w:p>
    <w:p>
      <w:pPr>
        <w:pStyle w:val="ListParagraph"/>
        <w:numPr>
          <w:ilvl w:val="0"/>
          <w:numId w:val="2"/>
        </w:numPr>
        <w:spacing w:before="20" w:after="20"/>
      </w:pPr>
      <w:r>
        <w:rPr>
          <w:rFonts w:ascii="Calibri" w:cs="Calibri" w:eastAsia="Calibri" w:hAnsi="Calibri"/>
          <w:color w:val="1a1a1a"/>
          <w:sz w:val="20"/>
          <w:szCs w:val="20"/>
        </w:rPr>
        <w:t xml:space="preserve">Drove continuous system and process improvements across tenure — identified gaps, documented requirements, and provided recommendations that led to post-release fixes, feature additions, and refined workflows.</w:t>
      </w:r>
    </w:p>
    <w:p>
      <w:pPr>
        <w:pStyle w:val="ListParagraph"/>
        <w:numPr>
          <w:ilvl w:val="0"/>
          <w:numId w:val="2"/>
        </w:numPr>
        <w:spacing w:before="20" w:after="20"/>
      </w:pPr>
      <w:r>
        <w:rPr>
          <w:rFonts w:ascii="Calibri" w:cs="Calibri" w:eastAsia="Calibri" w:hAnsi="Calibri"/>
          <w:color w:val="1a1a1a"/>
          <w:sz w:val="20"/>
          <w:szCs w:val="20"/>
        </w:rPr>
        <w:t xml:space="preserve">Assessed customer financials and structured debt repayment solutions through detailed income, expense, and liability analysis in compliance with regulatory requirements.</w:t>
      </w:r>
    </w:p>
    <w:p>
      <w:pPr>
        <w:tabs>
          <w:tab w:val="right" w:pos="10080"/>
        </w:tabs>
        <w:spacing w:before="140" w:after="20"/>
      </w:pPr>
      <w:r>
        <w:rPr>
          <w:rFonts w:ascii="Calibri" w:cs="Calibri" w:eastAsia="Calibri" w:hAnsi="Calibri"/>
          <w:b/>
          <w:bCs/>
          <w:color w:val="1a1a1a"/>
          <w:sz w:val="20"/>
          <w:szCs w:val="20"/>
        </w:rPr>
        <w:t xml:space="preserve">Concentrix</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Customer Service Representative — PayPal NA Transactions &amp; Disputes</w:t>
      </w:r>
      <w:r>
        <w:rPr>
          <w:rFonts w:ascii="Calibri" w:cs="Calibri" w:eastAsia="Calibri" w:hAnsi="Calibri"/>
          <w:sz w:val="20"/>
          <w:szCs w:val="20"/>
        </w:rPr>
        <w:t xml:space="preserve">	</w:t>
      </w:r>
      <w:r>
        <w:rPr>
          <w:rFonts w:ascii="Calibri" w:cs="Calibri" w:eastAsia="Calibri" w:hAnsi="Calibri"/>
          <w:color w:val="555555"/>
          <w:sz w:val="20"/>
          <w:szCs w:val="20"/>
        </w:rPr>
        <w:t xml:space="preserve">May 2018 – Nov 2019</w:t>
      </w:r>
    </w:p>
    <w:p>
      <w:pPr>
        <w:spacing w:before="0" w:after="40"/>
      </w:pPr>
      <w:r>
        <w:rPr>
          <w:rFonts w:ascii="Calibri" w:cs="Calibri" w:eastAsia="Calibri" w:hAnsi="Calibri"/>
          <w:i/>
          <w:iCs/>
          <w:color w:val="555555"/>
          <w:sz w:val="18"/>
          <w:szCs w:val="18"/>
        </w:rPr>
        <w:t xml:space="preserve">High-volume transaction dispute resolution and root cause analysis | PayPal NA</w:t>
      </w:r>
    </w:p>
    <w:p>
      <w:pPr>
        <w:pStyle w:val="ListParagraph"/>
        <w:numPr>
          <w:ilvl w:val="0"/>
          <w:numId w:val="2"/>
        </w:numPr>
        <w:spacing w:before="20" w:after="20"/>
      </w:pPr>
      <w:r>
        <w:rPr>
          <w:rFonts w:ascii="Calibri" w:cs="Calibri" w:eastAsia="Calibri" w:hAnsi="Calibri"/>
          <w:color w:val="1a1a1a"/>
          <w:sz w:val="20"/>
          <w:szCs w:val="20"/>
        </w:rPr>
        <w:t xml:space="preserve">Resolved PayPal NA transaction disputes and account escalations; upskilled from basic customer service to disputes and claims.</w:t>
      </w:r>
    </w:p>
    <w:p>
      <w:pPr>
        <w:pBdr>
          <w:bottom w:val="single" w:color="2b4c7e" w:sz="4" w:space="2"/>
        </w:pBdr>
        <w:spacing w:before="200" w:after="80"/>
      </w:pPr>
      <w:r>
        <w:rPr>
          <w:rFonts w:ascii="Calibri" w:cs="Calibri" w:eastAsia="Calibri" w:hAnsi="Calibri"/>
          <w:b/>
          <w:bCs/>
          <w:color w:val="2b4c7e"/>
          <w:sz w:val="22"/>
          <w:szCs w:val="22"/>
        </w:rPr>
        <w:t xml:space="preserve">ADDITIONAL EXPERIENCE</w:t>
      </w:r>
    </w:p>
    <w:p>
      <w:pPr>
        <w:tabs>
          <w:tab w:val="right" w:pos="10080"/>
        </w:tabs>
        <w:spacing w:before="140" w:after="20"/>
      </w:pPr>
      <w:r>
        <w:rPr>
          <w:rFonts w:ascii="Calibri" w:cs="Calibri" w:eastAsia="Calibri" w:hAnsi="Calibri"/>
          <w:b/>
          <w:bCs/>
          <w:color w:val="1a1a1a"/>
          <w:sz w:val="20"/>
          <w:szCs w:val="20"/>
        </w:rPr>
        <w:t xml:space="preserve">Freelance</w:t>
      </w:r>
      <w:r>
        <w:rPr>
          <w:rFonts w:ascii="Calibri" w:cs="Calibri" w:eastAsia="Calibri" w:hAnsi="Calibri"/>
          <w:color w:val="555555"/>
          <w:sz w:val="20"/>
          <w:szCs w:val="20"/>
        </w:rPr>
        <w:t xml:space="preserve">  |  </w:t>
      </w:r>
      <w:r>
        <w:rPr>
          <w:rFonts w:ascii="Calibri" w:cs="Calibri" w:eastAsia="Calibri" w:hAnsi="Calibri"/>
          <w:i/>
          <w:iCs/>
          <w:color w:val="1a1a1a"/>
          <w:sz w:val="20"/>
          <w:szCs w:val="20"/>
        </w:rPr>
        <w:t xml:space="preserve">Operations</w:t>
      </w:r>
      <w:r>
        <w:rPr>
          <w:rFonts w:ascii="Calibri" w:cs="Calibri" w:eastAsia="Calibri" w:hAnsi="Calibri"/>
          <w:sz w:val="20"/>
          <w:szCs w:val="20"/>
        </w:rPr>
        <w:t xml:space="preserve">	</w:t>
      </w:r>
      <w:r>
        <w:rPr>
          <w:rFonts w:ascii="Calibri" w:cs="Calibri" w:eastAsia="Calibri" w:hAnsi="Calibri"/>
          <w:color w:val="555555"/>
          <w:sz w:val="20"/>
          <w:szCs w:val="20"/>
        </w:rPr>
        <w:t xml:space="preserve">Feb 2026 – Present</w:t>
      </w:r>
    </w:p>
    <w:p>
      <w:pPr>
        <w:spacing w:before="0" w:after="40"/>
      </w:pPr>
      <w:r>
        <w:rPr>
          <w:rFonts w:ascii="Calibri" w:cs="Calibri" w:eastAsia="Calibri" w:hAnsi="Calibri"/>
          <w:i/>
          <w:iCs/>
          <w:color w:val="555555"/>
          <w:sz w:val="18"/>
          <w:szCs w:val="18"/>
        </w:rPr>
        <w:t xml:space="preserve">End-to-end operations and data analysis for an online medical service</w:t>
      </w:r>
    </w:p>
    <w:p>
      <w:pPr>
        <w:pStyle w:val="ListParagraph"/>
        <w:numPr>
          <w:ilvl w:val="0"/>
          <w:numId w:val="2"/>
        </w:numPr>
        <w:spacing w:before="20" w:after="20"/>
      </w:pPr>
      <w:r>
        <w:rPr>
          <w:rFonts w:ascii="Calibri" w:cs="Calibri" w:eastAsia="Calibri" w:hAnsi="Calibri"/>
          <w:color w:val="1a1a1a"/>
          <w:sz w:val="20"/>
          <w:szCs w:val="20"/>
        </w:rPr>
        <w:t xml:space="preserve">Running operations for an online medical service; built a SQL funnel analysis on 3,441 leads identifying the primary conversion bottleneck (1% view-to-click vs 40% click-to-lead) using SQLite with JOINs, subqueries, and date manipulation.</w:t>
      </w:r>
    </w:p>
    <w:p>
      <w:pPr>
        <w:pBdr>
          <w:bottom w:val="single" w:color="2b4c7e" w:sz="4" w:space="2"/>
        </w:pBdr>
        <w:spacing w:before="200" w:after="80"/>
      </w:pPr>
      <w:r>
        <w:rPr>
          <w:rFonts w:ascii="Calibri" w:cs="Calibri" w:eastAsia="Calibri" w:hAnsi="Calibri"/>
          <w:b/>
          <w:bCs/>
          <w:color w:val="2b4c7e"/>
          <w:sz w:val="22"/>
          <w:szCs w:val="22"/>
        </w:rPr>
        <w:t xml:space="preserve">TECHNICAL SKILLS</w:t>
      </w:r>
    </w:p>
    <w:p>
      <w:pPr>
        <w:spacing w:before="10" w:after="10"/>
      </w:pPr>
      <w:r>
        <w:rPr>
          <w:rFonts w:ascii="Calibri" w:cs="Calibri" w:eastAsia="Calibri" w:hAnsi="Calibri"/>
          <w:b/>
          <w:bCs/>
          <w:color w:val="1a1a1a"/>
          <w:sz w:val="20"/>
          <w:szCs w:val="20"/>
        </w:rPr>
        <w:t xml:space="preserve">Analytics: </w:t>
      </w:r>
      <w:r>
        <w:rPr>
          <w:rFonts w:ascii="Calibri" w:cs="Calibri" w:eastAsia="Calibri" w:hAnsi="Calibri"/>
          <w:color w:val="1a1a1a"/>
          <w:sz w:val="20"/>
          <w:szCs w:val="20"/>
        </w:rPr>
        <w:t xml:space="preserve">Power BI (REST API integration, Power Query, dashboards), Advanced Excel (Pivot Tables, VLOOKUP/INDEX-MATCH), SQL (SQLite, JOINs, subqueries, funnel analysis)</w:t>
      </w:r>
    </w:p>
    <w:p>
      <w:pPr>
        <w:spacing w:before="10" w:after="10"/>
      </w:pPr>
      <w:r>
        <w:rPr>
          <w:rFonts w:ascii="Calibri" w:cs="Calibri" w:eastAsia="Calibri" w:hAnsi="Calibri"/>
          <w:b/>
          <w:bCs/>
          <w:color w:val="1a1a1a"/>
          <w:sz w:val="20"/>
          <w:szCs w:val="20"/>
        </w:rPr>
        <w:t xml:space="preserve">Development: </w:t>
      </w:r>
      <w:r>
        <w:rPr>
          <w:rFonts w:ascii="Calibri" w:cs="Calibri" w:eastAsia="Calibri" w:hAnsi="Calibri"/>
          <w:color w:val="1a1a1a"/>
          <w:sz w:val="20"/>
          <w:szCs w:val="20"/>
        </w:rPr>
        <w:t xml:space="preserve">HTML, CSS, JavaScript, Batch scripting (Windows Task Scheduler), Power Query (M language)</w:t>
      </w:r>
    </w:p>
    <w:p>
      <w:pPr>
        <w:spacing w:before="10" w:after="10"/>
      </w:pPr>
      <w:r>
        <w:rPr>
          <w:rFonts w:ascii="Calibri" w:cs="Calibri" w:eastAsia="Calibri" w:hAnsi="Calibri"/>
          <w:b/>
          <w:bCs/>
          <w:color w:val="1a1a1a"/>
          <w:sz w:val="20"/>
          <w:szCs w:val="20"/>
        </w:rPr>
        <w:t xml:space="preserve">Platforms: </w:t>
      </w:r>
      <w:r>
        <w:rPr>
          <w:rFonts w:ascii="Calibri" w:cs="Calibri" w:eastAsia="Calibri" w:hAnsi="Calibri"/>
          <w:color w:val="1a1a1a"/>
          <w:sz w:val="20"/>
          <w:szCs w:val="20"/>
        </w:rPr>
        <w:t xml:space="preserve">FinCoorP / Freshservice ITSM (platform admin, workflow automators, service catalog), Oracle ERP / PRISM (process exposure)</w:t>
      </w:r>
    </w:p>
    <w:p>
      <w:pPr>
        <w:spacing w:before="10" w:after="10"/>
      </w:pPr>
      <w:r>
        <w:rPr>
          <w:rFonts w:ascii="Calibri" w:cs="Calibri" w:eastAsia="Calibri" w:hAnsi="Calibri"/>
          <w:b/>
          <w:bCs/>
          <w:color w:val="1a1a1a"/>
          <w:sz w:val="20"/>
          <w:szCs w:val="20"/>
        </w:rPr>
        <w:t xml:space="preserve">Methods: </w:t>
      </w:r>
      <w:r>
        <w:rPr>
          <w:rFonts w:ascii="Calibri" w:cs="Calibri" w:eastAsia="Calibri" w:hAnsi="Calibri"/>
          <w:color w:val="1a1a1a"/>
          <w:sz w:val="20"/>
          <w:szCs w:val="20"/>
        </w:rPr>
        <w:t xml:space="preserve">Requirements gathering, UAT, business process mapping, root cause analysis, change management, SLA management</w:t>
      </w:r>
    </w:p>
    <w:p>
      <w:pPr>
        <w:spacing w:before="10" w:after="10"/>
      </w:pPr>
      <w:r>
        <w:rPr>
          <w:rFonts w:ascii="Calibri" w:cs="Calibri" w:eastAsia="Calibri" w:hAnsi="Calibri"/>
          <w:b/>
          <w:bCs/>
          <w:color w:val="1a1a1a"/>
          <w:sz w:val="20"/>
          <w:szCs w:val="20"/>
        </w:rPr>
        <w:t xml:space="preserve">Deliverables: </w:t>
      </w:r>
      <w:r>
        <w:rPr>
          <w:rFonts w:ascii="Calibri" w:cs="Calibri" w:eastAsia="Calibri" w:hAnsi="Calibri"/>
          <w:color w:val="1a1a1a"/>
          <w:sz w:val="20"/>
          <w:szCs w:val="20"/>
        </w:rPr>
        <w:t xml:space="preserve">Process documentation, workflow diagrams (Visio), system reference guides, knowledge base articles</w:t>
      </w:r>
    </w:p>
    <w:p>
      <w:pPr>
        <w:pBdr>
          <w:bottom w:val="single" w:color="2b4c7e" w:sz="4" w:space="2"/>
        </w:pBdr>
        <w:spacing w:before="200" w:after="80"/>
      </w:pPr>
      <w:r>
        <w:rPr>
          <w:rFonts w:ascii="Calibri" w:cs="Calibri" w:eastAsia="Calibri" w:hAnsi="Calibri"/>
          <w:b/>
          <w:bCs/>
          <w:color w:val="2b4c7e"/>
          <w:sz w:val="22"/>
          <w:szCs w:val="22"/>
        </w:rPr>
        <w:t xml:space="preserve">PROFESSIONAL DEVELOPMENT</w:t>
      </w:r>
    </w:p>
    <w:p>
      <w:pPr>
        <w:spacing w:before="40" w:after="20"/>
      </w:pPr>
      <w:r>
        <w:rPr>
          <w:rFonts w:ascii="Calibri" w:cs="Calibri" w:eastAsia="Calibri" w:hAnsi="Calibri"/>
          <w:b/>
          <w:bCs/>
          <w:sz w:val="20"/>
          <w:szCs w:val="20"/>
        </w:rPr>
        <w:t xml:space="preserve">Toastmasters International</w:t>
      </w:r>
      <w:r>
        <w:rPr>
          <w:rFonts w:ascii="Calibri" w:cs="Calibri" w:eastAsia="Calibri" w:hAnsi="Calibri"/>
          <w:color w:val="555555"/>
          <w:sz w:val="20"/>
          <w:szCs w:val="20"/>
        </w:rPr>
        <w:t xml:space="preserve">  |  Member 2023–2025  |  Sergeant at Arms (2024)  |  Presentation Mastery Pathway, Level 3</w:t>
      </w:r>
    </w:p>
    <w:p>
      <w:pPr>
        <w:pBdr>
          <w:bottom w:val="single" w:color="2b4c7e" w:sz="4" w:space="2"/>
        </w:pBdr>
        <w:spacing w:before="200" w:after="80"/>
      </w:pPr>
      <w:r>
        <w:rPr>
          <w:rFonts w:ascii="Calibri" w:cs="Calibri" w:eastAsia="Calibri" w:hAnsi="Calibri"/>
          <w:b/>
          <w:bCs/>
          <w:color w:val="2b4c7e"/>
          <w:sz w:val="22"/>
          <w:szCs w:val="22"/>
        </w:rPr>
        <w:t xml:space="preserve">EDUCATION</w:t>
      </w:r>
    </w:p>
    <w:p>
      <w:pPr>
        <w:spacing w:before="40" w:after="20"/>
      </w:pPr>
      <w:r>
        <w:rPr>
          <w:rFonts w:ascii="Calibri" w:cs="Calibri" w:eastAsia="Calibri" w:hAnsi="Calibri"/>
          <w:b/>
          <w:bCs/>
          <w:sz w:val="20"/>
          <w:szCs w:val="20"/>
        </w:rPr>
        <w:t xml:space="preserve">Mapúa Institute of Technology</w:t>
      </w:r>
      <w:r>
        <w:rPr>
          <w:rFonts w:ascii="Calibri" w:cs="Calibri" w:eastAsia="Calibri" w:hAnsi="Calibri"/>
          <w:color w:val="555555"/>
          <w:sz w:val="20"/>
          <w:szCs w:val="20"/>
        </w:rPr>
        <w:t xml:space="preserve">  |  Manila, Philippines</w:t>
      </w:r>
    </w:p>
    <w:p>
      <w:pPr>
        <w:spacing w:before="0" w:after="40"/>
        <w:jc w:val="left"/>
      </w:pPr>
      <w:r>
        <w:rPr>
          <w:rFonts w:ascii="Calibri" w:cs="Calibri" w:eastAsia="Calibri" w:hAnsi="Calibri"/>
          <w:b w:val="false"/>
          <w:bCs w:val="false"/>
          <w:i/>
          <w:iCs/>
          <w:color w:val="555555"/>
          <w:sz w:val="18"/>
          <w:szCs w:val="18"/>
        </w:rPr>
        <w:t xml:space="preserve">Architecture / Construction Engineering Management — Coursework completed</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2026-04-01T09:26:50.555Z</dcterms:created>
  <dcterms:modified xsi:type="dcterms:W3CDTF">2026-04-01T09:26:50.556Z</dcterms:modified>
</cp:coreProperties>
</file>

<file path=docProps/custom.xml><?xml version="1.0" encoding="utf-8"?>
<Properties xmlns="http://schemas.openxmlformats.org/officeDocument/2006/custom-properties" xmlns:vt="http://schemas.openxmlformats.org/officeDocument/2006/docPropsVTypes"/>
</file>