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BUSINESS SOURCE LICENSE 1.1</w:t>
      </w:r>
    </w:p>
    <w:p>
      <w:pPr>
        <w:spacing w:after="80"/>
        <w:jc w:val="center"/>
      </w:pPr>
      <w:r>
        <w:rPr>
          <w:rFonts w:ascii="Arial" w:cs="Arial" w:eastAsia="Arial" w:hAnsi="Arial"/>
          <w:b/>
          <w:bCs/>
          <w:sz w:val="28"/>
          <w:szCs w:val="28"/>
        </w:rPr>
        <w:t xml:space="preserve">Universal App Bridge (UAB)</w:t>
      </w:r>
    </w:p>
    <w:p>
      <w:pPr>
        <w:spacing w:after="300"/>
        <w:jc w:val="center"/>
      </w:pPr>
      <w:r>
        <w:rPr>
          <w:rFonts w:ascii="Arial" w:cs="Arial" w:eastAsia="Arial" w:hAnsi="Arial"/>
          <w:color w:val="666666"/>
          <w:sz w:val="24"/>
          <w:szCs w:val="24"/>
        </w:rPr>
        <w:t xml:space="preserve">License Agreement</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License Parameters</w:t>
      </w:r>
    </w:p>
    <w:p>
      <w:pPr>
        <w:spacing w:after="200"/>
        <w:jc w:val="left"/>
      </w:pPr>
      <w:r>
        <w:rPr>
          <w:rFonts w:ascii="Arial" w:cs="Arial" w:eastAsia="Arial" w:hAnsi="Arial"/>
          <w:b/>
          <w:bCs/>
          <w:sz w:val="22"/>
          <w:szCs w:val="22"/>
        </w:rPr>
        <w:t xml:space="preserve">Licensor: </w:t>
      </w:r>
      <w:r>
        <w:rPr>
          <w:rFonts w:ascii="Arial" w:cs="Arial" w:eastAsia="Arial" w:hAnsi="Arial"/>
          <w:sz w:val="22"/>
          <w:szCs w:val="22"/>
        </w:rPr>
        <w:t xml:space="preserve">[Your Legal Entity Name / Myles' Company]</w:t>
      </w:r>
    </w:p>
    <w:p>
      <w:pPr>
        <w:spacing w:after="200"/>
        <w:jc w:val="left"/>
      </w:pPr>
      <w:r>
        <w:rPr>
          <w:rFonts w:ascii="Arial" w:cs="Arial" w:eastAsia="Arial" w:hAnsi="Arial"/>
          <w:b/>
          <w:bCs/>
          <w:sz w:val="22"/>
          <w:szCs w:val="22"/>
        </w:rPr>
        <w:t xml:space="preserve">Licensed Work: </w:t>
      </w:r>
      <w:r>
        <w:rPr>
          <w:rFonts w:ascii="Arial" w:cs="Arial" w:eastAsia="Arial" w:hAnsi="Arial"/>
          <w:sz w:val="22"/>
          <w:szCs w:val="22"/>
        </w:rPr>
        <w:t xml:space="preserve">Universal App Bridge (UAB), including all source code, documentation, framework plugins, the framework detection system, the unified API abstraction layer, the control router, and all associated tooling. The Licensed Work is copyright [Year] [Your Legal Entity Name].</w:t>
      </w:r>
    </w:p>
    <w:p>
      <w:pPr>
        <w:spacing w:after="200"/>
        <w:jc w:val="left"/>
      </w:pPr>
      <w:r>
        <w:rPr>
          <w:rFonts w:ascii="Arial" w:cs="Arial" w:eastAsia="Arial" w:hAnsi="Arial"/>
          <w:b/>
          <w:bCs/>
          <w:sz w:val="22"/>
          <w:szCs w:val="22"/>
        </w:rPr>
        <w:t xml:space="preserve">Change Date: </w:t>
      </w:r>
      <w:r>
        <w:rPr>
          <w:rFonts w:ascii="Arial" w:cs="Arial" w:eastAsia="Arial" w:hAnsi="Arial"/>
          <w:sz w:val="22"/>
          <w:szCs w:val="22"/>
        </w:rPr>
        <w:t xml:space="preserve">Four (4) years from the date of each published version of the Licensed Work. For example, version 1.0.0 published on March 1, 2026 would convert on March 1, 2030.</w:t>
      </w:r>
    </w:p>
    <w:p>
      <w:pPr>
        <w:spacing w:after="200"/>
        <w:jc w:val="left"/>
      </w:pPr>
      <w:r>
        <w:rPr>
          <w:rFonts w:ascii="Arial" w:cs="Arial" w:eastAsia="Arial" w:hAnsi="Arial"/>
          <w:b/>
          <w:bCs/>
          <w:sz w:val="22"/>
          <w:szCs w:val="22"/>
        </w:rPr>
        <w:t xml:space="preserve">Change License: </w:t>
      </w:r>
      <w:r>
        <w:rPr>
          <w:rFonts w:ascii="Arial" w:cs="Arial" w:eastAsia="Arial" w:hAnsi="Arial"/>
          <w:sz w:val="22"/>
          <w:szCs w:val="22"/>
        </w:rPr>
        <w:t xml:space="preserve">Apache License, Version 2.0</w:t>
      </w:r>
    </w:p>
    <w:p>
      <w:pPr>
        <w:spacing w:after="200"/>
        <w:jc w:val="left"/>
      </w:pPr>
      <w:r>
        <w:rPr>
          <w:rFonts w:ascii="Arial" w:cs="Arial" w:eastAsia="Arial" w:hAnsi="Arial"/>
          <w:b/>
          <w:bCs/>
          <w:sz w:val="22"/>
          <w:szCs w:val="22"/>
        </w:rPr>
        <w:t xml:space="preserve">Additional Use Grant: </w:t>
      </w:r>
      <w:r>
        <w:rPr>
          <w:rFonts w:ascii="Arial" w:cs="Arial" w:eastAsia="Arial" w:hAnsi="Arial"/>
          <w:sz w:val="22"/>
          <w:szCs w:val="22"/>
        </w:rPr>
        <w:t xml:space="preserve">See Section 2 below.</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1: Terms</w:t>
      </w:r>
    </w:p>
    <w:p>
      <w:pPr>
        <w:spacing w:after="200"/>
        <w:jc w:val="left"/>
      </w:pPr>
      <w:r>
        <w:rPr>
          <w:rFonts w:ascii="Arial" w:cs="Arial" w:eastAsia="Arial" w:hAnsi="Arial"/>
          <w:sz w:val="22"/>
          <w:szCs w:val="22"/>
        </w:rPr>
        <w:t xml:space="preserve">The Licensor hereby grants you the right to copy, modify, create derivative works, redistribute, and make non-production use of the Licensed Work. The Licensor may make an Additional Use Grant, above, permitting limited production use.</w:t>
      </w:r>
    </w:p>
    <w:p>
      <w:pPr>
        <w:spacing w:after="200"/>
        <w:jc w:val="left"/>
      </w:pPr>
      <w:r>
        <w:rPr>
          <w:rFonts w:ascii="Arial" w:cs="Arial" w:eastAsia="Arial" w:hAnsi="Arial"/>
          <w:sz w:val="22"/>
          <w:szCs w:val="22"/>
        </w:rPr>
        <w:t xml:space="preserve">Effective on the Change Date, or the fourth anniversary of the first publicly available distribution of a specific version of the Licensed Work, whichever comes first, the Licensor hereby grants you rights under the terms of the Change License, and the rights granted in the paragraph above terminate.</w:t>
      </w:r>
    </w:p>
    <w:p>
      <w:pPr>
        <w:spacing w:after="200"/>
        <w:jc w:val="left"/>
      </w:pPr>
      <w:r>
        <w:rPr>
          <w:rFonts w:ascii="Arial" w:cs="Arial" w:eastAsia="Arial" w:hAnsi="Arial"/>
          <w:sz w:val="22"/>
          <w:szCs w:val="22"/>
        </w:rPr>
        <w:t xml:space="preserve">If your use of the Licensed Work does not comply with the requirements currently in effect as described in this License, you must purchase a commercial license from the Licensor, its affiliated entities, or authorized resellers, or you must refrain from using the Licensed Work.</w:t>
      </w:r>
    </w:p>
    <w:p>
      <w:pPr>
        <w:spacing w:after="200"/>
        <w:jc w:val="left"/>
      </w:pPr>
      <w:r>
        <w:rPr>
          <w:rFonts w:ascii="Arial" w:cs="Arial" w:eastAsia="Arial" w:hAnsi="Arial"/>
          <w:sz w:val="22"/>
          <w:szCs w:val="22"/>
        </w:rPr>
        <w:t xml:space="preserve">All copies of the original and modified Licensed Work, and derivative works of the Licensed Work, are subject to this License. This License applies separately for each version of the Licensed Work and the Change Date may vary for each version of the Licensed Work released by Licensor.</w:t>
      </w:r>
    </w:p>
    <w:p>
      <w:pPr>
        <w:spacing w:after="200"/>
        <w:jc w:val="left"/>
      </w:pPr>
      <w:r>
        <w:rPr>
          <w:rFonts w:ascii="Arial" w:cs="Arial" w:eastAsia="Arial" w:hAnsi="Arial"/>
          <w:sz w:val="22"/>
          <w:szCs w:val="22"/>
        </w:rPr>
        <w:t xml:space="preserve">You must conspicuously display this License on each original or modified copy of the Licensed Work. If you receive the Licensed Work in original or modified form from a third party, the terms and conditions set forth in this License apply to your use of that work.</w:t>
      </w:r>
    </w:p>
    <w:p>
      <w:pPr>
        <w:spacing w:after="200"/>
        <w:jc w:val="left"/>
      </w:pPr>
      <w:r>
        <w:rPr>
          <w:rFonts w:ascii="Arial" w:cs="Arial" w:eastAsia="Arial" w:hAnsi="Arial"/>
          <w:sz w:val="22"/>
          <w:szCs w:val="22"/>
        </w:rPr>
        <w:t xml:space="preserve">Any use of the Licensed Work in violation of this License will automatically terminate your rights under this License for the current and all other versions of the Licensed Work.</w:t>
      </w:r>
    </w:p>
    <w:p>
      <w:pPr>
        <w:spacing w:after="200"/>
        <w:jc w:val="left"/>
      </w:pPr>
      <w:r>
        <w:rPr>
          <w:rFonts w:ascii="Arial" w:cs="Arial" w:eastAsia="Arial" w:hAnsi="Arial"/>
          <w:sz w:val="22"/>
          <w:szCs w:val="22"/>
        </w:rPr>
        <w:t xml:space="preserve">This License does not grant you any right in any trademark or logo of Licensor or its affiliates (provided that you may use a trademark or logo of Licensor as expressly required by this License).</w:t>
      </w:r>
    </w:p>
    <w:p>
      <w:pPr>
        <w:spacing w:after="200"/>
        <w:jc w:val="left"/>
      </w:pPr>
      <w:r>
        <w:rPr>
          <w:rFonts w:ascii="Arial" w:cs="Arial" w:eastAsia="Arial" w:hAnsi="Arial"/>
          <w:i/>
          <w:iCs/>
          <w:sz w:val="22"/>
          <w:szCs w:val="22"/>
        </w:rPr>
        <w:t xml:space="preserve">TO THE EXTENT PERMITTED BY APPLICABLE LAW, THE LICENSED WORK IS PROVIDED ON AN "AS IS" BASIS. LICENSOR HEREBY DISCLAIMS ALL WARRANTIES AND CONDITIONS, EXPRESS OR IMPLIED, INCLUDING (WITHOUT LIMITATION) WARRANTIES OF MERCHANTABILITY, FITNESS FOR A PARTICULAR PURPOSE, NON-INFRINGEMENT, AND TITLE.</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2: Additional Use Grant</w:t>
      </w:r>
    </w:p>
    <w:p>
      <w:pPr>
        <w:spacing w:after="200"/>
        <w:jc w:val="left"/>
      </w:pPr>
      <w:r>
        <w:rPr>
          <w:rFonts w:ascii="Arial" w:cs="Arial" w:eastAsia="Arial" w:hAnsi="Arial"/>
          <w:sz w:val="22"/>
          <w:szCs w:val="22"/>
        </w:rPr>
        <w:t xml:space="preserve">The following uses of the Licensed Work are permitted in production environments without a commercial license:</w:t>
      </w:r>
    </w:p>
    <w:p>
      <w:pPr>
        <w:pStyle w:val="Heading2"/>
        <w:spacing w:after="200" w:before="240"/>
      </w:pPr>
      <w:r>
        <w:rPr>
          <w:rFonts w:ascii="Arial" w:cs="Arial" w:eastAsia="Arial" w:hAnsi="Arial"/>
          <w:b/>
          <w:bCs/>
          <w:sz w:val="28"/>
          <w:szCs w:val="28"/>
        </w:rPr>
        <w:t xml:space="preserve">2.1 Permitted Uses (No Commercial License Required)</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Lancelot Ecosystem Use. </w:t>
      </w:r>
      <w:r>
        <w:rPr>
          <w:rFonts w:ascii="Arial" w:cs="Arial" w:eastAsia="Arial" w:hAnsi="Arial"/>
          <w:sz w:val="22"/>
          <w:szCs w:val="22"/>
        </w:rPr>
        <w:t xml:space="preserve">Integration with the Lancelot governed autonomy platform and its associated ecosystem products (including TradeOS and Ada) developed by the Licensor.</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Personal Non-Commercial Use. </w:t>
      </w:r>
      <w:r>
        <w:rPr>
          <w:rFonts w:ascii="Arial" w:cs="Arial" w:eastAsia="Arial" w:hAnsi="Arial"/>
          <w:sz w:val="22"/>
          <w:szCs w:val="22"/>
        </w:rPr>
        <w:t xml:space="preserve">Use of the Licensed Work for personal, non-commercial purposes by individual developers on their own machines, provided no revenue is generated directly or indirectly from such use.</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Academic and Research Use. </w:t>
      </w:r>
      <w:r>
        <w:rPr>
          <w:rFonts w:ascii="Arial" w:cs="Arial" w:eastAsia="Arial" w:hAnsi="Arial"/>
          <w:sz w:val="22"/>
          <w:szCs w:val="22"/>
        </w:rPr>
        <w:t xml:space="preserve">Use of the Licensed Work in academic research, educational institutions, and non-profit organizations, provided results and findings may be published but the Licensed Work itself is not redistributed in a commercial product.</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Evaluation and Testing. </w:t>
      </w:r>
      <w:r>
        <w:rPr>
          <w:rFonts w:ascii="Arial" w:cs="Arial" w:eastAsia="Arial" w:hAnsi="Arial"/>
          <w:sz w:val="22"/>
          <w:szCs w:val="22"/>
        </w:rPr>
        <w:t xml:space="preserve">Use of the Licensed Work for internal evaluation, testing, prototyping, proof-of-concept development, benchmarking, and security auditing, provided such use does not serve production workloads or end users.</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Open Source Projects. </w:t>
      </w:r>
      <w:r>
        <w:rPr>
          <w:rFonts w:ascii="Arial" w:cs="Arial" w:eastAsia="Arial" w:hAnsi="Arial"/>
          <w:sz w:val="22"/>
          <w:szCs w:val="22"/>
        </w:rPr>
        <w:t xml:space="preserve">Use of the Licensed Work in open source projects licensed under OSI-approved licenses, provided the open source project does not offer a paid/commercial version that incorporates the Licensed Work, and provided the open source project itself is not primarily a wrapper, reskin, or thin abstraction over the Licensed Work's core functionality.</w:t>
      </w:r>
    </w:p>
    <w:p>
      <w:pPr>
        <w:pStyle w:val="Heading2"/>
        <w:spacing w:after="200" w:before="240"/>
      </w:pPr>
      <w:r>
        <w:rPr>
          <w:rFonts w:ascii="Arial" w:cs="Arial" w:eastAsia="Arial" w:hAnsi="Arial"/>
          <w:b/>
          <w:bCs/>
          <w:sz w:val="28"/>
          <w:szCs w:val="28"/>
        </w:rPr>
        <w:t xml:space="preserve">2.2 Restricted Uses (Commercial License Required)</w:t>
      </w:r>
    </w:p>
    <w:p>
      <w:pPr>
        <w:spacing w:after="200"/>
        <w:jc w:val="left"/>
      </w:pPr>
      <w:r>
        <w:rPr>
          <w:rFonts w:ascii="Arial" w:cs="Arial" w:eastAsia="Arial" w:hAnsi="Arial"/>
          <w:sz w:val="22"/>
          <w:szCs w:val="22"/>
        </w:rPr>
        <w:t xml:space="preserve">The following uses require a separate commercial license agreement with the Licensor:</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Commercial Agent Runtimes. </w:t>
      </w:r>
      <w:r>
        <w:rPr>
          <w:rFonts w:ascii="Arial" w:cs="Arial" w:eastAsia="Arial" w:hAnsi="Arial"/>
          <w:sz w:val="22"/>
          <w:szCs w:val="22"/>
        </w:rPr>
        <w:t xml:space="preserve">Incorporating, embedding, bundling, or linking the Licensed Work (or any substantial portion thereof) into any commercial software product, agent runtime, agent framework, automation platform, or AI system that is sold, licensed, offered as a service, or otherwise distributed for commercial purposes.</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Service Offerings. </w:t>
      </w:r>
      <w:r>
        <w:rPr>
          <w:rFonts w:ascii="Arial" w:cs="Arial" w:eastAsia="Arial" w:hAnsi="Arial"/>
          <w:sz w:val="22"/>
          <w:szCs w:val="22"/>
        </w:rPr>
        <w:t xml:space="preserve">Offering the functionality of the Licensed Work, in whole or in part, as a service to third parties, whether as a standalone service, as part of a platform, or integrated into a larger offering. This includes but is not limited to: hosted agent control services, remote desktop automation services, cloud-based app interaction platforms, and managed automation services.</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Competing Products. </w:t>
      </w:r>
      <w:r>
        <w:rPr>
          <w:rFonts w:ascii="Arial" w:cs="Arial" w:eastAsia="Arial" w:hAnsi="Arial"/>
          <w:sz w:val="22"/>
          <w:szCs w:val="22"/>
        </w:rPr>
        <w:t xml:space="preserve">Offering the Licensed Work, or a substantially similar product derived from the Licensed Work, as a competing product, library, SDK, or framework that provides framework-level application hooking, unified application control interfaces, or multi-framework introspection capabilities.</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Scale Deployment. </w:t>
      </w:r>
      <w:r>
        <w:rPr>
          <w:rFonts w:ascii="Arial" w:cs="Arial" w:eastAsia="Arial" w:hAnsi="Arial"/>
          <w:sz w:val="22"/>
          <w:szCs w:val="22"/>
        </w:rPr>
        <w:t xml:space="preserve">Using the Licensed Work in any product or service deployed to more than five (5) unique end users or devices without a commercial license, regardless of whether the product or service is offered for a fee.</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Enterprise Internal Use. </w:t>
      </w:r>
      <w:r>
        <w:rPr>
          <w:rFonts w:ascii="Arial" w:cs="Arial" w:eastAsia="Arial" w:hAnsi="Arial"/>
          <w:sz w:val="22"/>
          <w:szCs w:val="22"/>
        </w:rPr>
        <w:t xml:space="preserve">Using the Licensed Work to provide internal automation, tooling, or agent capabilities within a commercial organization where such use directly or indirectly generates revenue, reduces costs, or provides operational advantage, and where the organization has more than twenty-five (25) employees.</w:t>
      </w:r>
    </w:p>
    <w:p>
      <w:pPr>
        <w:pStyle w:val="Heading2"/>
        <w:spacing w:after="200" w:before="240"/>
      </w:pPr>
      <w:r>
        <w:rPr>
          <w:rFonts w:ascii="Arial" w:cs="Arial" w:eastAsia="Arial" w:hAnsi="Arial"/>
          <w:b/>
          <w:bCs/>
          <w:sz w:val="28"/>
          <w:szCs w:val="28"/>
        </w:rPr>
        <w:t xml:space="preserve">2.3 Clarifications</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determination of whether a use is "commercial" shall be interpreted broadly. If the Licensed Work contributes to revenue generation, cost reduction, or competitive advantage for a for-profit entity, it is considered commercial use.</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Using the Licensed Work to build, train, or improve a competing product constitutes a Restricted Use even if the Licensed Work itself is not distributed.</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Licensor reserves the right to grant additional use permissions on a case-by-case basis through written agreements.</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If you are uncertain whether your intended use requires a commercial license, contact the Licensor at [contact email] for clarification.</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3: Patent Notice</w:t>
      </w:r>
    </w:p>
    <w:p>
      <w:pPr>
        <w:spacing w:after="200"/>
        <w:jc w:val="left"/>
      </w:pPr>
      <w:r>
        <w:rPr>
          <w:rFonts w:ascii="Arial" w:cs="Arial" w:eastAsia="Arial" w:hAnsi="Arial"/>
          <w:sz w:val="22"/>
          <w:szCs w:val="22"/>
        </w:rPr>
        <w:t xml:space="preserve">The Licensed Work is the subject of one or more pending patent applications filed by the Licensor. This License does not grant any express or implied license under any patent claims owned or controlled by the Licensor, except to the extent necessary to exercise the rights expressly granted in Section 1 and Section 2 above.</w:t>
      </w:r>
    </w:p>
    <w:p>
      <w:pPr>
        <w:spacing w:after="200"/>
        <w:jc w:val="left"/>
      </w:pPr>
      <w:r>
        <w:rPr>
          <w:rFonts w:ascii="Arial" w:cs="Arial" w:eastAsia="Arial" w:hAnsi="Arial"/>
          <w:sz w:val="22"/>
          <w:szCs w:val="22"/>
        </w:rPr>
        <w:t xml:space="preserve">Without limiting the foregoing, the following aspects of the Licensed Work are covered by pending patent applications and may not be independently reimplemented, reproduced, or practiced without a separate patent license from the Licensor:</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framework detection system for identifying UI toolkit composition of running applications through library signature analysis, process metadata inspection, and binary structure evaluation.</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unified API abstraction layer that normalizes heterogeneous framework-specific introspection interfaces into a single standardized control interface.</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hook injection and management system for establishing runtime introspection connections to applications across multiple UI frameworks through framework-specific plugin architectures.</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multi-method control router that dynamically selects and falls back between control methods (direct API, framework hooks, accessibility APIs, vision-based control) based on availability, reliability, and capability assessment.</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The integrated system combining framework detection, hook management, unified abstraction, and fallback routing into a cohesive application control runtime.</w:t>
      </w:r>
    </w:p>
    <w:p>
      <w:pPr>
        <w:spacing w:after="200"/>
        <w:jc w:val="left"/>
      </w:pPr>
      <w:r>
        <w:rPr>
          <w:rFonts w:ascii="Arial" w:cs="Arial" w:eastAsia="Arial" w:hAnsi="Arial"/>
          <w:sz w:val="22"/>
          <w:szCs w:val="22"/>
        </w:rPr>
        <w:t xml:space="preserve">These patent claims are independent of and additional to the copyright protections of this License. Expiration of this License's restrictions on the Change Date does not grant any patent license beyond what is stated here.</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4: Commercial Licensing</w:t>
      </w:r>
    </w:p>
    <w:p>
      <w:pPr>
        <w:spacing w:after="200"/>
        <w:jc w:val="left"/>
      </w:pPr>
      <w:r>
        <w:rPr>
          <w:rFonts w:ascii="Arial" w:cs="Arial" w:eastAsia="Arial" w:hAnsi="Arial"/>
          <w:sz w:val="22"/>
          <w:szCs w:val="22"/>
        </w:rPr>
        <w:t xml:space="preserve">Commercial licenses are available from the Licensor under separate terms. Commercial license options include:</w:t>
      </w:r>
    </w:p>
    <w:p>
      <w:pPr>
        <w:pStyle w:val="Heading2"/>
        <w:spacing w:after="200" w:before="240"/>
      </w:pPr>
      <w:r>
        <w:rPr>
          <w:rFonts w:ascii="Arial" w:cs="Arial" w:eastAsia="Arial" w:hAnsi="Arial"/>
          <w:b/>
          <w:bCs/>
          <w:sz w:val="28"/>
          <w:szCs w:val="28"/>
        </w:rPr>
        <w:t xml:space="preserve">4.1 Standard Commercial License</w:t>
      </w:r>
    </w:p>
    <w:p>
      <w:pPr>
        <w:spacing w:after="200"/>
        <w:jc w:val="left"/>
      </w:pPr>
      <w:r>
        <w:rPr>
          <w:rFonts w:ascii="Arial" w:cs="Arial" w:eastAsia="Arial" w:hAnsi="Arial"/>
          <w:sz w:val="22"/>
          <w:szCs w:val="22"/>
        </w:rPr>
        <w:t xml:space="preserve">For companies building commercial products that incorporate the Licensed Work. Includes rights to embed, distribute, and use the Licensed Work in production. Pricing based on deployment scale and use case. Includes patent license for the specific commercial use case.</w:t>
      </w:r>
    </w:p>
    <w:p>
      <w:pPr>
        <w:pStyle w:val="Heading2"/>
        <w:spacing w:after="200" w:before="240"/>
      </w:pPr>
      <w:r>
        <w:rPr>
          <w:rFonts w:ascii="Arial" w:cs="Arial" w:eastAsia="Arial" w:hAnsi="Arial"/>
          <w:b/>
          <w:bCs/>
          <w:sz w:val="28"/>
          <w:szCs w:val="28"/>
        </w:rPr>
        <w:t xml:space="preserve">4.2 Enterprise License</w:t>
      </w:r>
    </w:p>
    <w:p>
      <w:pPr>
        <w:spacing w:after="200"/>
        <w:jc w:val="left"/>
      </w:pPr>
      <w:r>
        <w:rPr>
          <w:rFonts w:ascii="Arial" w:cs="Arial" w:eastAsia="Arial" w:hAnsi="Arial"/>
          <w:sz w:val="22"/>
          <w:szCs w:val="22"/>
        </w:rPr>
        <w:t xml:space="preserve">For large organizations requiring internal deployment across multiple teams, products, or subsidiaries. Includes broader patent license, priority support, and custom integration assistance. Annual licensing with volume-based pricing.</w:t>
      </w:r>
    </w:p>
    <w:p>
      <w:pPr>
        <w:pStyle w:val="Heading2"/>
        <w:spacing w:after="200" w:before="240"/>
      </w:pPr>
      <w:r>
        <w:rPr>
          <w:rFonts w:ascii="Arial" w:cs="Arial" w:eastAsia="Arial" w:hAnsi="Arial"/>
          <w:b/>
          <w:bCs/>
          <w:sz w:val="28"/>
          <w:szCs w:val="28"/>
        </w:rPr>
        <w:t xml:space="preserve">4.3 OEM / Reseller License</w:t>
      </w:r>
    </w:p>
    <w:p>
      <w:pPr>
        <w:spacing w:after="200"/>
        <w:jc w:val="left"/>
      </w:pPr>
      <w:r>
        <w:rPr>
          <w:rFonts w:ascii="Arial" w:cs="Arial" w:eastAsia="Arial" w:hAnsi="Arial"/>
          <w:sz w:val="22"/>
          <w:szCs w:val="22"/>
        </w:rPr>
        <w:t xml:space="preserve">For companies that wish to bundle the Licensed Work as part of their own product offering to their customers. Includes redistribution rights, co-branding options, and revenue-sharing arrangements. Requires separate negotiation.</w:t>
      </w:r>
    </w:p>
    <w:p>
      <w:pPr>
        <w:spacing w:after="200"/>
        <w:jc w:val="left"/>
      </w:pPr>
      <w:r>
        <w:rPr>
          <w:rFonts w:ascii="Arial" w:cs="Arial" w:eastAsia="Arial" w:hAnsi="Arial"/>
          <w:sz w:val="22"/>
          <w:szCs w:val="22"/>
        </w:rPr>
        <w:t xml:space="preserve">For commercial licensing inquiries, contact: [licensing email]</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5: Contributor License Agreement</w:t>
      </w:r>
    </w:p>
    <w:p>
      <w:pPr>
        <w:spacing w:after="200"/>
        <w:jc w:val="left"/>
      </w:pPr>
      <w:r>
        <w:rPr>
          <w:rFonts w:ascii="Arial" w:cs="Arial" w:eastAsia="Arial" w:hAnsi="Arial"/>
          <w:sz w:val="22"/>
          <w:szCs w:val="22"/>
        </w:rPr>
        <w:t xml:space="preserve">Any contributions to the Licensed Work (including but not limited to pull requests, patches, bug fixes, documentation, and framework plugins) require execution of the Licensor's Contributor License Agreement (CLA) prior to acceptance.</w:t>
      </w:r>
    </w:p>
    <w:p>
      <w:pPr>
        <w:spacing w:after="200"/>
        <w:jc w:val="left"/>
      </w:pPr>
      <w:r>
        <w:rPr>
          <w:rFonts w:ascii="Arial" w:cs="Arial" w:eastAsia="Arial" w:hAnsi="Arial"/>
          <w:sz w:val="22"/>
          <w:szCs w:val="22"/>
        </w:rPr>
        <w:t xml:space="preserve">By submitting a contribution, the contributor grants the Licensor a perpetual, worldwide, non-exclusive, royalty-free, irrevocable license to use, reproduce, modify, distribute, sublicense, and otherwise exploit the contribution in any form, including the right to relicense the contribution under different license terms.</w:t>
      </w:r>
    </w:p>
    <w:p>
      <w:pPr>
        <w:spacing w:after="200"/>
        <w:jc w:val="left"/>
      </w:pPr>
      <w:r>
        <w:rPr>
          <w:rFonts w:ascii="Arial" w:cs="Arial" w:eastAsia="Arial" w:hAnsi="Arial"/>
          <w:sz w:val="22"/>
          <w:szCs w:val="22"/>
        </w:rPr>
        <w:t xml:space="preserve">This requirement ensures the Licensor maintains the ability to offer the Licensed Work under commercial license terms, enforce patent rights, and manage the licensing structure of the project over time.</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Section 6: Enforcement and Remedies</w:t>
      </w:r>
    </w:p>
    <w:p>
      <w:pPr>
        <w:spacing w:after="200"/>
        <w:jc w:val="left"/>
      </w:pPr>
      <w:r>
        <w:rPr>
          <w:rFonts w:ascii="Arial" w:cs="Arial" w:eastAsia="Arial" w:hAnsi="Arial"/>
          <w:sz w:val="22"/>
          <w:szCs w:val="22"/>
        </w:rPr>
        <w:t xml:space="preserve">The Licensor reserves all rights to enforce this License and any associated patent rights through all available legal channels. Violations of this License may result in:</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Immediate termination of all rights granted under this License.</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Injunctive relief and damages for unauthorized commercial use.</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Separate patent infringement claims for unauthorized practice of patented methods.</w:t>
      </w:r>
    </w:p>
    <w:p>
      <w:pPr>
        <w:spacing w:after="120"/>
        <w:ind w:left="720" w:hanging="360"/>
      </w:pPr>
      <w:r>
        <w:rPr>
          <w:rFonts w:ascii="Arial" w:cs="Arial" w:eastAsia="Arial" w:hAnsi="Arial"/>
          <w:sz w:val="22"/>
          <w:szCs w:val="22"/>
        </w:rPr>
        <w:t xml:space="preserve">•  </w:t>
      </w:r>
      <w:r>
        <w:rPr>
          <w:rFonts w:ascii="Arial" w:cs="Arial" w:eastAsia="Arial" w:hAnsi="Arial"/>
          <w:sz w:val="22"/>
          <w:szCs w:val="22"/>
        </w:rPr>
        <w:t xml:space="preserve">Recovery of legal fees and costs associated with enforcement actions.</w:t>
      </w:r>
    </w:p>
    <w:p>
      <w:pPr>
        <w:spacing w:after="200"/>
        <w:jc w:val="left"/>
      </w:pPr>
      <w:r>
        <w:rPr>
          <w:rFonts w:ascii="Arial" w:cs="Arial" w:eastAsia="Arial" w:hAnsi="Arial"/>
          <w:sz w:val="22"/>
          <w:szCs w:val="22"/>
        </w:rPr>
        <w:t xml:space="preserve">The Licensor encourages good-faith resolution of licensing questions prior to enforcement. If you believe you may be in violation of this License, contact the Licensor at [contact email] to discuss commercial licensing options.</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Appendix A: Repository License Header</w:t>
      </w:r>
    </w:p>
    <w:p>
      <w:pPr>
        <w:spacing w:after="200"/>
        <w:jc w:val="left"/>
      </w:pPr>
      <w:r>
        <w:rPr>
          <w:rFonts w:ascii="Arial" w:cs="Arial" w:eastAsia="Arial" w:hAnsi="Arial"/>
          <w:sz w:val="22"/>
          <w:szCs w:val="22"/>
        </w:rPr>
        <w:t xml:space="preserve">Include the following header at the top of each source file in the Licensed Work:</w:t>
      </w:r>
    </w:p>
    <w:p>
      <w:pPr>
        <w:spacing w:after="60"/>
        <w:ind w:left="360"/>
      </w:pPr>
      <w:r>
        <w:rPr>
          <w:rFonts w:ascii="Courier New" w:cs="Courier New" w:eastAsia="Courier New" w:hAnsi="Courier New"/>
          <w:sz w:val="20"/>
          <w:szCs w:val="20"/>
        </w:rPr>
        <w:t xml:space="preserve">// Copyright (c) [Year] [Your Legal Entity Name]</w:t>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Licensed under the Business Source License 1.1 (the "License");</w:t>
      </w:r>
    </w:p>
    <w:p>
      <w:pPr>
        <w:spacing w:after="60"/>
        <w:ind w:left="360"/>
      </w:pPr>
      <w:r>
        <w:rPr>
          <w:rFonts w:ascii="Courier New" w:cs="Courier New" w:eastAsia="Courier New" w:hAnsi="Courier New"/>
          <w:sz w:val="20"/>
          <w:szCs w:val="20"/>
        </w:rPr>
        <w:t xml:space="preserve">// you may not use this file except in compliance with the License.</w:t>
      </w:r>
    </w:p>
    <w:p>
      <w:pPr>
        <w:spacing w:after="60"/>
        <w:ind w:left="360"/>
      </w:pPr>
      <w:r>
        <w:rPr>
          <w:rFonts w:ascii="Courier New" w:cs="Courier New" w:eastAsia="Courier New" w:hAnsi="Courier New"/>
          <w:sz w:val="20"/>
          <w:szCs w:val="20"/>
        </w:rPr>
        <w:t xml:space="preserve">// You may obtain a copy of the License at</w:t>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https://github.com/[org]/universal-app-bridge/LICENSE</w:t>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Unless required by applicable law or agreed to in writing, software</w:t>
      </w:r>
    </w:p>
    <w:p>
      <w:pPr>
        <w:spacing w:after="60"/>
        <w:ind w:left="360"/>
      </w:pPr>
      <w:r>
        <w:rPr>
          <w:rFonts w:ascii="Courier New" w:cs="Courier New" w:eastAsia="Courier New" w:hAnsi="Courier New"/>
          <w:sz w:val="20"/>
          <w:szCs w:val="20"/>
        </w:rPr>
        <w:t xml:space="preserve">// distributed under the License is distributed on an "AS IS" BASIS,</w:t>
      </w:r>
    </w:p>
    <w:p>
      <w:pPr>
        <w:spacing w:after="60"/>
        <w:ind w:left="360"/>
      </w:pPr>
      <w:r>
        <w:rPr>
          <w:rFonts w:ascii="Courier New" w:cs="Courier New" w:eastAsia="Courier New" w:hAnsi="Courier New"/>
          <w:sz w:val="20"/>
          <w:szCs w:val="20"/>
        </w:rPr>
        <w:t xml:space="preserve">// WITHOUT WARRANTIES OR CONDITIONS OF ANY KIND, either express or implied.</w:t>
      </w:r>
    </w:p>
    <w:p>
      <w:pPr>
        <w:spacing w:after="60"/>
        <w:ind w:left="360"/>
      </w:pPr>
      <w:r>
        <w:rPr>
          <w:rFonts w:ascii="Courier New" w:cs="Courier New" w:eastAsia="Courier New" w:hAnsi="Courier New"/>
          <w:sz w:val="20"/>
          <w:szCs w:val="20"/>
        </w:rPr>
        <w:t xml:space="preserve">//</w:t>
      </w:r>
    </w:p>
    <w:p>
      <w:pPr>
        <w:spacing w:after="60"/>
        <w:ind w:left="360"/>
      </w:pPr>
      <w:r>
        <w:rPr>
          <w:rFonts w:ascii="Courier New" w:cs="Courier New" w:eastAsia="Courier New" w:hAnsi="Courier New"/>
          <w:sz w:val="20"/>
          <w:szCs w:val="20"/>
        </w:rPr>
        <w:t xml:space="preserve">// Change Date: [4 years from release date]</w:t>
      </w:r>
    </w:p>
    <w:p>
      <w:pPr>
        <w:spacing w:after="60"/>
        <w:ind w:left="360"/>
      </w:pPr>
      <w:r>
        <w:rPr>
          <w:rFonts w:ascii="Courier New" w:cs="Courier New" w:eastAsia="Courier New" w:hAnsi="Courier New"/>
          <w:sz w:val="20"/>
          <w:szCs w:val="20"/>
        </w:rPr>
        <w:t xml:space="preserve">// Change License: Apache License, Version 2.0</w:t>
      </w:r>
    </w:p>
    <w:p>
      <w:pPr>
        <w:spacing w:after="60"/>
        <w:ind w:left="360"/>
      </w:pPr>
      <w:r>
        <w:rPr>
          <w:rFonts w:ascii="Courier New" w:cs="Courier New" w:eastAsia="Courier New" w:hAnsi="Courier New"/>
          <w:sz w:val="20"/>
          <w:szCs w:val="20"/>
        </w:rPr>
        <w:t xml:space="preserve">//</w:t>
      </w:r>
    </w:p>
    <w:p>
      <w:pPr>
        <w:spacing w:after="200"/>
        <w:ind w:left="360"/>
      </w:pPr>
      <w:r>
        <w:rPr>
          <w:rFonts w:ascii="Courier New" w:cs="Courier New" w:eastAsia="Courier New" w:hAnsi="Courier New"/>
          <w:sz w:val="20"/>
          <w:szCs w:val="20"/>
        </w:rPr>
        <w:t xml:space="preserve">// NOTICE: This software is subject to pending patent applications.</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Appendix B: README License Notice</w:t>
      </w:r>
    </w:p>
    <w:p>
      <w:pPr>
        <w:spacing w:after="200"/>
        <w:jc w:val="left"/>
      </w:pPr>
      <w:r>
        <w:rPr>
          <w:rFonts w:ascii="Arial" w:cs="Arial" w:eastAsia="Arial" w:hAnsi="Arial"/>
          <w:sz w:val="22"/>
          <w:szCs w:val="22"/>
        </w:rPr>
        <w:t xml:space="preserve">Include the following in the repository README:</w:t>
      </w:r>
    </w:p>
    <w:p>
      <w:pPr>
        <w:spacing w:after="100"/>
        <w:ind w:left="360"/>
      </w:pPr>
      <w:r>
        <w:rPr>
          <w:rFonts w:ascii="Courier New" w:cs="Courier New" w:eastAsia="Courier New" w:hAnsi="Courier New"/>
          <w:b/>
          <w:bCs/>
          <w:sz w:val="20"/>
          <w:szCs w:val="20"/>
        </w:rPr>
        <w:t xml:space="preserve">## License</w:t>
      </w:r>
    </w:p>
    <w:p>
      <w:pPr>
        <w:spacing w:after="100"/>
        <w:ind w:left="360"/>
      </w:pPr>
      <w:r>
        <w:rPr>
          <w:rFonts w:ascii="Courier New" w:cs="Courier New" w:eastAsia="Courier New" w:hAnsi="Courier New"/>
          <w:sz w:val="20"/>
          <w:szCs w:val="20"/>
        </w:rPr>
        <w:t xml:space="preserve"/>
      </w:r>
    </w:p>
    <w:p>
      <w:pPr>
        <w:spacing w:after="100"/>
        <w:ind w:left="360"/>
      </w:pPr>
      <w:r>
        <w:rPr>
          <w:rFonts w:ascii="Courier New" w:cs="Courier New" w:eastAsia="Courier New" w:hAnsi="Courier New"/>
          <w:sz w:val="20"/>
          <w:szCs w:val="20"/>
        </w:rPr>
        <w:t xml:space="preserve">Universal App Bridge is licensed under the Business Source License 1.1.</w:t>
      </w:r>
    </w:p>
    <w:p>
      <w:pPr>
        <w:spacing w:after="100"/>
        <w:ind w:left="360"/>
      </w:pPr>
      <w:r>
        <w:rPr>
          <w:rFonts w:ascii="Courier New" w:cs="Courier New" w:eastAsia="Courier New" w:hAnsi="Courier New"/>
          <w:sz w:val="20"/>
          <w:szCs w:val="20"/>
        </w:rPr>
        <w:t xml:space="preserve"/>
      </w:r>
    </w:p>
    <w:p>
      <w:pPr>
        <w:spacing w:after="100"/>
        <w:ind w:left="360"/>
      </w:pPr>
      <w:r>
        <w:rPr>
          <w:rFonts w:ascii="Courier New" w:cs="Courier New" w:eastAsia="Courier New" w:hAnsi="Courier New"/>
          <w:sz w:val="20"/>
          <w:szCs w:val="20"/>
        </w:rPr>
        <w:t xml:space="preserve">**Permitted:** Personal use, academic research, evaluation, testing,</w:t>
      </w:r>
    </w:p>
    <w:p>
      <w:pPr>
        <w:spacing w:after="100"/>
        <w:ind w:left="360"/>
      </w:pPr>
      <w:r>
        <w:rPr>
          <w:rFonts w:ascii="Courier New" w:cs="Courier New" w:eastAsia="Courier New" w:hAnsi="Courier New"/>
          <w:sz w:val="20"/>
          <w:szCs w:val="20"/>
        </w:rPr>
        <w:t xml:space="preserve">open source projects, and use within the Lancelot ecosystem.</w:t>
      </w:r>
    </w:p>
    <w:p>
      <w:pPr>
        <w:spacing w:after="100"/>
        <w:ind w:left="360"/>
      </w:pPr>
      <w:r>
        <w:rPr>
          <w:rFonts w:ascii="Courier New" w:cs="Courier New" w:eastAsia="Courier New" w:hAnsi="Courier New"/>
          <w:sz w:val="20"/>
          <w:szCs w:val="20"/>
        </w:rPr>
        <w:t xml:space="preserve"/>
      </w:r>
    </w:p>
    <w:p>
      <w:pPr>
        <w:spacing w:after="100"/>
        <w:ind w:left="360"/>
      </w:pPr>
      <w:r>
        <w:rPr>
          <w:rFonts w:ascii="Courier New" w:cs="Courier New" w:eastAsia="Courier New" w:hAnsi="Courier New"/>
          <w:sz w:val="20"/>
          <w:szCs w:val="20"/>
        </w:rPr>
        <w:t xml:space="preserve">**Requires commercial license:** Commercial agent runtimes, SaaS</w:t>
      </w:r>
    </w:p>
    <w:p>
      <w:pPr>
        <w:spacing w:after="100"/>
        <w:ind w:left="360"/>
      </w:pPr>
      <w:r>
        <w:rPr>
          <w:rFonts w:ascii="Courier New" w:cs="Courier New" w:eastAsia="Courier New" w:hAnsi="Courier New"/>
          <w:sz w:val="20"/>
          <w:szCs w:val="20"/>
        </w:rPr>
        <w:t xml:space="preserve">platforms, enterprise internal use (25+ employees), competing</w:t>
      </w:r>
    </w:p>
    <w:p>
      <w:pPr>
        <w:spacing w:after="100"/>
        <w:ind w:left="360"/>
      </w:pPr>
      <w:r>
        <w:rPr>
          <w:rFonts w:ascii="Courier New" w:cs="Courier New" w:eastAsia="Courier New" w:hAnsi="Courier New"/>
          <w:sz w:val="20"/>
          <w:szCs w:val="20"/>
        </w:rPr>
        <w:t xml:space="preserve">products, and deployments to 5+ users/devices.</w:t>
      </w:r>
    </w:p>
    <w:p>
      <w:pPr>
        <w:spacing w:after="100"/>
        <w:ind w:left="360"/>
      </w:pPr>
      <w:r>
        <w:rPr>
          <w:rFonts w:ascii="Courier New" w:cs="Courier New" w:eastAsia="Courier New" w:hAnsi="Courier New"/>
          <w:sz w:val="20"/>
          <w:szCs w:val="20"/>
        </w:rPr>
        <w:t xml:space="preserve"/>
      </w:r>
    </w:p>
    <w:p>
      <w:pPr>
        <w:spacing w:after="100"/>
        <w:ind w:left="360"/>
      </w:pPr>
      <w:r>
        <w:rPr>
          <w:rFonts w:ascii="Courier New" w:cs="Courier New" w:eastAsia="Courier New" w:hAnsi="Courier New"/>
          <w:sz w:val="20"/>
          <w:szCs w:val="20"/>
        </w:rPr>
        <w:t xml:space="preserve">**Patent notice:** This software is subject to pending patent</w:t>
      </w:r>
    </w:p>
    <w:p>
      <w:pPr>
        <w:spacing w:after="100"/>
        <w:ind w:left="360"/>
      </w:pPr>
      <w:r>
        <w:rPr>
          <w:rFonts w:ascii="Courier New" w:cs="Courier New" w:eastAsia="Courier New" w:hAnsi="Courier New"/>
          <w:sz w:val="20"/>
          <w:szCs w:val="20"/>
        </w:rPr>
        <w:t xml:space="preserve">applications. The Change Date license conversion does not grant</w:t>
      </w:r>
    </w:p>
    <w:p>
      <w:pPr>
        <w:spacing w:after="100"/>
        <w:ind w:left="360"/>
      </w:pPr>
      <w:r>
        <w:rPr>
          <w:rFonts w:ascii="Courier New" w:cs="Courier New" w:eastAsia="Courier New" w:hAnsi="Courier New"/>
          <w:sz w:val="20"/>
          <w:szCs w:val="20"/>
        </w:rPr>
        <w:t xml:space="preserve">patent rights beyond those stated in the License.</w:t>
      </w:r>
    </w:p>
    <w:p>
      <w:pPr>
        <w:spacing w:after="100"/>
        <w:ind w:left="360"/>
      </w:pPr>
      <w:r>
        <w:rPr>
          <w:rFonts w:ascii="Courier New" w:cs="Courier New" w:eastAsia="Courier New" w:hAnsi="Courier New"/>
          <w:sz w:val="20"/>
          <w:szCs w:val="20"/>
        </w:rPr>
        <w:t xml:space="preserve"/>
      </w:r>
    </w:p>
    <w:p>
      <w:pPr>
        <w:spacing w:after="200"/>
        <w:ind w:left="360"/>
      </w:pPr>
      <w:r>
        <w:rPr>
          <w:rFonts w:ascii="Courier New" w:cs="Courier New" w:eastAsia="Courier New" w:hAnsi="Courier New"/>
          <w:sz w:val="20"/>
          <w:szCs w:val="20"/>
        </w:rPr>
        <w:t xml:space="preserve">Each version converts to Apache 2.0 four years after release.</w:t>
      </w:r>
    </w:p>
    <w:p>
      <w:pPr>
        <w:pBdr>
          <w:bottom w:val="single" w:color="999999" w:sz="6" w:space="1"/>
        </w:pBdr>
        <w:spacing w:after="200" w:before="200"/>
      </w:pPr>
    </w:p>
    <w:p>
      <w:pPr>
        <w:pStyle w:val="Heading1"/>
        <w:spacing w:after="200" w:before="360"/>
      </w:pPr>
      <w:r>
        <w:rPr>
          <w:rFonts w:ascii="Arial" w:cs="Arial" w:eastAsia="Arial" w:hAnsi="Arial"/>
          <w:b/>
          <w:bCs/>
          <w:sz w:val="32"/>
          <w:szCs w:val="32"/>
        </w:rPr>
        <w:t xml:space="preserve">Appendix C: Action Items Before Use</w:t>
      </w:r>
    </w:p>
    <w:p>
      <w:pPr>
        <w:spacing w:after="200"/>
        <w:jc w:val="left"/>
      </w:pPr>
      <w:r>
        <w:rPr>
          <w:rFonts w:ascii="Arial" w:cs="Arial" w:eastAsia="Arial" w:hAnsi="Arial"/>
          <w:sz w:val="22"/>
          <w:szCs w:val="22"/>
        </w:rPr>
        <w:t xml:space="preserve">Before publishing the Licensed Work under this License, complete the following:</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Fill in placeholders. </w:t>
      </w:r>
      <w:r>
        <w:rPr>
          <w:rFonts w:ascii="Arial" w:cs="Arial" w:eastAsia="Arial" w:hAnsi="Arial"/>
          <w:sz w:val="22"/>
          <w:szCs w:val="22"/>
        </w:rPr>
        <w:t xml:space="preserve">Replace all [bracketed placeholders] with actual values (legal entity name, year, contact email, repository URL).</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File provisional patent. </w:t>
      </w:r>
      <w:r>
        <w:rPr>
          <w:rFonts w:ascii="Arial" w:cs="Arial" w:eastAsia="Arial" w:hAnsi="Arial"/>
          <w:sz w:val="22"/>
          <w:szCs w:val="22"/>
        </w:rPr>
        <w:t xml:space="preserve">File the provisional patent application for UAB's framework detection, unified API abstraction, hook injection, and fallback routing architecture. Reference this license in the patent filing.</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Attorney review. </w:t>
      </w:r>
      <w:r>
        <w:rPr>
          <w:rFonts w:ascii="Arial" w:cs="Arial" w:eastAsia="Arial" w:hAnsi="Arial"/>
          <w:sz w:val="22"/>
          <w:szCs w:val="22"/>
        </w:rPr>
        <w:t xml:space="preserve">Have a licensed attorney in your jurisdiction review this document, particularly Sections 2, 3, and 6, to ensure enforceability under applicable law. BSL 1.1 is well-established but the Additional Use Grant and Patent Notice sections are custom.</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Prepare CLA. </w:t>
      </w:r>
      <w:r>
        <w:rPr>
          <w:rFonts w:ascii="Arial" w:cs="Arial" w:eastAsia="Arial" w:hAnsi="Arial"/>
          <w:sz w:val="22"/>
          <w:szCs w:val="22"/>
        </w:rPr>
        <w:t xml:space="preserve">Draft the CLA document referenced in Section 5. Standard templates are available from Apache, Google, and others. Customize to match your licensing structure.</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Entity consistency. </w:t>
      </w:r>
      <w:r>
        <w:rPr>
          <w:rFonts w:ascii="Arial" w:cs="Arial" w:eastAsia="Arial" w:hAnsi="Arial"/>
          <w:sz w:val="22"/>
          <w:szCs w:val="22"/>
        </w:rPr>
        <w:t xml:space="preserve">If the same legal entity owns Lancelot, UAB, TradeOS, and Ada, ensure the entity name is consistent across all license files and patent filings.</w:t>
      </w:r>
    </w:p>
    <w:p>
      <w:pPr>
        <w:spacing w:after="120"/>
        <w:ind w:left="720" w:hanging="360"/>
      </w:pPr>
      <w:r>
        <w:rPr>
          <w:rFonts w:ascii="Arial" w:cs="Arial" w:eastAsia="Arial" w:hAnsi="Arial"/>
          <w:sz w:val="22"/>
          <w:szCs w:val="22"/>
        </w:rPr>
        <w:t xml:space="preserve">•  </w:t>
      </w:r>
      <w:r>
        <w:rPr>
          <w:rFonts w:ascii="Arial" w:cs="Arial" w:eastAsia="Arial" w:hAnsi="Arial"/>
          <w:b/>
          <w:bCs/>
          <w:sz w:val="22"/>
          <w:szCs w:val="22"/>
        </w:rPr>
        <w:t xml:space="preserve">Cross-reference patents. </w:t>
      </w:r>
      <w:r>
        <w:rPr>
          <w:rFonts w:ascii="Arial" w:cs="Arial" w:eastAsia="Arial" w:hAnsi="Arial"/>
          <w:sz w:val="22"/>
          <w:szCs w:val="22"/>
        </w:rPr>
        <w:t xml:space="preserve">Consider whether the Lancelot provisional patent (filed February 2026) needs amendments to reference UAB, or whether the two filings should remain fully independent. An IP attorney can advise.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200" w:before="240"/>
      <w:outlineLvl w:val="1"/>
    </w:pPr>
    <w:rPr>
      <w:rFonts w:ascii="Arial" w:cs="Arial" w:eastAsia="Arial" w:hAnsi="Arial"/>
      <w:b/>
      <w:bCs/>
      <w:sz w:val="28"/>
      <w:szCs w:val="28"/>
    </w:rPr>
  </w:style>
  <w:style w:type="paragraph" w:styleId="Heading3">
    <w:name w:val="Heading 3"/>
    <w:basedOn w:val="Normal"/>
    <w:next w:val="Normal"/>
    <w:qFormat/>
    <w:pPr>
      <w:spacing w:after="1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2026-03-01T15:35:02.673Z</dcterms:created>
  <dcterms:modified xsi:type="dcterms:W3CDTF">2026-03-01T15:35:02.674Z</dcterms:modified>
</cp:coreProperties>
</file>

<file path=docProps/custom.xml><?xml version="1.0" encoding="utf-8"?>
<Properties xmlns="http://schemas.openxmlformats.org/officeDocument/2006/custom-properties" xmlns:vt="http://schemas.openxmlformats.org/officeDocument/2006/docPropsVTypes"/>
</file>