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A51868" w:rsidP="00C83BA3">
      <w:pPr>
        <w:pStyle w:val="Title"/>
        <w:framePr w:w="8899" w:wrap="notBeside" w:x="1527"/>
      </w:pPr>
      <w:r>
        <w:t>Phương Pháp</w:t>
      </w:r>
      <w:r w:rsidR="007A3CF6">
        <w:t xml:space="preserve"> Dự Đoán Xu Hướng </w:t>
      </w:r>
      <w:r>
        <w:t>Cổ Phiếu</w:t>
      </w:r>
      <w:r w:rsidR="007A3CF6">
        <w:t xml:space="preserve"> </w:t>
      </w:r>
      <w:r w:rsidR="0083650F">
        <w:t>Dựa Trên Việc Kết Hợp K-Means V</w:t>
      </w:r>
      <w:r w:rsidR="007A3CF6">
        <w:t>à SVM Với Ước Lượng Xác Suất Lớp</w:t>
      </w:r>
    </w:p>
    <w:p w:rsidR="00C83BA3" w:rsidRPr="00C83BA3" w:rsidRDefault="00C83BA3" w:rsidP="00237679">
      <w:pPr>
        <w:pStyle w:val="Authors"/>
        <w:framePr w:h="381" w:hRule="exact" w:wrap="around" w:x="1638" w:y="1853"/>
      </w:pPr>
      <w:r>
        <w:t>Vạn Duy Thanh Long, Lê Minh Duy</w:t>
      </w:r>
    </w:p>
    <w:p w:rsidR="00E97402" w:rsidRPr="00A6226F" w:rsidRDefault="00AE650C" w:rsidP="00A6226F">
      <w:pPr>
        <w:pStyle w:val="StyleAbstractItalic"/>
      </w:pPr>
      <w:r w:rsidRPr="00A6226F">
        <w:t>Tóm tắt</w:t>
      </w:r>
      <w:r w:rsidR="00EA3464" w:rsidRPr="00A6226F">
        <w:t xml:space="preserve">—Trong bài báo này, chúng tôi đề xuất một mô hình kết hợp giữa K-Means và SVM với ước lượng xác suất lớp để giải quyết bài toán phân lớp cho dự đoán xu hướng </w:t>
      </w:r>
      <w:r w:rsidR="00A51868">
        <w:t xml:space="preserve">các cổ phiếu </w:t>
      </w:r>
      <w:r w:rsidR="00EA3464" w:rsidRPr="00A6226F">
        <w:t>ở th</w:t>
      </w:r>
      <w:r w:rsidR="00AC1BBF">
        <w:t>ị trường Việt Nam. V</w:t>
      </w:r>
      <w:r w:rsidR="00EA3464" w:rsidRPr="00A6226F">
        <w:t xml:space="preserve">iệc dự đoán được thực hiện không chỉ ở chu kỳ 1 ngày tiếp theo mà </w:t>
      </w:r>
      <w:r w:rsidR="00AC1BBF">
        <w:t>cho cả</w:t>
      </w:r>
      <w:r w:rsidR="00EA3464" w:rsidRPr="00A6226F">
        <w:t xml:space="preserve"> chu kỳ 5 ngày. Để đánh giá độ chính xác của mô hình đề xuất, chúng tôi so sánh hiệu quả dự đoán với mô hì</w:t>
      </w:r>
      <w:r w:rsidR="00CD2AFA">
        <w:t>nh mạng nơ-ron nhân tạo,</w:t>
      </w:r>
      <w:r w:rsidR="00EA3464" w:rsidRPr="00A6226F">
        <w:t xml:space="preserve"> </w:t>
      </w:r>
      <w:r w:rsidR="00CD2AFA">
        <w:t xml:space="preserve">mô hình SVM truyền thống và </w:t>
      </w:r>
      <w:r w:rsidR="00EA3464" w:rsidRPr="00A6226F">
        <w:t xml:space="preserve">mô hình SVM với ước lượng xác suất lớp. Kết quả cho thấy, mô hình của chúng tôi vượt trội so với những mô hình trên, đồng thời cho thấy khả năng dự đoán </w:t>
      </w:r>
      <w:r w:rsidR="00932F53" w:rsidRPr="00A6226F">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r w:rsidR="008C5D59">
        <w:t>, dự đoán xu hướng chứng khoán.</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CD2AFA">
        <w:t xml:space="preserve"> </w:t>
      </w:r>
      <w:r w:rsidR="009733E3">
        <w:t xml:space="preserve">Để dự đoán được bước đi của thị trường ở một tỷ lệ chính xác cao là rất khó </w:t>
      </w:r>
      <w:r w:rsidR="009573D1">
        <w:fldChar w:fldCharType="begin"/>
      </w:r>
      <w:r w:rsidR="009573D1">
        <w:instrText xml:space="preserve"> REF _Ref288225470 \h </w:instrText>
      </w:r>
      <w:r w:rsidR="009573D1">
        <w:fldChar w:fldCharType="separate"/>
      </w:r>
      <w:r w:rsidR="00260C26">
        <w:t>[</w:t>
      </w:r>
      <w:r w:rsidR="00260C26">
        <w:rPr>
          <w:noProof/>
        </w:rPr>
        <w:t>16</w:t>
      </w:r>
      <w:r w:rsidR="009573D1">
        <w:fldChar w:fldCharType="end"/>
      </w:r>
      <w:r w:rsidR="009573D1">
        <w:t>]</w:t>
      </w:r>
      <w:r w:rsidR="009733E3">
        <w:t>, vì dữ liệu chuỗi thời gian biến động phi tuyến ở mức cao.</w:t>
      </w:r>
      <w:r w:rsidR="00CD2AFA">
        <w:t xml:space="preserve"> </w:t>
      </w:r>
      <w:r w:rsidR="00956AEA">
        <w:t>Đ</w:t>
      </w:r>
      <w:r w:rsidR="00FB42F7">
        <w:t xml:space="preserve">ối với các nhà nghiên cứu, việc chọn được một mô hình phù hợp cho mục đích trên </w:t>
      </w:r>
      <w:r w:rsidR="007A4BB4">
        <w:t>là một vấn đề nhiều thách thức.</w:t>
      </w:r>
      <w:r w:rsidR="00CD2AFA">
        <w:t xml:space="preserve"> </w:t>
      </w:r>
      <w:r w:rsidR="00956AEA">
        <w:t xml:space="preserve">Thông thường, trong những cách tiếp cận bài toán dự đoán xu hướng, người ta chọn xem xét nó như một bài toán phân </w:t>
      </w:r>
      <w:r w:rsidR="007560AE">
        <w:t xml:space="preserve">hai </w:t>
      </w:r>
      <w:r w:rsidR="00956AEA">
        <w:t>lớp</w:t>
      </w:r>
      <w:r w:rsidR="007560AE">
        <w:t>: xu hướng tăng và xu hướng giảm</w:t>
      </w:r>
      <w:r w:rsidR="00956AEA">
        <w:t>. Cụ thể, trong nghiên cứu này, chúng tôi sẽ giải quyết bài toán phân ba lớp: xu hướng tăng, xu hướng giảm và không có xu hướng.</w:t>
      </w:r>
    </w:p>
    <w:p w:rsidR="00562DC9" w:rsidRDefault="007A4BB4" w:rsidP="00E85929">
      <w:pPr>
        <w:pStyle w:val="Text"/>
      </w:pPr>
      <w:r>
        <w:t>Gần đây, các nghiên cứu đạt được hiệu quả cao thường đi theo hướng tính toán mềm và khai thác dữ liệu</w:t>
      </w:r>
      <w:r w:rsidR="006E05B9">
        <w:t xml:space="preserve"> </w:t>
      </w:r>
      <w:r w:rsidR="002723F5">
        <w:fldChar w:fldCharType="begin"/>
      </w:r>
      <w:r w:rsidR="002723F5">
        <w:instrText xml:space="preserve"> REF _Ref288225117 \h </w:instrText>
      </w:r>
      <w:r w:rsidR="002723F5">
        <w:fldChar w:fldCharType="separate"/>
      </w:r>
      <w:r w:rsidR="00260C26">
        <w:t>[</w:t>
      </w:r>
      <w:r w:rsidR="00260C26">
        <w:rPr>
          <w:noProof/>
        </w:rPr>
        <w:t>6</w:t>
      </w:r>
      <w:r w:rsidR="002723F5">
        <w:fldChar w:fldCharType="end"/>
      </w:r>
      <w:r w:rsidR="002723F5">
        <w:t>]</w:t>
      </w:r>
      <w:r w:rsidR="006E05B9">
        <w:t xml:space="preserve">. </w:t>
      </w:r>
      <w:r w:rsidR="00AB4550">
        <w:t>Rất n</w:t>
      </w:r>
      <w:r w:rsidR="00956AEA">
        <w:t>hiều nghiên cứu sử dụng</w:t>
      </w:r>
      <w:r w:rsidR="00960CEF">
        <w:t xml:space="preserve"> mạng nơ-ron nhân tạo (ANN</w:t>
      </w:r>
      <w:r w:rsidR="003B537B">
        <w:t>)</w:t>
      </w:r>
      <w:r w:rsidR="00FA6E89">
        <w:t xml:space="preserve"> và sau đó là </w:t>
      </w:r>
      <w:r w:rsidR="00960CEF">
        <w:t>các</w:t>
      </w:r>
      <w:r w:rsidR="00FA6E89">
        <w:t xml:space="preserve"> cải tiến cho dự đoán xu hướng </w:t>
      </w:r>
      <w:r w:rsidR="002723F5">
        <w:fldChar w:fldCharType="begin"/>
      </w:r>
      <w:r w:rsidR="002723F5">
        <w:instrText xml:space="preserve"> REF _Ref288225095 \h </w:instrText>
      </w:r>
      <w:r w:rsidR="002723F5">
        <w:fldChar w:fldCharType="separate"/>
      </w:r>
      <w:r w:rsidR="00260C26">
        <w:t>[</w:t>
      </w:r>
      <w:r w:rsidR="00260C26">
        <w:rPr>
          <w:noProof/>
        </w:rPr>
        <w:t>5</w:t>
      </w:r>
      <w:r w:rsidR="002723F5">
        <w:fldChar w:fldCharType="end"/>
      </w:r>
      <w:r w:rsidR="002723F5">
        <w:t>]</w:t>
      </w:r>
      <w:r w:rsidR="00CD2AFA">
        <w:t xml:space="preserve">, </w:t>
      </w:r>
      <w:r w:rsidR="002723F5">
        <w:fldChar w:fldCharType="begin"/>
      </w:r>
      <w:r w:rsidR="002723F5">
        <w:instrText xml:space="preserve"> REF _Ref288225170 \h </w:instrText>
      </w:r>
      <w:r w:rsidR="002723F5">
        <w:fldChar w:fldCharType="separate"/>
      </w:r>
      <w:r w:rsidR="00260C26">
        <w:t>[</w:t>
      </w:r>
      <w:r w:rsidR="00260C26">
        <w:rPr>
          <w:noProof/>
        </w:rPr>
        <w:t>8</w:t>
      </w:r>
      <w:r w:rsidR="002723F5">
        <w:fldChar w:fldCharType="end"/>
      </w:r>
      <w:r w:rsidR="002723F5">
        <w:t>]</w:t>
      </w:r>
      <w:r w:rsidR="00CD2AFA">
        <w:t xml:space="preserve">, </w:t>
      </w:r>
      <w:r w:rsidR="009573D1">
        <w:fldChar w:fldCharType="begin"/>
      </w:r>
      <w:r w:rsidR="009573D1">
        <w:instrText xml:space="preserve"> REF _Ref288225629 \h </w:instrText>
      </w:r>
      <w:r w:rsidR="009573D1">
        <w:fldChar w:fldCharType="separate"/>
      </w:r>
      <w:r w:rsidR="00260C26">
        <w:t>[</w:t>
      </w:r>
      <w:r w:rsidR="00260C26">
        <w:rPr>
          <w:noProof/>
        </w:rPr>
        <w:t>24</w:t>
      </w:r>
      <w:r w:rsidR="009573D1">
        <w:fldChar w:fldCharType="end"/>
      </w:r>
      <w:r w:rsidR="009573D1">
        <w:t>]</w:t>
      </w:r>
      <w:r w:rsidR="00FA6E89">
        <w:t>.</w:t>
      </w:r>
      <w:r w:rsidR="00960CEF">
        <w:t xml:space="preserve"> </w:t>
      </w:r>
      <w:r w:rsidR="00FA6E89">
        <w:t xml:space="preserve">Từ những </w:t>
      </w:r>
      <w:r w:rsidR="00505C5D">
        <w:t xml:space="preserve">thành tựu ban đầu, người ta xây dựng các hệ lai giữa ANN và tính toán mờ </w:t>
      </w:r>
      <w:r w:rsidR="002723F5">
        <w:fldChar w:fldCharType="begin"/>
      </w:r>
      <w:r w:rsidR="002723F5">
        <w:instrText xml:space="preserve"> REF _Ref288225143 \h </w:instrText>
      </w:r>
      <w:r w:rsidR="002723F5">
        <w:fldChar w:fldCharType="separate"/>
      </w:r>
      <w:r w:rsidR="00260C26">
        <w:t>[</w:t>
      </w:r>
      <w:r w:rsidR="00260C26">
        <w:rPr>
          <w:noProof/>
        </w:rPr>
        <w:t>7</w:t>
      </w:r>
      <w:r w:rsidR="002723F5">
        <w:fldChar w:fldCharType="end"/>
      </w:r>
      <w:r w:rsidR="002723F5">
        <w:t>]</w:t>
      </w:r>
      <w:r w:rsidR="00CD2AFA">
        <w:t xml:space="preserve">, </w:t>
      </w:r>
      <w:r w:rsidR="009573D1">
        <w:fldChar w:fldCharType="begin"/>
      </w:r>
      <w:r w:rsidR="009573D1">
        <w:instrText xml:space="preserve"> REF _Ref288225598 \h </w:instrText>
      </w:r>
      <w:r w:rsidR="009573D1">
        <w:fldChar w:fldCharType="separate"/>
      </w:r>
      <w:r w:rsidR="00260C26">
        <w:t>[</w:t>
      </w:r>
      <w:r w:rsidR="00260C26">
        <w:rPr>
          <w:noProof/>
        </w:rPr>
        <w:t>22</w:t>
      </w:r>
      <w:r w:rsidR="009573D1">
        <w:fldChar w:fldCharType="end"/>
      </w:r>
      <w:r w:rsidR="009573D1">
        <w:t>]</w:t>
      </w:r>
      <w:r w:rsidR="00505C5D">
        <w:t xml:space="preserve">, ANN và thuật </w:t>
      </w:r>
      <w:r w:rsidR="003B537B">
        <w:t>giải di truyền</w:t>
      </w:r>
      <w:r w:rsidR="00CD2AFA">
        <w:t xml:space="preserve"> </w:t>
      </w:r>
      <w:r w:rsidR="009573D1">
        <w:fldChar w:fldCharType="begin"/>
      </w:r>
      <w:r w:rsidR="009573D1">
        <w:instrText xml:space="preserve"> REF _Ref288225660 \h </w:instrText>
      </w:r>
      <w:r w:rsidR="009573D1">
        <w:fldChar w:fldCharType="separate"/>
      </w:r>
      <w:r w:rsidR="00260C26">
        <w:t>[</w:t>
      </w:r>
      <w:r w:rsidR="00260C26">
        <w:rPr>
          <w:noProof/>
        </w:rPr>
        <w:t>26</w:t>
      </w:r>
      <w:r w:rsidR="009573D1">
        <w:fldChar w:fldCharType="end"/>
      </w:r>
      <w:r w:rsidR="000200BE">
        <w:t>]</w:t>
      </w:r>
      <w:r w:rsidR="007C19A3">
        <w:t>.</w:t>
      </w:r>
      <w:r w:rsidR="00960CEF">
        <w:t xml:space="preserve"> </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 </w:t>
      </w:r>
      <w:r w:rsidR="00CD2AFA">
        <w:t xml:space="preserve">được </w:t>
      </w:r>
      <w:r w:rsidR="004C7471">
        <w:t>phát triển bởi Vapnik (1995), là một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mô hình SVM </w:t>
      </w:r>
      <w:r w:rsidR="007560AE">
        <w:t>cùng những cải tiến</w:t>
      </w:r>
      <w:r w:rsidR="00B145A8">
        <w:t xml:space="preserve"> </w:t>
      </w:r>
      <w:r w:rsidR="00A364C4">
        <w:t>cho thấy</w:t>
      </w:r>
      <w:r w:rsidR="00A64F32">
        <w:t xml:space="preserve"> hiệu quả dự đoán</w:t>
      </w:r>
      <w:r w:rsidR="005C66E6">
        <w:t xml:space="preserve"> </w:t>
      </w:r>
      <w:r w:rsidR="00A51868">
        <w:t>rất tốt</w:t>
      </w:r>
      <w:r w:rsidR="00960CEF">
        <w:t xml:space="preserve">. Mô hình SVM cải tiến bằng việc kết hợp với tính toán mờ và thuật giải di truyền cho kết quả tốt hơn BPNN với cùng cải tiến trong việc dự đoán xu hướng </w:t>
      </w:r>
      <w:r w:rsidR="00B542E7">
        <w:t xml:space="preserve">chứng khoán ở thị trường Đài Loan </w:t>
      </w:r>
      <w:r w:rsidR="00B542E7">
        <w:fldChar w:fldCharType="begin"/>
      </w:r>
      <w:r w:rsidR="00B542E7">
        <w:instrText xml:space="preserve"> REF _Ref288225017 \h </w:instrText>
      </w:r>
      <w:r w:rsidR="00B542E7">
        <w:fldChar w:fldCharType="separate"/>
      </w:r>
      <w:r w:rsidR="00B542E7">
        <w:t>[</w:t>
      </w:r>
      <w:r w:rsidR="00B542E7">
        <w:rPr>
          <w:noProof/>
        </w:rPr>
        <w:t>4</w:t>
      </w:r>
      <w:r w:rsidR="00B542E7">
        <w:fldChar w:fldCharType="end"/>
      </w:r>
      <w:r w:rsidR="00B542E7">
        <w:t>]</w:t>
      </w:r>
      <w:r w:rsidR="005C66E6">
        <w:t>.</w:t>
      </w:r>
      <w:r w:rsidR="00B145A8">
        <w:t xml:space="preserve"> </w:t>
      </w:r>
      <w:r w:rsidR="00B542E7">
        <w:t>Sự kết hợp giữa SVM với phương pháp trích chọn đặc trưng cũng đem lại kết quả vượt trội so với BPNN truyền thống trong việc dự đoán xu hướng chỉ số NASDAQ</w:t>
      </w:r>
      <w:r w:rsidR="00A51868">
        <w:t xml:space="preserve"> </w:t>
      </w:r>
      <w:r w:rsidR="00A51868">
        <w:fldChar w:fldCharType="begin"/>
      </w:r>
      <w:r w:rsidR="00A51868">
        <w:instrText xml:space="preserve"> REF _Ref288225260 \h </w:instrText>
      </w:r>
      <w:r w:rsidR="00A51868">
        <w:fldChar w:fldCharType="separate"/>
      </w:r>
      <w:r w:rsidR="00A51868">
        <w:t>[</w:t>
      </w:r>
      <w:r w:rsidR="00A51868">
        <w:rPr>
          <w:noProof/>
        </w:rPr>
        <w:t>11</w:t>
      </w:r>
      <w:r w:rsidR="00A51868">
        <w:fldChar w:fldCharType="end"/>
      </w:r>
      <w:r w:rsidR="00A51868">
        <w:t>]</w:t>
      </w:r>
      <w:r w:rsidR="00B542E7">
        <w:t xml:space="preserve">. Bên cạnh đó, bằng cách áp dụng lý thuyết hộp vào mô hình SVM hồi quy (SVR), hệ thống hỗ trợ ra quyết định mua bán </w:t>
      </w:r>
      <w:r w:rsidR="00A51868">
        <w:t xml:space="preserve">các </w:t>
      </w:r>
      <w:r w:rsidR="00B542E7">
        <w:t>cổ phiếu</w:t>
      </w:r>
      <w:r w:rsidR="00A51868">
        <w:t xml:space="preserve"> trong danh mục S&amp;P500 cũng đem về lợi nhuận cao hơn hẳn so với phương pháp mua và giữ </w:t>
      </w:r>
      <w:r w:rsidR="00A51868">
        <w:fldChar w:fldCharType="begin"/>
      </w:r>
      <w:r w:rsidR="00A51868">
        <w:instrText xml:space="preserve"> REF _Ref288225274 \h </w:instrText>
      </w:r>
      <w:r w:rsidR="00A51868">
        <w:fldChar w:fldCharType="separate"/>
      </w:r>
      <w:r w:rsidR="00A51868">
        <w:t>[</w:t>
      </w:r>
      <w:r w:rsidR="00A51868">
        <w:rPr>
          <w:noProof/>
        </w:rPr>
        <w:t>12</w:t>
      </w:r>
      <w:r w:rsidR="00A51868">
        <w:fldChar w:fldCharType="end"/>
      </w:r>
      <w:r w:rsidR="00A51868">
        <w:t>]</w:t>
      </w:r>
      <w:r w:rsidR="00A51868">
        <w:t xml:space="preserve">. </w:t>
      </w:r>
      <w:r w:rsidR="007560AE">
        <w:t>Ngoài ra</w:t>
      </w:r>
      <w:r w:rsidR="00B14908">
        <w:t xml:space="preserve">, </w:t>
      </w:r>
      <w:r w:rsidR="007560AE">
        <w:t>với mục đích nâng cao độ chính xác</w:t>
      </w:r>
      <w:r w:rsidR="00B14908">
        <w:t xml:space="preserve"> </w:t>
      </w:r>
      <w:r w:rsidR="009573D1">
        <w:fldChar w:fldCharType="begin"/>
      </w:r>
      <w:r w:rsidR="009573D1">
        <w:instrText xml:space="preserve"> REF _Ref288225557 \h </w:instrText>
      </w:r>
      <w:r w:rsidR="009573D1">
        <w:fldChar w:fldCharType="separate"/>
      </w:r>
      <w:r w:rsidR="00260C26">
        <w:t>[</w:t>
      </w:r>
      <w:r w:rsidR="00260C26">
        <w:rPr>
          <w:noProof/>
        </w:rPr>
        <w:t>20</w:t>
      </w:r>
      <w:r w:rsidR="009573D1">
        <w:fldChar w:fldCharType="end"/>
      </w:r>
      <w:r w:rsidR="009573D1">
        <w:t>]</w:t>
      </w:r>
      <w:r w:rsidR="00B145A8">
        <w:t xml:space="preserve">, </w:t>
      </w:r>
      <w:r w:rsidR="009573D1">
        <w:fldChar w:fldCharType="begin"/>
      </w:r>
      <w:r w:rsidR="009573D1">
        <w:instrText xml:space="preserve"> REF _Ref288225613 \h </w:instrText>
      </w:r>
      <w:r w:rsidR="009573D1">
        <w:fldChar w:fldCharType="separate"/>
      </w:r>
      <w:r w:rsidR="00260C26">
        <w:t>[</w:t>
      </w:r>
      <w:r w:rsidR="00260C26">
        <w:rPr>
          <w:noProof/>
        </w:rPr>
        <w:t>23</w:t>
      </w:r>
      <w:r w:rsidR="009573D1">
        <w:fldChar w:fldCharType="end"/>
      </w:r>
      <w:r w:rsidR="009573D1">
        <w:t>]</w:t>
      </w:r>
      <w:r w:rsidR="00B145A8">
        <w:t xml:space="preserve"> đã áp dụng mô hình </w:t>
      </w:r>
      <w:r w:rsidR="00515716">
        <w:t xml:space="preserve">dự đoán giá qua </w:t>
      </w:r>
      <w:r w:rsidR="00B145A8">
        <w:t>hai giai đoạn</w:t>
      </w:r>
      <w:r w:rsidR="002374BC">
        <w:t xml:space="preserve"> bằng cách áp dụng SOM để</w:t>
      </w:r>
      <w:r w:rsidR="00B145A8">
        <w:t xml:space="preserve"> chia dữ liệu đầu vào thành</w:t>
      </w:r>
      <w:r w:rsidR="002374BC">
        <w:t xml:space="preserve"> các cụm</w:t>
      </w:r>
      <w:r w:rsidR="00B145A8">
        <w:t xml:space="preserve">; </w:t>
      </w:r>
      <w:r w:rsidR="002374BC">
        <w:t xml:space="preserve">sau đó, </w:t>
      </w:r>
      <w:r w:rsidR="00B145A8">
        <w:t xml:space="preserve"> xây dựng nên các mô hình </w:t>
      </w:r>
      <w:r w:rsidR="002374BC">
        <w:t>SVR ứng với từng cụm riêng biệt</w:t>
      </w:r>
      <w:r w:rsidR="00B145A8">
        <w:t>.</w:t>
      </w:r>
      <w:r w:rsidR="00CD2AFA">
        <w:t xml:space="preserve"> </w:t>
      </w:r>
      <w:r w:rsidR="002374BC">
        <w:t>Cà hai</w:t>
      </w:r>
      <w:r w:rsidR="009D685A">
        <w:t xml:space="preserve"> mô hình đề xuất đều cho kết quả tốt hơn mô hình SVM cơ bản.</w:t>
      </w:r>
      <w:bookmarkStart w:id="1" w:name="_GoBack"/>
      <w:bookmarkEnd w:id="1"/>
    </w:p>
    <w:p w:rsidR="00E85929" w:rsidRDefault="00562DC9" w:rsidP="000D2BAE">
      <w:pPr>
        <w:pStyle w:val="Text"/>
      </w:pPr>
      <w:r>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8359B">
        <w:t xml:space="preserve">Điều này là vì thị trường Việt Nam vẫn là một thị trường còn non trẻ và đang trong giai </w:t>
      </w:r>
      <w:r w:rsidR="00B14908">
        <w:t>đoạn phát triển.</w:t>
      </w:r>
      <w:r w:rsidR="00CD2AFA">
        <w:t xml:space="preserve"> </w:t>
      </w:r>
      <w:r w:rsidR="00B14908">
        <w:t xml:space="preserve">Bên cạnh đó, </w:t>
      </w:r>
      <w:r w:rsidR="009573D1">
        <w:fldChar w:fldCharType="begin"/>
      </w:r>
      <w:r w:rsidR="009573D1">
        <w:instrText xml:space="preserve"> REF _Ref288225644 \h </w:instrText>
      </w:r>
      <w:r w:rsidR="009573D1">
        <w:fldChar w:fldCharType="separate"/>
      </w:r>
      <w:r w:rsidR="00260C26">
        <w:t>[</w:t>
      </w:r>
      <w:r w:rsidR="00260C26">
        <w:rPr>
          <w:noProof/>
        </w:rPr>
        <w:t>25</w:t>
      </w:r>
      <w:r w:rsidR="009573D1">
        <w:fldChar w:fldCharType="end"/>
      </w:r>
      <w:r w:rsidR="009573D1">
        <w:t>]</w:t>
      </w:r>
      <w:r w:rsidR="00B14908">
        <w:t xml:space="preserve"> </w:t>
      </w:r>
      <w:r w:rsidR="00C8359B">
        <w:t>chỉ ra rằng, mỗi thị trường có những đặc trưng khác nhau, một mô hình tốt ở thị trường này không đảm bảo hiệu quả ở thị trường khác.</w:t>
      </w:r>
      <w:r w:rsidR="00807534">
        <w:t xml:space="preserve"> Dự</w:t>
      </w:r>
      <w:r w:rsidR="00515716">
        <w:t xml:space="preserve">a trên thừa nhận đó và </w:t>
      </w:r>
      <w:r w:rsidR="00807534">
        <w:t xml:space="preserve">việc tìm hiểu đặc điểm của thị trường Việt Nam, chúng tôi </w:t>
      </w:r>
      <w:r w:rsidR="00515716">
        <w:t xml:space="preserve">vận dụng tư tưởng chia để trị đã từng thành công ở các nghiên cứu trước để </w:t>
      </w:r>
      <w:r w:rsidR="00807534">
        <w:t xml:space="preserve">đưa ra </w:t>
      </w:r>
      <w:r w:rsidR="00807534">
        <w:lastRenderedPageBreak/>
        <w:t>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hình SVM với việc ước lượng xác suất lớp.</w:t>
      </w:r>
      <w:r w:rsidR="00CD2AFA">
        <w:t xml:space="preserve"> </w:t>
      </w:r>
      <w:r w:rsidR="00C52633">
        <w:t xml:space="preserve">Quá trình dự đoán cũng được </w:t>
      </w:r>
      <w:r w:rsidR="00576117">
        <w:t>thực hiện tương tự.</w:t>
      </w:r>
      <w:r w:rsidR="00636480">
        <w:t xml:space="preserve"> </w:t>
      </w:r>
      <w:r w:rsidR="00576117">
        <w:t xml:space="preserve">Sau khi </w:t>
      </w:r>
      <w:r w:rsidR="00C52633">
        <w:t>tính toán được dữ liệu kiểm thử thuộc vào cụm nào, ta dùng chính mô hình SVM của cụm đó để dự đoán.</w:t>
      </w:r>
      <w:r w:rsidR="00636480">
        <w:t xml:space="preserve"> </w:t>
      </w:r>
      <w:r w:rsidR="001037F7">
        <w:t>Mô hì</w:t>
      </w:r>
      <w:r w:rsidR="00696167">
        <w:t>nh sẽ đưa ra kết quả dự đoán ở hai</w:t>
      </w:r>
      <w:r w:rsidR="00CD2AFA">
        <w:t xml:space="preserve"> </w:t>
      </w:r>
      <w:r w:rsidR="001037F7">
        <w:t xml:space="preserve">chu kỳ: 1 ngày tiếp theo và 5 ngày tiếp theo. </w:t>
      </w:r>
      <w:r w:rsidR="002349A8">
        <w:t xml:space="preserve">Để đánh giá hiệu quả của mô hình đề xuất, chúng tôi so sánh kết quả với </w:t>
      </w:r>
      <w:r w:rsidR="00CD2AFA">
        <w:t>SVM truyền thống,</w:t>
      </w:r>
      <w:r w:rsidR="002349A8">
        <w:t xml:space="preserve">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CD2AFA">
        <w:t xml:space="preserve"> </w:t>
      </w:r>
      <w:r w:rsidR="00781326">
        <w:t xml:space="preserve">trình bày về mô hình SVM có ước </w:t>
      </w:r>
      <w:r w:rsidR="00515716">
        <w:t>lượng xác suất lớp.</w:t>
      </w:r>
      <w:r w:rsidR="00CD2AFA">
        <w:t xml:space="preserve"> </w:t>
      </w:r>
      <w:r w:rsidR="00515716">
        <w:t>Trong phần 3</w:t>
      </w:r>
      <w:r w:rsidR="00781326">
        <w:t>, mô hình để xuất sẽ được mô tả chi</w:t>
      </w:r>
      <w:r w:rsidR="00515716">
        <w:t xml:space="preserve"> tiết.</w:t>
      </w:r>
      <w:r w:rsidR="00CD2AFA">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 sắp tới.</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C6543A" w:rsidP="00BC41A3">
      <w:pPr>
        <w:pStyle w:val="Text"/>
        <w:rPr>
          <w:rFonts w:eastAsiaTheme="minorEastAsia"/>
        </w:rPr>
      </w:pPr>
      <w:r>
        <w:t>SVM</w:t>
      </w:r>
      <w:r w:rsidR="00BC41A3">
        <w:t xml:space="preserve"> là một phuơng pháp phân lớp dựa trên lý thuyết học thống kê, đuợc đề xuất bởi Vapnik (1995). Phương pháp này được mô tả chi tiết trong </w:t>
      </w:r>
      <w:r w:rsidR="009573D1">
        <w:fldChar w:fldCharType="begin"/>
      </w:r>
      <w:r w:rsidR="009573D1">
        <w:instrText xml:space="preserve"> REF _Ref288225490 \h </w:instrText>
      </w:r>
      <w:r w:rsidR="009573D1">
        <w:fldChar w:fldCharType="separate"/>
      </w:r>
      <w:r w:rsidR="00260C26">
        <w:t>[</w:t>
      </w:r>
      <w:r w:rsidR="00260C26">
        <w:rPr>
          <w:noProof/>
        </w:rPr>
        <w:t>17</w:t>
      </w:r>
      <w:r w:rsidR="009573D1">
        <w:fldChar w:fldCharType="end"/>
      </w:r>
      <w:r w:rsidR="009573D1">
        <w:t>]</w:t>
      </w:r>
      <w:r w:rsidR="00BC41A3">
        <w:t>.</w:t>
      </w:r>
      <w:r>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mô hình phân lớp nhị</w:t>
      </w:r>
      <w:r>
        <w:rPr>
          <w:rFonts w:eastAsiaTheme="minorEastAsia"/>
        </w:rPr>
        <w:t xml:space="preserve"> </w:t>
      </w:r>
      <w:r w:rsidR="00BC41A3">
        <w:rPr>
          <w:rFonts w:eastAsiaTheme="minorEastAsia"/>
        </w:rPr>
        <w:t>phân.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w:t>
      </w:r>
      <w:r w:rsidR="00C6543A">
        <w:rPr>
          <w:rFonts w:eastAsiaTheme="minorEastAsia"/>
        </w:rPr>
        <w:t xml:space="preserve"> </w:t>
      </w:r>
      <w:r>
        <w:rPr>
          <w:rFonts w:eastAsiaTheme="minorEastAsia"/>
        </w:rPr>
        <w:t xml:space="preserve">Bên cạnh đó, để đảm bảo tính tổng quát hóa cao, một biến lỏng (slack variable) đựoc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960CEF"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ctrlPr>
                  <w:rPr>
                    <w:rFonts w:ascii="Cambria Math" w:eastAsiaTheme="minorEastAsia" w:hAnsi="Cambria Math"/>
                    <w:i/>
                  </w:rPr>
                </m:ctrlPr>
              </m:lim>
            </m:limLow>
            <m:ctrlPr>
              <w:rPr>
                <w:rFonts w:ascii="Cambria Math" w:eastAsiaTheme="minorEastAsia" w:hAnsi="Cambria Math"/>
                <w:i/>
              </w:rPr>
            </m:ctrlP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ctrlPr>
                  <w:rPr>
                    <w:rFonts w:ascii="Cambria Math" w:eastAsiaTheme="minorEastAsia" w:hAnsi="Cambria Math"/>
                    <w:i/>
                  </w:rPr>
                </m:ctrlPr>
              </m:e>
              <m:sup>
                <m:r>
                  <w:rPr>
                    <w:rFonts w:ascii="Cambria Math" w:eastAsiaTheme="minorEastAsia" w:hAnsi="Cambria Math"/>
                  </w:rPr>
                  <m:t>T</m:t>
                </m:r>
                <m:ctrlPr>
                  <w:rPr>
                    <w:rFonts w:ascii="Cambria Math" w:eastAsiaTheme="minorEastAsia" w:hAnsi="Cambria Math"/>
                    <w:i/>
                  </w:rPr>
                </m:ctrlP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Sub>
              </m:e>
            </m:nary>
            <m:ctrlPr>
              <w:rPr>
                <w:rFonts w:ascii="Cambria Math" w:hAnsi="Cambria Math"/>
                <w:i/>
              </w:rPr>
            </m:ctrlPr>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9B2182">
        <w:rPr>
          <w:rFonts w:eastAsiaTheme="minorEastAsia"/>
        </w:rPr>
        <w:t xml:space="preserve"> </w:t>
      </w:r>
      <w:r w:rsidR="009573D1">
        <w:rPr>
          <w:rFonts w:eastAsiaTheme="minorEastAsia"/>
        </w:rPr>
        <w:fldChar w:fldCharType="begin"/>
      </w:r>
      <w:r w:rsidR="009573D1">
        <w:rPr>
          <w:rFonts w:eastAsiaTheme="minorEastAsia"/>
        </w:rPr>
        <w:instrText xml:space="preserve"> REF _Ref288225578 \h </w:instrText>
      </w:r>
      <w:r w:rsidR="009573D1">
        <w:rPr>
          <w:rFonts w:eastAsiaTheme="minorEastAsia"/>
        </w:rPr>
      </w:r>
      <w:r w:rsidR="009573D1">
        <w:rPr>
          <w:rFonts w:eastAsiaTheme="minorEastAsia"/>
        </w:rPr>
        <w:fldChar w:fldCharType="separate"/>
      </w:r>
      <w:r w:rsidR="00260C26">
        <w:t>[</w:t>
      </w:r>
      <w:r w:rsidR="00260C26">
        <w:rPr>
          <w:noProof/>
        </w:rPr>
        <w:t>21</w:t>
      </w:r>
      <w:r w:rsidR="009573D1">
        <w:rPr>
          <w:rFonts w:eastAsiaTheme="minorEastAsia"/>
        </w:rPr>
        <w:fldChar w:fldCharType="end"/>
      </w:r>
      <w:r w:rsidR="009573D1">
        <w:rPr>
          <w:rFonts w:eastAsiaTheme="minorEastAsia"/>
        </w:rPr>
        <w:t>]</w:t>
      </w:r>
      <w:r>
        <w:rPr>
          <w:rFonts w:eastAsiaTheme="minorEastAsia"/>
        </w:rPr>
        <w:t xml:space="preserve"> (Sequential Minimal Optimization). Phuơng pháp này đưa đến giải bài toán đối ngẫu quy hoạch toàn phương (QP-Quadratic Programming):</w:t>
      </w:r>
    </w:p>
    <w:p w:rsidR="00BC41A3" w:rsidRDefault="00960CEF" w:rsidP="00E0331F">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Pr>
          <w:rFonts w:eastAsiaTheme="minorEastAsia"/>
          <w:vertAlign w:val="superscript"/>
        </w:rPr>
        <w:t xml:space="preserve">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5F1B3B">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thay vì tính trực tiếp giá trị tích vô huớng, ta thực hiện gián tiếp thông qua K. Với thừa nhận dữ liệu chứng khoán biến đổi một cách phi tuyế</w:t>
      </w:r>
      <w:r w:rsidR="00B14908">
        <w:rPr>
          <w:rFonts w:eastAsiaTheme="minorEastAsia"/>
        </w:rPr>
        <w:t>n</w:t>
      </w:r>
      <w:r w:rsidR="005F1B3B">
        <w:rPr>
          <w:rFonts w:eastAsiaTheme="minorEastAsia"/>
        </w:rPr>
        <w:t xml:space="preserve"> </w:t>
      </w:r>
      <w:r w:rsidR="009573D1">
        <w:rPr>
          <w:rFonts w:eastAsiaTheme="minorEastAsia"/>
        </w:rPr>
        <w:fldChar w:fldCharType="begin"/>
      </w:r>
      <w:r w:rsidR="009573D1">
        <w:rPr>
          <w:rFonts w:eastAsiaTheme="minorEastAsia"/>
        </w:rPr>
        <w:instrText xml:space="preserve"> REF _Ref288225437 \h </w:instrText>
      </w:r>
      <w:r w:rsidR="009573D1">
        <w:rPr>
          <w:rFonts w:eastAsiaTheme="minorEastAsia"/>
        </w:rPr>
      </w:r>
      <w:r w:rsidR="009573D1">
        <w:rPr>
          <w:rFonts w:eastAsiaTheme="minorEastAsia"/>
        </w:rPr>
        <w:fldChar w:fldCharType="separate"/>
      </w:r>
      <w:r w:rsidR="00260C26">
        <w:t>[</w:t>
      </w:r>
      <w:r w:rsidR="00260C26">
        <w:rPr>
          <w:noProof/>
        </w:rPr>
        <w:t>14</w:t>
      </w:r>
      <w:r w:rsidR="009573D1">
        <w:rPr>
          <w:rFonts w:eastAsiaTheme="minorEastAsia"/>
        </w:rPr>
        <w:fldChar w:fldCharType="end"/>
      </w:r>
      <w:r w:rsidR="009573D1">
        <w:rPr>
          <w:rFonts w:eastAsiaTheme="minorEastAsia"/>
        </w:rPr>
        <w:t>]</w:t>
      </w:r>
      <w:r>
        <w:rPr>
          <w:rFonts w:eastAsiaTheme="minorEastAsia"/>
        </w:rPr>
        <w:t xml:space="preserve">,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Với việc áp dụng bộ phân lớp SVM, để phân k lớp, ta </w:t>
      </w:r>
      <w:r w:rsidR="00826D5F">
        <w:t>sử dụng</w:t>
      </w:r>
      <w:r>
        <w:t xml:space="preserve"> cách tiếp cận một đối một (one-</w:t>
      </w:r>
      <w:r w:rsidR="005F1B3B">
        <w:t xml:space="preserve">against-one, còn gọi pairwise). </w:t>
      </w:r>
      <w:r>
        <w:t>Vì vậy, sẽ có k(k-1)/2 bộ phân lớp được xây dựng để phân biệt mỗi cặp lớp. Trong SVM, để dự đoán được nhãn lớp, ta áp dụng chiến lược bỏ phiếu (voting strategy).</w:t>
      </w:r>
      <w:r w:rsidR="005F1B3B">
        <w:t xml:space="preserve"> </w:t>
      </w:r>
      <w:r>
        <w:t>Nghĩa là, ta sẽ xây dựng một luật để phân biệt từng cặp lớp rồi chọn lớp thuộc về cặp chiến thắng nhờ hàm</w:t>
      </w:r>
      <w:r w:rsidR="00B14908">
        <w:t xml:space="preserve"> quyết định.</w:t>
      </w:r>
      <w:r w:rsidR="009B2182">
        <w:t xml:space="preserve"> </w:t>
      </w:r>
      <w:r w:rsidR="00B14908">
        <w:t xml:space="preserve">Tuy nhiên, trong </w:t>
      </w:r>
      <w:r w:rsidR="009573D1">
        <w:fldChar w:fldCharType="begin"/>
      </w:r>
      <w:r w:rsidR="009573D1">
        <w:instrText xml:space="preserve"> REF _Ref288225453 \h </w:instrText>
      </w:r>
      <w:r w:rsidR="009573D1">
        <w:fldChar w:fldCharType="separate"/>
      </w:r>
      <w:r w:rsidR="00260C26">
        <w:t>[</w:t>
      </w:r>
      <w:r w:rsidR="00260C26">
        <w:rPr>
          <w:noProof/>
        </w:rPr>
        <w:t>15</w:t>
      </w:r>
      <w:r w:rsidR="009573D1">
        <w:fldChar w:fldCharType="end"/>
      </w:r>
      <w:r w:rsidR="009573D1">
        <w:t>]</w:t>
      </w:r>
      <w:r>
        <w:t>,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lastRenderedPageBreak/>
        <w:t xml:space="preserve">  Cho véc tơ đầu vào x và nhãn lớp y, mục tiêu là ước lượng</w:t>
      </w:r>
    </w:p>
    <w:p w:rsidR="00BC41A3" w:rsidRDefault="00960CEF"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960CEF"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ra công thức xấp xỉ r</w:t>
      </w:r>
      <w:r>
        <w:rPr>
          <w:rFonts w:eastAsiaTheme="minorEastAsia"/>
          <w:vertAlign w:val="subscript"/>
        </w:rPr>
        <w:t>ij</w:t>
      </w:r>
      <w:r>
        <w:rPr>
          <w:rFonts w:eastAsiaTheme="minorEastAsia"/>
        </w:rPr>
        <w:t xml:space="preserve"> </w:t>
      </w:r>
      <w:r w:rsidR="00752EFF">
        <w:rPr>
          <w:rFonts w:eastAsiaTheme="minorEastAsia"/>
        </w:rPr>
        <w:fldChar w:fldCharType="begin"/>
      </w:r>
      <w:r w:rsidR="00752EFF">
        <w:rPr>
          <w:rFonts w:eastAsiaTheme="minorEastAsia"/>
        </w:rPr>
        <w:instrText xml:space="preserve"> REF _Ref288225223 \h </w:instrText>
      </w:r>
      <w:r w:rsidR="00752EFF">
        <w:rPr>
          <w:rFonts w:eastAsiaTheme="minorEastAsia"/>
        </w:rPr>
      </w:r>
      <w:r w:rsidR="00752EFF">
        <w:rPr>
          <w:rFonts w:eastAsiaTheme="minorEastAsia"/>
        </w:rPr>
        <w:fldChar w:fldCharType="separate"/>
      </w:r>
      <w:r w:rsidR="00260C26">
        <w:t>[</w:t>
      </w:r>
      <w:r w:rsidR="00260C26">
        <w:rPr>
          <w:noProof/>
        </w:rPr>
        <w:t>10</w:t>
      </w:r>
      <w:r w:rsidR="00752EFF">
        <w:rPr>
          <w:rFonts w:eastAsiaTheme="minorEastAsia"/>
        </w:rPr>
        <w:fldChar w:fldCharType="end"/>
      </w:r>
      <w:r w:rsidR="00752EFF">
        <w:rPr>
          <w:rFonts w:eastAsiaTheme="minorEastAsia"/>
        </w:rPr>
        <w:t>]</w:t>
      </w:r>
      <w:r w:rsidR="009B2182">
        <w:rPr>
          <w:rFonts w:eastAsiaTheme="minorEastAsia"/>
        </w:rPr>
        <w:t xml:space="preserve"> </w:t>
      </w:r>
      <w:r>
        <w:rPr>
          <w:rFonts w:eastAsiaTheme="minorEastAsia"/>
        </w:rPr>
        <w:t>bằng hàm sigmoid:</w:t>
      </w:r>
    </w:p>
    <w:p w:rsidR="00BC41A3" w:rsidRDefault="00960CEF"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5F1B3B" w:rsidRPr="005F1B3B" w:rsidRDefault="00960CEF" w:rsidP="00E612D8">
      <w:pPr>
        <w:pStyle w:val="Equation"/>
        <w:rPr>
          <w:rFonts w:eastAsiaTheme="minorEastAsia"/>
        </w:rPr>
      </w:pPr>
      <m:oMathPara>
        <m:oMathParaPr>
          <m:jc m:val="left"/>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 xml:space="preserve"> </m:t>
          </m:r>
        </m:oMath>
      </m:oMathPara>
    </w:p>
    <w:p w:rsidR="00BC41A3" w:rsidRDefault="005F1B3B" w:rsidP="005F1B3B">
      <w:pPr>
        <w:pStyle w:val="Equation"/>
        <w:ind w:firstLine="360"/>
        <w:rPr>
          <w:rFonts w:eastAsiaTheme="minorEastAsia"/>
        </w:rPr>
      </w:pPr>
      <m:oMath>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960CEF"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 xml:space="preserve">i </m:t>
            </m:r>
            <m:r>
              <m:rPr>
                <m:nor/>
              </m:rPr>
              <w:rPr>
                <w:rFonts w:ascii="Cambria Math" w:eastAsiaTheme="minorEastAsia" w:hAnsi="Cambria Math"/>
              </w:rPr>
              <m:t>hoặc</m:t>
            </m:r>
            <m:r>
              <w:rPr>
                <w:rFonts w:ascii="Cambria Math" w:eastAsiaTheme="minorEastAsia" w:hAnsi="Cambria Math"/>
              </w:rPr>
              <m:t xml:space="preserve"> 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Pr="009D685A" w:rsidRDefault="00BC41A3" w:rsidP="009D685A">
      <w:pPr>
        <w:pStyle w:val="Text"/>
        <w:rPr>
          <w:rFonts w:eastAsiaTheme="minorEastAsia"/>
        </w:rPr>
      </w:pPr>
      <w:r>
        <w:rPr>
          <w:rFonts w:eastAsiaTheme="minorEastAsia"/>
        </w:rPr>
        <w:t>Ta có thể viết lại (10) theo dạng:</w:t>
      </w:r>
    </w:p>
    <w:p w:rsidR="00BC41A3" w:rsidRDefault="00960CEF"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với</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1"/>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m:t>
                </m:r>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w:t>
      </w:r>
      <w:r>
        <w:rPr>
          <w:rFonts w:eastAsiaTheme="minorEastAsia"/>
        </w:rPr>
        <w:lastRenderedPageBreak/>
        <w:t>(nhân tử Lagrange cho ràng buộc</w:t>
      </w:r>
      <w:r w:rsidR="0065279F">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960CEF"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t>p tối ưu thỏa mãn</w:t>
      </w:r>
    </w:p>
    <w:p w:rsidR="00BC41A3" w:rsidRDefault="00960CEF" w:rsidP="005F1B3B">
      <w:pPr>
        <w:pStyle w:val="Equation"/>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Bước 1.</w:t>
      </w:r>
      <w:r w:rsidR="005F1B3B">
        <w:rPr>
          <w:rFonts w:eastAsiaTheme="minorEastAsia"/>
        </w:rPr>
        <w:t xml:space="preserve">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Bước 2.</w:t>
      </w:r>
      <w:r w:rsidR="005F1B3B">
        <w:rPr>
          <w:rFonts w:eastAsiaTheme="minorEastAsia"/>
        </w:rPr>
        <w:t xml:space="preserve"> </w:t>
      </w:r>
      <w:r w:rsidR="00BC41A3">
        <w:rPr>
          <w:rFonts w:eastAsiaTheme="minorEastAsia"/>
        </w:rPr>
        <w:t>Lặp (t = 1, …, k, 1, …)</w:t>
      </w:r>
    </w:p>
    <w:p w:rsidR="00BC41A3" w:rsidRDefault="00960CEF"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sidR="00BC41A3">
        <w:rPr>
          <w:rFonts w:eastAsiaTheme="minorEastAsia"/>
        </w:rPr>
        <w:t xml:space="preserve"> (16)</w:t>
      </w:r>
    </w:p>
    <w:p w:rsidR="00BC41A3" w:rsidRDefault="00E612D8"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BC41A3">
        <w:rPr>
          <w:rFonts w:eastAsiaTheme="minorEastAsia"/>
        </w:rPr>
        <w:t>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 xml:space="preserve">Trong nghiên cứu này, chúng tôi sử dụng thư viện LIBSVM </w:t>
      </w:r>
      <w:r w:rsidR="002723F5">
        <w:fldChar w:fldCharType="begin"/>
      </w:r>
      <w:r w:rsidR="002723F5">
        <w:instrText xml:space="preserve"> REF _Ref288224945 \h </w:instrText>
      </w:r>
      <w:r w:rsidR="002723F5">
        <w:fldChar w:fldCharType="separate"/>
      </w:r>
      <w:r w:rsidR="00260C26">
        <w:t>[</w:t>
      </w:r>
      <w:r w:rsidR="00260C26">
        <w:rPr>
          <w:noProof/>
        </w:rPr>
        <w:t>2</w:t>
      </w:r>
      <w:r w:rsidR="002723F5">
        <w:fldChar w:fldCharType="end"/>
      </w:r>
      <w:r w:rsidR="002723F5">
        <w:t>]</w:t>
      </w:r>
      <w:r>
        <w:t xml:space="preserve"> để xây dựng mô hình đề xuất.</w:t>
      </w:r>
    </w:p>
    <w:p w:rsidR="00C2261B" w:rsidRDefault="00C2261B" w:rsidP="00C2261B">
      <w:pPr>
        <w:pStyle w:val="Heading2"/>
      </w:pPr>
      <w:r>
        <w:t>Lựa chọn tham số</w:t>
      </w:r>
    </w:p>
    <w:p w:rsidR="00C2261B" w:rsidRPr="00C2261B" w:rsidRDefault="00C2261B" w:rsidP="00C2261B">
      <w:pPr>
        <w:pStyle w:val="Text"/>
      </w:pPr>
      <w:r>
        <w:t>Vấn đề quan trọng nhất của mô hình SVM đề xuất là việc tìm được</w:t>
      </w:r>
      <w:r w:rsidR="00696167">
        <w:t xml:space="preserve"> các</w:t>
      </w:r>
      <w:r>
        <w:t xml:space="preserve"> tham số phù </w:t>
      </w:r>
      <w:r w:rsidR="00696167">
        <w:t>hợp</w:t>
      </w:r>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65279F">
        <w:t xml:space="preserve"> </w:t>
      </w:r>
      <w:r w:rsidR="00AB2A5C">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9D685A">
      <w:pPr>
        <w:pStyle w:val="Text"/>
      </w:pPr>
      <w:r>
        <w:t xml:space="preserve">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Tất </w:t>
      </w:r>
      <w:r w:rsidR="00B14908">
        <w:t xml:space="preserve">cả được mô tả chi tiết trong </w:t>
      </w:r>
      <w:r w:rsidR="009573D1">
        <w:fldChar w:fldCharType="begin"/>
      </w:r>
      <w:r w:rsidR="009573D1">
        <w:instrText xml:space="preserve"> REF _Ref288225347 \h </w:instrText>
      </w:r>
      <w:r w:rsidR="009573D1">
        <w:fldChar w:fldCharType="separate"/>
      </w:r>
      <w:r w:rsidR="00260C26">
        <w:t>[</w:t>
      </w:r>
      <w:r w:rsidR="00260C26">
        <w:rPr>
          <w:noProof/>
        </w:rPr>
        <w:t>13</w:t>
      </w:r>
      <w:r w:rsidR="009573D1">
        <w:fldChar w:fldCharType="end"/>
      </w:r>
      <w:r w:rsidR="009573D1">
        <w:t>]</w:t>
      </w:r>
      <w:r>
        <w:t>.</w:t>
      </w:r>
      <w:r w:rsidR="005F1B3B">
        <w:t xml:space="preserve"> </w:t>
      </w:r>
      <w:r>
        <w:t xml:space="preserve">Giá đóng cửa cùng </w:t>
      </w:r>
      <w:r>
        <w:lastRenderedPageBreak/>
        <w:t xml:space="preserve">những chỉ số kỹ thuật tạo nên véc tơ </w:t>
      </w:r>
      <w:r w:rsidRPr="009D685A">
        <w:t>đầu</w:t>
      </w:r>
      <w:r>
        <w:t xml:space="preserve"> vào với số chiều là 10.Giá trị trong mỗi chiều được chuyển về đoạn [-1, 1].</w:t>
      </w:r>
    </w:p>
    <w:p w:rsidR="0059536B" w:rsidRDefault="0059536B" w:rsidP="0059536B">
      <w:pPr>
        <w:pStyle w:val="Heading2"/>
      </w:pPr>
      <w:r>
        <w:t>Giá trị đầu ra</w:t>
      </w:r>
    </w:p>
    <w:p w:rsidR="0059536B" w:rsidRDefault="0059536B" w:rsidP="0059536B">
      <w:pPr>
        <w:pStyle w:val="Text"/>
      </w:pPr>
      <w:r>
        <w:t>Mô hình dự đoán xu hướng sẽ kết xuất ra ba giá trị nhãn</w:t>
      </w:r>
      <w:r w:rsidR="005F1B3B">
        <w:t xml:space="preserve"> </w:t>
      </w:r>
      <w:r>
        <w:t xml:space="preserve">lớp ứng với xu hướng tăng, giảm và không có xu hướng. Để quyết định xu hướng của ngày hiện tại, chúng tôi dùng một định nghĩa được mô tả chặt chẽ </w:t>
      </w:r>
      <w:r w:rsidR="002723F5">
        <w:fldChar w:fldCharType="begin"/>
      </w:r>
      <w:r w:rsidR="002723F5">
        <w:instrText xml:space="preserve"> REF _Ref288224909 \h </w:instrText>
      </w:r>
      <w:r w:rsidR="002723F5">
        <w:fldChar w:fldCharType="separate"/>
      </w:r>
      <w:r w:rsidR="00260C26">
        <w:t>[</w:t>
      </w:r>
      <w:r w:rsidR="00260C26">
        <w:rPr>
          <w:noProof/>
        </w:rPr>
        <w:t>1</w:t>
      </w:r>
      <w:r w:rsidR="002723F5">
        <w:fldChar w:fldCharType="end"/>
      </w:r>
      <w:r w:rsidR="002723F5">
        <w:t>]</w:t>
      </w:r>
      <w:r>
        <w:t xml:space="preserve"> như sau:</w:t>
      </w:r>
    </w:p>
    <w:p w:rsidR="0059536B" w:rsidRDefault="0059536B" w:rsidP="0059536B">
      <w:pPr>
        <w:pStyle w:val="Text"/>
      </w:pPr>
      <w:r>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r>
        <w:t>Mô hình đề xuất được xây dựng qua hai giai đoạn.</w:t>
      </w:r>
      <w:r w:rsidR="005F1B3B">
        <w:t xml:space="preserve"> </w:t>
      </w:r>
      <w:r>
        <w:t>Giai đoạn đầu nhằm gom dữ liệu có đặc điểm gần giống nhau về từng cụm.</w:t>
      </w:r>
      <w:r w:rsidR="005F1B3B">
        <w:t xml:space="preserve"> </w:t>
      </w:r>
      <w:r>
        <w:t>Thuật toán gom cụm được chọn là K-Means</w:t>
      </w:r>
      <w:r w:rsidR="002D1755">
        <w:t xml:space="preserve"> (Mac Queen) được mô tả chi tiết trong </w:t>
      </w:r>
      <w:r w:rsidR="002723F5">
        <w:fldChar w:fldCharType="begin"/>
      </w:r>
      <w:r w:rsidR="002723F5">
        <w:instrText xml:space="preserve"> REF _Ref288225187 \h </w:instrText>
      </w:r>
      <w:r w:rsidR="002723F5">
        <w:fldChar w:fldCharType="separate"/>
      </w:r>
      <w:r w:rsidR="00260C26">
        <w:t>[</w:t>
      </w:r>
      <w:r w:rsidR="00260C26">
        <w:rPr>
          <w:noProof/>
        </w:rPr>
        <w:t>9</w:t>
      </w:r>
      <w:r w:rsidR="002723F5">
        <w:fldChar w:fldCharType="end"/>
      </w:r>
      <w:r w:rsidR="002723F5">
        <w:t>]</w:t>
      </w:r>
      <w:r w:rsidR="002D1755">
        <w:t>.</w:t>
      </w:r>
      <w:r w:rsidR="005F1B3B">
        <w:t xml:space="preserve"> </w:t>
      </w:r>
      <w:r w:rsidR="002D1755">
        <w:t>Giai đoạn hai là bước xây dựng mô hình SVM ước lượng xác suất lớp.</w:t>
      </w:r>
      <w:r w:rsidR="005F1B3B">
        <w:t xml:space="preserve">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B14908">
        <w:t xml:space="preserve"> [15</w:t>
      </w:r>
      <w:r w:rsidR="00932F53">
        <w:t>].</w:t>
      </w:r>
      <w:r w:rsidR="0052700C">
        <w:t xml:space="preserve">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 xml:space="preserve">Bước 1. Tính toán véc tơ đầu vào kèm theo là một </w:t>
      </w:r>
      <w:r w:rsidR="00A75E31">
        <w:t xml:space="preserve">nhãn lớp như mô tả trong phần </w:t>
      </w:r>
      <w:r w:rsidR="0052700C">
        <w:t xml:space="preserve">III </w:t>
      </w:r>
      <w:r w:rsidR="00A75E31">
        <w:t>A và B</w:t>
      </w:r>
      <w:r>
        <w:t>. Các giá trị đầu vào được quy đổi về đoạn [-1, 1].</w:t>
      </w:r>
    </w:p>
    <w:p w:rsidR="00335CD1" w:rsidRDefault="00335CD1" w:rsidP="00F266D2">
      <w:pPr>
        <w:pStyle w:val="Text"/>
      </w:pPr>
      <w:r>
        <w:t>Bước 2.</w:t>
      </w:r>
      <w:r w:rsidR="0052700C">
        <w:t xml:space="preserve"> </w:t>
      </w:r>
      <w:r>
        <w:t xml:space="preserve">Phân các véc tơ đầu vào thành m cụm (m sẽ </w:t>
      </w:r>
      <w:r>
        <w:lastRenderedPageBreak/>
        <w:t xml:space="preserve">được khảo sát trong phần </w:t>
      </w:r>
      <w:r w:rsidR="0052700C">
        <w:t>I</w:t>
      </w:r>
      <w:r>
        <w:t>V) bằng K-Means dựa trên khoảng cách Manhattan.</w:t>
      </w:r>
      <w:r w:rsidR="0052700C">
        <w:t xml:space="preserve"> </w:t>
      </w:r>
      <w:r>
        <w:t>Ở đây, việc gom cụm không qua</w:t>
      </w:r>
      <w:r w:rsidR="0052700C">
        <w:t>n</w:t>
      </w:r>
      <w:r>
        <w:t xml:space="preserve"> tâm đến nhãn lớp.</w:t>
      </w:r>
    </w:p>
    <w:p w:rsidR="00335CD1" w:rsidRDefault="00335CD1" w:rsidP="00F266D2">
      <w:pPr>
        <w:pStyle w:val="Text"/>
      </w:pPr>
      <w:r>
        <w:t>Bước 3.</w:t>
      </w:r>
      <w:r w:rsidR="0052700C">
        <w:t xml:space="preserve"> </w:t>
      </w:r>
      <w:r>
        <w:t>Ứng với m cụm, ta huấn luyện m bộ phân lớp SVM, với các tham số C và γ tối ưu được quyết định trong quá trình đánh giá chéo.</w:t>
      </w:r>
    </w:p>
    <w:p w:rsidR="001037F7" w:rsidRDefault="00394270" w:rsidP="001037F7">
      <w:pPr>
        <w:pStyle w:val="Text"/>
        <w:keepNext/>
        <w:ind w:firstLine="0"/>
      </w:pPr>
      <w:r>
        <w:rPr>
          <w:noProof/>
        </w:rPr>
        <w:drawing>
          <wp:inline distT="0" distB="0" distL="0" distR="0">
            <wp:extent cx="3175635" cy="98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635" cy="989330"/>
                    </a:xfrm>
                    <a:prstGeom prst="rect">
                      <a:avLst/>
                    </a:prstGeom>
                    <a:noFill/>
                    <a:ln>
                      <a:noFill/>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00260C26">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w:t>
      </w:r>
      <w:r w:rsidR="0052700C">
        <w:t xml:space="preserve"> </w:t>
      </w:r>
      <w:r>
        <w:t>Tính giá trị véc tơ đầu vào, nhãn lớp là giá trị cần dự đoán. Các phần tử trong véc tơ này cũng được quy về đoạn [-1, 1]</w:t>
      </w:r>
    </w:p>
    <w:p w:rsidR="00C20174" w:rsidRDefault="00C20174" w:rsidP="00F266D2">
      <w:pPr>
        <w:pStyle w:val="Text"/>
      </w:pPr>
      <w:r>
        <w:t>Bước 2.</w:t>
      </w:r>
      <w:r w:rsidR="0052700C">
        <w:t xml:space="preserve"> </w:t>
      </w:r>
      <w:r>
        <w:t>Tìm cụm có khoảng cách từ trung tâm cụm đến vec tơ đầu vào là gần nhất.</w:t>
      </w:r>
      <w:r w:rsidR="0052700C">
        <w:t xml:space="preserve"> </w:t>
      </w:r>
      <w:r>
        <w:t>Giả sử véc tơ đầu vào thuộc về cụm thứ i.</w:t>
      </w:r>
    </w:p>
    <w:p w:rsidR="00C20174" w:rsidRDefault="00C20174" w:rsidP="00F266D2">
      <w:pPr>
        <w:pStyle w:val="Text"/>
      </w:pPr>
      <w:r>
        <w:t>Bước 3.</w:t>
      </w:r>
      <w:r w:rsidR="0052700C">
        <w:t xml:space="preserve"> </w:t>
      </w:r>
      <w:r>
        <w:t>Xác định xu hướng bằng cách đưa vec tơ đầu vào đi qua bộ phân lớp SVM thứ i đã huấn luyện.</w:t>
      </w:r>
    </w:p>
    <w:p w:rsidR="00DF5DA4" w:rsidRDefault="00DF5DA4" w:rsidP="00DF5DA4">
      <w:pPr>
        <w:pStyle w:val="Heading2"/>
      </w:pPr>
      <w:r>
        <w:t>Đánh giá mô hình</w:t>
      </w:r>
    </w:p>
    <w:p w:rsidR="00853D93" w:rsidRDefault="00853D93" w:rsidP="00DF5DA4">
      <w:pPr>
        <w:pStyle w:val="Text"/>
      </w:pPr>
      <w:r>
        <w:t>Dựa trên yêu cầu thực tế của một bài toán dự đoán chứng khoán,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w:t>
      </w:r>
    </w:p>
    <w:p w:rsidR="00DF5DA4" w:rsidRDefault="00853D93" w:rsidP="00DF5DA4">
      <w:pPr>
        <w:pStyle w:val="Text"/>
      </w:pPr>
      <w:r>
        <w:t xml:space="preserve">Với những yêu cầu đó, bên cạnh độ chính xác phân lớp, chúng tôi </w:t>
      </w:r>
      <w:r w:rsidR="0052700C">
        <w:t>đề xuất một độ đo</w:t>
      </w:r>
      <w:r w:rsidR="00F66749">
        <w:t xml:space="preserve"> để đánh giá tỷ lệ lỗi không chấp nhận được, còn</w:t>
      </w:r>
      <w:r w:rsidR="0052700C">
        <w:t xml:space="preserve"> </w:t>
      </w:r>
      <w:r w:rsidR="00F66749">
        <w:t xml:space="preserve">gọi </w:t>
      </w:r>
      <w:r>
        <w:t xml:space="preserve">là </w:t>
      </w:r>
      <w:r w:rsidR="00F66749">
        <w:t>tỷ lệ lỗi về dấu (</w:t>
      </w:r>
      <w:r w:rsidR="009D25C7">
        <w:t>SERate-</w:t>
      </w:r>
      <w:r w:rsidR="00F66749">
        <w:t>Sign Error Rate):</w:t>
      </w:r>
    </w:p>
    <w:p w:rsidR="00F66749" w:rsidRPr="00F66749" w:rsidRDefault="009D25C7" w:rsidP="009D25C7">
      <w:pPr>
        <w:pStyle w:val="Equation"/>
        <w:ind w:firstLine="36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tab/>
        <w:t>(17)</w:t>
      </w:r>
    </w:p>
    <w:p w:rsidR="00F66749" w:rsidRPr="00DF5DA4" w:rsidRDefault="00F66749" w:rsidP="00DF5DA4">
      <w:pPr>
        <w:pStyle w:val="Text"/>
      </w:pPr>
      <w:r>
        <w:t xml:space="preserve">trong đó, số mẫu phân lớp sai về dấu là các mẫu có nhãn là tăng (hoặc giảm) bị dự đoán giảm (hoặc tăng). </w:t>
      </w:r>
    </w:p>
    <w:p w:rsidR="003E1BA3" w:rsidRDefault="006A0C78" w:rsidP="003E1BA3">
      <w:pPr>
        <w:pStyle w:val="Heading1"/>
      </w:pPr>
      <w:r>
        <w:lastRenderedPageBreak/>
        <w:t>KẾT QUẢ THỬ NGHIỆM</w:t>
      </w:r>
    </w:p>
    <w:p w:rsidR="001037F7" w:rsidRDefault="006A0C78" w:rsidP="001037F7">
      <w:pPr>
        <w:pStyle w:val="Heading2"/>
      </w:pPr>
      <w:r>
        <w:t>Dữ liệu</w:t>
      </w:r>
    </w:p>
    <w:p w:rsidR="001037F7" w:rsidRDefault="001037F7" w:rsidP="001037F7">
      <w:pPr>
        <w:pStyle w:val="Text"/>
      </w:pPr>
      <w:r>
        <w:t xml:space="preserve">Quá trình thực nghiệm được thực hiện trên 4 mã chứng khoán của thị trường Việt Nam là </w:t>
      </w:r>
      <w:r w:rsidR="006E4E58">
        <w:t>BT6, KHA, REE và SAM.</w:t>
      </w:r>
      <w:r w:rsidR="0052700C">
        <w:t xml:space="preserve"> </w:t>
      </w:r>
      <w:r w:rsidR="006E4E58">
        <w:t>Dữ liệu được lấy từ ngày 4-1-2005 đến hết ngày 31-12-2008</w:t>
      </w:r>
      <w:r w:rsidR="00725783">
        <w:rPr>
          <w:rStyle w:val="FootnoteReference"/>
        </w:rPr>
        <w:footnoteReference w:id="1"/>
      </w:r>
      <w:r w:rsidR="0052700C">
        <w:t xml:space="preserve"> </w:t>
      </w:r>
      <w:r w:rsidR="009573D1">
        <w:fldChar w:fldCharType="begin"/>
      </w:r>
      <w:r w:rsidR="009573D1">
        <w:instrText xml:space="preserve"> REF _Ref288225506 \h </w:instrText>
      </w:r>
      <w:r w:rsidR="009573D1">
        <w:fldChar w:fldCharType="separate"/>
      </w:r>
      <w:r w:rsidR="00260C26">
        <w:t>[</w:t>
      </w:r>
      <w:r w:rsidR="00260C26">
        <w:rPr>
          <w:noProof/>
        </w:rPr>
        <w:t>18</w:t>
      </w:r>
      <w:r w:rsidR="009573D1">
        <w:fldChar w:fldCharType="end"/>
      </w:r>
      <w:r w:rsidR="009573D1">
        <w:t>]</w:t>
      </w:r>
      <w:r w:rsidR="006E4E58">
        <w:t>, bao gồm 997 mẫu dữ liệu.</w:t>
      </w:r>
      <w:r w:rsidR="00370855">
        <w:t xml:space="preserve"> </w:t>
      </w:r>
      <w:r w:rsidR="006E4E58">
        <w:t xml:space="preserve">Mỗi bộ dữ liệu của từng mã được chia thành hai tập, môt cho huấn luyện và </w:t>
      </w:r>
      <w:r w:rsidR="006E6984">
        <w:t>một cho kiểm thử, với tỷ lệ 8:2 (797 mẫu huấn luyện và 200 mẫu kiểm thử).</w:t>
      </w:r>
    </w:p>
    <w:tbl>
      <w:tblPr>
        <w:tblStyle w:val="TableGrid"/>
        <w:tblW w:w="0" w:type="auto"/>
        <w:tblLook w:val="04A0" w:firstRow="1" w:lastRow="0" w:firstColumn="1" w:lastColumn="0" w:noHBand="0" w:noVBand="1"/>
      </w:tblPr>
      <w:tblGrid>
        <w:gridCol w:w="1182"/>
        <w:gridCol w:w="1086"/>
        <w:gridCol w:w="1736"/>
        <w:gridCol w:w="1252"/>
      </w:tblGrid>
      <w:tr w:rsidR="00643EBE" w:rsidTr="00643EBE">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643EBE">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643EBE">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643EBE">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643EBE">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44430C" w:rsidRDefault="0044430C" w:rsidP="00E71442">
      <w:pPr>
        <w:pStyle w:val="FigureCaption"/>
      </w:pPr>
    </w:p>
    <w:p w:rsidR="00643EBE" w:rsidRPr="00643EBE" w:rsidRDefault="00E71442" w:rsidP="00E71442">
      <w:pPr>
        <w:pStyle w:val="FigureCaption"/>
      </w:pPr>
      <w:r>
        <w:t>Bảng</w:t>
      </w:r>
      <w:r w:rsidR="0052700C">
        <w:t xml:space="preserve"> 1</w:t>
      </w:r>
      <w:r>
        <w:t xml:space="preserve">. Mô tả các nhãn xu hướng của </w:t>
      </w:r>
      <w:r w:rsidR="001723AE">
        <w:t>200</w:t>
      </w:r>
      <w:r>
        <w:t xml:space="preserve"> điểm dữ liệu </w:t>
      </w:r>
      <w:r w:rsidR="001723AE">
        <w:t xml:space="preserve">kiểm thử </w:t>
      </w:r>
      <w:r>
        <w:t>ứng với từng mã chứng khoán.</w:t>
      </w:r>
    </w:p>
    <w:p w:rsidR="006A6F5E" w:rsidRDefault="006A0C78" w:rsidP="006A6F5E">
      <w:pPr>
        <w:pStyle w:val="Heading2"/>
      </w:pPr>
      <w:r>
        <w:t>Phương pháp thử nghiệm</w:t>
      </w:r>
    </w:p>
    <w:p w:rsidR="006A6F5E" w:rsidRDefault="006A6F5E" w:rsidP="006A6F5E">
      <w:pPr>
        <w:pStyle w:val="Text"/>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w:t>
      </w:r>
      <w:r w:rsidR="0052700C">
        <w:t xml:space="preserve"> so sánh mô hình cài đặt với ba</w:t>
      </w:r>
      <w:r w:rsidR="00826E30">
        <w:t xml:space="preserve"> mô hình khác: 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D719EC" w:rsidRDefault="00D719EC" w:rsidP="00D719EC">
      <w:pPr>
        <w:pStyle w:val="Heading2"/>
      </w:pPr>
      <w:r>
        <w:t>Mô hình BPNN</w:t>
      </w:r>
    </w:p>
    <w:p w:rsidR="0093585E" w:rsidRDefault="0093585E" w:rsidP="00E0331F">
      <w:pPr>
        <w:pStyle w:val="Text"/>
      </w:pPr>
      <w:r>
        <w:t xml:space="preserve">Mô hình BPNN là mô hình mạng nơ-ron nhân tạo </w:t>
      </w:r>
      <w:r w:rsidR="0052700C">
        <w:t>ba</w:t>
      </w:r>
      <w:r>
        <w:t xml:space="preserve"> lớp, quá trình học được thực hiện thông qua việc lan truyền ngược. </w:t>
      </w:r>
      <w:r w:rsidR="00E8040B">
        <w:t>Cấu trúc và cơ chế hoạt động của mô hình</w:t>
      </w:r>
      <w:r>
        <w:t xml:space="preserve"> được trình bày chi tiết trong </w:t>
      </w:r>
      <w:r w:rsidR="002723F5">
        <w:fldChar w:fldCharType="begin"/>
      </w:r>
      <w:r w:rsidR="002723F5">
        <w:instrText xml:space="preserve"> REF _Ref288224973 \h </w:instrText>
      </w:r>
      <w:r w:rsidR="002723F5">
        <w:fldChar w:fldCharType="separate"/>
      </w:r>
      <w:r w:rsidR="00260C26">
        <w:t>[</w:t>
      </w:r>
      <w:r w:rsidR="00260C26">
        <w:rPr>
          <w:noProof/>
        </w:rPr>
        <w:t>3</w:t>
      </w:r>
      <w:r w:rsidR="002723F5">
        <w:fldChar w:fldCharType="end"/>
      </w:r>
      <w:r w:rsidR="002723F5">
        <w:t>]</w:t>
      </w:r>
      <w:r>
        <w:t>.</w:t>
      </w:r>
      <w:r w:rsidR="0052700C">
        <w:t xml:space="preserve"> </w:t>
      </w:r>
      <w:r>
        <w:t>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w:t>
      </w:r>
      <w:r w:rsidR="0052700C">
        <w:t xml:space="preserve"> </w:t>
      </w:r>
      <w:r w:rsidR="009573D1">
        <w:fldChar w:fldCharType="begin"/>
      </w:r>
      <w:r w:rsidR="009573D1">
        <w:instrText xml:space="preserve"> REF _Ref288225533 \h </w:instrText>
      </w:r>
      <w:r w:rsidR="009573D1">
        <w:fldChar w:fldCharType="separate"/>
      </w:r>
      <w:r w:rsidR="00260C26">
        <w:t>[</w:t>
      </w:r>
      <w:r w:rsidR="00260C26">
        <w:rPr>
          <w:noProof/>
        </w:rPr>
        <w:t>19</w:t>
      </w:r>
      <w:r w:rsidR="009573D1">
        <w:fldChar w:fldCharType="end"/>
      </w:r>
      <w:r w:rsidR="009573D1">
        <w:t>]</w:t>
      </w:r>
      <w:r w:rsidR="00E8040B">
        <w:t>, đ</w:t>
      </w:r>
      <w:r>
        <w:t>ặc biệt là khi sử dụng ở tầng ẩn và tầng xuất là Tanh – Tanh.</w:t>
      </w:r>
    </w:p>
    <w:p w:rsidR="0093585E" w:rsidRDefault="0093585E" w:rsidP="00E0331F">
      <w:pPr>
        <w:pStyle w:val="Text"/>
      </w:pPr>
      <w:r>
        <w:t>Các tham số cài đặt mô hình như sau:</w:t>
      </w:r>
    </w:p>
    <w:tbl>
      <w:tblPr>
        <w:tblStyle w:val="TableGrid"/>
        <w:tblW w:w="0" w:type="auto"/>
        <w:jc w:val="center"/>
        <w:tblLook w:val="04A0" w:firstRow="1" w:lastRow="0" w:firstColumn="1" w:lastColumn="0" w:noHBand="0" w:noVBand="1"/>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lastRenderedPageBreak/>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52700C" w:rsidRDefault="0052700C" w:rsidP="00E0331F">
      <w:pPr>
        <w:pStyle w:val="StyleCaption8ptNotBoldCentered"/>
      </w:pPr>
    </w:p>
    <w:p w:rsidR="0093585E" w:rsidRPr="0093585E" w:rsidRDefault="0052700C" w:rsidP="0052700C">
      <w:pPr>
        <w:pStyle w:val="StyleCaption8ptNotBoldCentered"/>
      </w:pPr>
      <w:r>
        <w:t>Bảng 2</w:t>
      </w:r>
      <w:r w:rsidR="0093585E" w:rsidRPr="00AF5B19">
        <w:t>. Bảng tham số cài đặt cho mô hình BPNN</w:t>
      </w:r>
    </w:p>
    <w:p w:rsidR="00D719EC" w:rsidRDefault="00BA6D30" w:rsidP="00D719EC">
      <w:pPr>
        <w:pStyle w:val="Heading2"/>
      </w:pPr>
      <w:r>
        <w:t xml:space="preserve">Kết quả </w:t>
      </w:r>
    </w:p>
    <w:p w:rsidR="00BA6D30" w:rsidRPr="00BA6D30" w:rsidRDefault="00BA6D30" w:rsidP="00BA6D30">
      <w:pPr>
        <w:pStyle w:val="Text"/>
      </w:pPr>
      <w:r>
        <w:t>Các kết quả khảo sát số</w:t>
      </w:r>
      <w:r w:rsidR="0052700C">
        <w:t xml:space="preserve"> cụm m được tóm tắt trong bảng 3</w:t>
      </w:r>
      <w:r>
        <w:t>.</w:t>
      </w:r>
    </w:p>
    <w:tbl>
      <w:tblPr>
        <w:tblStyle w:val="TableGrid"/>
        <w:tblW w:w="0" w:type="auto"/>
        <w:tblLook w:val="04A0" w:firstRow="1" w:lastRow="0" w:firstColumn="1" w:lastColumn="0" w:noHBand="0" w:noVBand="1"/>
      </w:tblPr>
      <w:tblGrid>
        <w:gridCol w:w="1023"/>
        <w:gridCol w:w="661"/>
        <w:gridCol w:w="750"/>
        <w:gridCol w:w="661"/>
        <w:gridCol w:w="750"/>
        <w:gridCol w:w="661"/>
        <w:gridCol w:w="750"/>
      </w:tblGrid>
      <w:tr w:rsidR="00F72997" w:rsidTr="00B50405">
        <w:tc>
          <w:tcPr>
            <w:tcW w:w="1023" w:type="dxa"/>
            <w:vMerge w:val="restart"/>
          </w:tcPr>
          <w:p w:rsidR="00F72997" w:rsidRPr="00F72997" w:rsidRDefault="00F72997" w:rsidP="00BA6D30">
            <w:pPr>
              <w:jc w:val="center"/>
              <w:rPr>
                <w:b/>
              </w:rPr>
            </w:pPr>
          </w:p>
        </w:tc>
        <w:tc>
          <w:tcPr>
            <w:tcW w:w="1411" w:type="dxa"/>
            <w:gridSpan w:val="2"/>
          </w:tcPr>
          <w:p w:rsidR="00F72997" w:rsidRPr="00F72997" w:rsidRDefault="00F72997" w:rsidP="00BA6D30">
            <w:pPr>
              <w:jc w:val="center"/>
              <w:rPr>
                <w:b/>
              </w:rPr>
            </w:pPr>
            <w:r w:rsidRPr="00F72997">
              <w:rPr>
                <w:b/>
              </w:rPr>
              <w:t>K-SVMeans 2</w:t>
            </w:r>
          </w:p>
        </w:tc>
        <w:tc>
          <w:tcPr>
            <w:tcW w:w="1411" w:type="dxa"/>
            <w:gridSpan w:val="2"/>
          </w:tcPr>
          <w:p w:rsidR="00F72997" w:rsidRPr="00F72997" w:rsidRDefault="00F72997" w:rsidP="00BA6D30">
            <w:pPr>
              <w:jc w:val="center"/>
              <w:rPr>
                <w:b/>
              </w:rPr>
            </w:pPr>
            <w:r w:rsidRPr="00F72997">
              <w:rPr>
                <w:b/>
              </w:rPr>
              <w:t>K-SVMeans 3</w:t>
            </w:r>
          </w:p>
        </w:tc>
        <w:tc>
          <w:tcPr>
            <w:tcW w:w="1411" w:type="dxa"/>
            <w:gridSpan w:val="2"/>
          </w:tcPr>
          <w:p w:rsidR="00F72997" w:rsidRPr="00F72997" w:rsidRDefault="00F72997" w:rsidP="00BA6D30">
            <w:pPr>
              <w:jc w:val="center"/>
              <w:rPr>
                <w:b/>
              </w:rPr>
            </w:pPr>
            <w:r w:rsidRPr="00F72997">
              <w:rPr>
                <w:b/>
              </w:rPr>
              <w:t>K-SVMeans 4</w:t>
            </w:r>
          </w:p>
        </w:tc>
      </w:tr>
      <w:tr w:rsidR="00F72997" w:rsidTr="00B50405">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r>
              <w:rPr>
                <w:b/>
              </w:rPr>
              <w:t xml:space="preserve"> </w:t>
            </w:r>
            <w:r w:rsidRPr="00F72997">
              <w:rPr>
                <w:b/>
              </w:rPr>
              <w:t>(%)</w:t>
            </w:r>
          </w:p>
        </w:tc>
        <w:tc>
          <w:tcPr>
            <w:tcW w:w="750" w:type="dxa"/>
          </w:tcPr>
          <w:p w:rsidR="00F72997" w:rsidRPr="00F72997" w:rsidRDefault="00F72997" w:rsidP="00BA6D30">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c>
          <w:tcPr>
            <w:tcW w:w="661" w:type="dxa"/>
          </w:tcPr>
          <w:p w:rsidR="00F72997" w:rsidRPr="00F72997" w:rsidRDefault="00F72997" w:rsidP="00B14908">
            <w:pPr>
              <w:jc w:val="center"/>
              <w:rPr>
                <w:b/>
              </w:rPr>
            </w:pPr>
            <w:r w:rsidRPr="00F72997">
              <w:rPr>
                <w:b/>
              </w:rPr>
              <w:t>A</w:t>
            </w:r>
            <w:r>
              <w:rPr>
                <w:b/>
              </w:rPr>
              <w:t xml:space="preserve"> </w:t>
            </w:r>
            <w:r w:rsidRPr="00F72997">
              <w:rPr>
                <w:b/>
              </w:rPr>
              <w:t>(%)</w:t>
            </w:r>
          </w:p>
        </w:tc>
        <w:tc>
          <w:tcPr>
            <w:tcW w:w="750" w:type="dxa"/>
          </w:tcPr>
          <w:p w:rsidR="00F72997" w:rsidRPr="00F72997" w:rsidRDefault="00F72997" w:rsidP="00B14908">
            <w:pPr>
              <w:jc w:val="center"/>
              <w:rPr>
                <w:b/>
              </w:rPr>
            </w:pPr>
            <w:r w:rsidRPr="00F72997">
              <w:rPr>
                <w:b/>
              </w:rPr>
              <w:t>SE</w:t>
            </w:r>
            <w:r>
              <w:rPr>
                <w:b/>
              </w:rPr>
              <w:t xml:space="preserve"> </w:t>
            </w:r>
            <w:r w:rsidRPr="00F72997">
              <w:rPr>
                <w:b/>
              </w:rPr>
              <w:t>(%)</w:t>
            </w:r>
          </w:p>
        </w:tc>
      </w:tr>
      <w:tr w:rsidR="00B50405" w:rsidTr="00960CEF">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960CEF">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960CEF">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960CEF">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BA6D30" w:rsidRDefault="0052700C" w:rsidP="00AA2136">
      <w:pPr>
        <w:pStyle w:val="FigureCaption"/>
      </w:pPr>
      <w:r>
        <w:t>Bảng 3</w:t>
      </w:r>
      <w:r w:rsidR="00BA6D30">
        <w:t>.</w:t>
      </w:r>
      <w:r w:rsidR="00BA6D30" w:rsidRPr="00BA6D30">
        <w:t xml:space="preserve"> Kết quả K-SVMeans theo số cụm dựa trên độ chính xác phân lớp</w:t>
      </w:r>
      <w:r w:rsidR="001723AE">
        <w:t xml:space="preserve"> </w:t>
      </w:r>
      <w:r w:rsidR="00AA2136">
        <w:t>(</w:t>
      </w:r>
      <w:r w:rsidR="007126A5">
        <w:t>A</w:t>
      </w:r>
      <w:r w:rsidR="00AA2136">
        <w:t>)</w:t>
      </w:r>
      <w:r w:rsidR="007126A5">
        <w:t xml:space="preserve"> và độ lỗi về dấu (SE).</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rsidR="0044430C">
        <w:t xml:space="preserve"> và độ lỗi càng tăng</w:t>
      </w:r>
      <w:r w:rsidR="00A7783B">
        <w:t>.</w:t>
      </w:r>
      <w:r w:rsidR="0044430C">
        <w:t xml:space="preserve"> </w:t>
      </w:r>
      <w:r w:rsidR="0052700C">
        <w:t>Ở phần thử</w:t>
      </w:r>
      <w:r>
        <w:t xml:space="preserve"> nghiệm sau, ta sẽ dùng mô hình này</w:t>
      </w:r>
      <w:r w:rsidR="0044430C">
        <w:t xml:space="preserve"> với m = 2</w:t>
      </w:r>
      <w:r>
        <w:t xml:space="preserve"> để so sánh với </w:t>
      </w:r>
      <w:r w:rsidR="0044430C">
        <w:t xml:space="preserve">SVM, </w:t>
      </w:r>
      <w:r>
        <w:t>SVM-Prob và BPNN.</w:t>
      </w:r>
    </w:p>
    <w:p w:rsidR="00C422F6" w:rsidRPr="00C422F6" w:rsidRDefault="0077312E" w:rsidP="00C422F6">
      <w:pPr>
        <w:pStyle w:val="Text"/>
      </w:pPr>
      <w:r>
        <w:t>Trong</w:t>
      </w:r>
      <w:r w:rsidR="00C422F6">
        <w:t xml:space="preserve"> kết quả dự đoán 1 ngày</w:t>
      </w:r>
      <w:r w:rsidR="0052700C">
        <w:t xml:space="preserve"> ở bảng 4</w:t>
      </w:r>
      <w:r w:rsidR="00C422F6">
        <w:t xml:space="preserve">, ta nhận thấy </w:t>
      </w:r>
      <w:r w:rsidR="001750CF">
        <w:t>mô hình đề xuất</w:t>
      </w:r>
      <w:r w:rsidR="00C422F6">
        <w:t xml:space="preserve"> cho </w:t>
      </w:r>
      <w:r w:rsidR="0044430C">
        <w:t>hiệu quả</w:t>
      </w:r>
      <w:r w:rsidR="00C422F6">
        <w:t xml:space="preserve"> </w:t>
      </w:r>
      <w:r w:rsidR="001750CF">
        <w:t>cao nhất</w:t>
      </w:r>
      <w:r w:rsidR="00A900FE">
        <w:t xml:space="preserve"> so với </w:t>
      </w:r>
      <w:r w:rsidR="001750CF">
        <w:t>BPNN, SVM và</w:t>
      </w:r>
      <w:r w:rsidR="0044430C">
        <w:t xml:space="preserve"> </w:t>
      </w:r>
      <w:r w:rsidR="001750CF">
        <w:t>SVM-Prob</w:t>
      </w:r>
      <w:r w:rsidR="00A900FE">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Chính vì điều này nên khi cải tiến mô hình SVM-Prob bằng cách áp dụng thêm K-Means, K-SVMeans tỏ ra vượt trội.</w:t>
      </w:r>
    </w:p>
    <w:tbl>
      <w:tblPr>
        <w:tblStyle w:val="TableGrid"/>
        <w:tblW w:w="5000" w:type="pct"/>
        <w:tblLook w:val="04A0" w:firstRow="1" w:lastRow="0" w:firstColumn="1" w:lastColumn="0" w:noHBand="0" w:noVBand="1"/>
      </w:tblPr>
      <w:tblGrid>
        <w:gridCol w:w="672"/>
        <w:gridCol w:w="586"/>
        <w:gridCol w:w="516"/>
        <w:gridCol w:w="566"/>
        <w:gridCol w:w="516"/>
        <w:gridCol w:w="566"/>
        <w:gridCol w:w="632"/>
        <w:gridCol w:w="566"/>
        <w:gridCol w:w="636"/>
      </w:tblGrid>
      <w:tr w:rsidR="00E94B5E" w:rsidTr="00B50405">
        <w:tc>
          <w:tcPr>
            <w:tcW w:w="618" w:type="pct"/>
          </w:tcPr>
          <w:p w:rsidR="00E94B5E" w:rsidRDefault="00E94B5E" w:rsidP="00956AEA">
            <w:pPr>
              <w:jc w:val="center"/>
            </w:pPr>
          </w:p>
        </w:tc>
        <w:tc>
          <w:tcPr>
            <w:tcW w:w="1063" w:type="pct"/>
            <w:gridSpan w:val="2"/>
          </w:tcPr>
          <w:p w:rsidR="00E94B5E" w:rsidRPr="000C7E19" w:rsidRDefault="00E94B5E" w:rsidP="00280F71">
            <w:pPr>
              <w:jc w:val="center"/>
              <w:rPr>
                <w:b/>
              </w:rPr>
            </w:pPr>
            <w:r w:rsidRPr="000C7E19">
              <w:rPr>
                <w:b/>
              </w:rPr>
              <w:t xml:space="preserve">BPNN </w:t>
            </w:r>
          </w:p>
        </w:tc>
        <w:tc>
          <w:tcPr>
            <w:tcW w:w="982" w:type="pct"/>
            <w:gridSpan w:val="2"/>
          </w:tcPr>
          <w:p w:rsidR="00E94B5E" w:rsidRPr="000C7E19" w:rsidRDefault="003714DE" w:rsidP="00280F71">
            <w:pPr>
              <w:jc w:val="center"/>
              <w:rPr>
                <w:b/>
              </w:rPr>
            </w:pPr>
            <w:r w:rsidRPr="000C7E19">
              <w:rPr>
                <w:b/>
              </w:rPr>
              <w:t>SVM</w:t>
            </w:r>
          </w:p>
        </w:tc>
        <w:tc>
          <w:tcPr>
            <w:tcW w:w="1167" w:type="pct"/>
            <w:gridSpan w:val="2"/>
          </w:tcPr>
          <w:p w:rsidR="00E94B5E" w:rsidRPr="000C7E19" w:rsidRDefault="00E94B5E" w:rsidP="00280F71">
            <w:pPr>
              <w:jc w:val="center"/>
              <w:rPr>
                <w:b/>
              </w:rPr>
            </w:pPr>
            <w:r w:rsidRPr="000C7E19">
              <w:rPr>
                <w:b/>
              </w:rPr>
              <w:t>SVM-Prob</w:t>
            </w:r>
          </w:p>
        </w:tc>
        <w:tc>
          <w:tcPr>
            <w:tcW w:w="1170" w:type="pct"/>
            <w:gridSpan w:val="2"/>
          </w:tcPr>
          <w:p w:rsidR="00E94B5E" w:rsidRPr="000C7E19" w:rsidRDefault="00E94B5E" w:rsidP="00280F71">
            <w:pPr>
              <w:jc w:val="center"/>
              <w:rPr>
                <w:b/>
              </w:rPr>
            </w:pPr>
            <w:r w:rsidRPr="000C7E19">
              <w:rPr>
                <w:b/>
              </w:rPr>
              <w:t xml:space="preserve">K-SVMeans </w:t>
            </w:r>
          </w:p>
        </w:tc>
      </w:tr>
      <w:tr w:rsidR="00B50405" w:rsidTr="00B50405">
        <w:tc>
          <w:tcPr>
            <w:tcW w:w="618" w:type="pct"/>
          </w:tcPr>
          <w:p w:rsidR="00E94B5E" w:rsidRDefault="00E94B5E" w:rsidP="00956AEA">
            <w:pPr>
              <w:jc w:val="center"/>
            </w:pPr>
          </w:p>
        </w:tc>
        <w:tc>
          <w:tcPr>
            <w:tcW w:w="572"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491"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491" w:type="pct"/>
          </w:tcPr>
          <w:p w:rsidR="00E94B5E" w:rsidRPr="000C7E19" w:rsidRDefault="005E291E" w:rsidP="00B14908">
            <w:pPr>
              <w:jc w:val="center"/>
              <w:rPr>
                <w:b/>
                <w:i/>
              </w:rPr>
            </w:pPr>
            <w:r w:rsidRPr="000C7E19">
              <w:rPr>
                <w:b/>
                <w:i/>
              </w:rPr>
              <w:t>A (%)</w:t>
            </w:r>
          </w:p>
        </w:tc>
        <w:tc>
          <w:tcPr>
            <w:tcW w:w="491" w:type="pct"/>
          </w:tcPr>
          <w:p w:rsidR="00E94B5E" w:rsidRPr="000C7E19" w:rsidRDefault="005E291E" w:rsidP="00B14908">
            <w:pPr>
              <w:jc w:val="center"/>
              <w:rPr>
                <w:b/>
                <w:i/>
              </w:rPr>
            </w:pPr>
            <w:r w:rsidRPr="000C7E19">
              <w:rPr>
                <w:b/>
                <w:i/>
              </w:rPr>
              <w:t>SE (%)</w:t>
            </w:r>
          </w:p>
        </w:tc>
        <w:tc>
          <w:tcPr>
            <w:tcW w:w="545"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2"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c>
          <w:tcPr>
            <w:tcW w:w="547" w:type="pct"/>
          </w:tcPr>
          <w:p w:rsidR="00E94B5E" w:rsidRPr="000C7E19" w:rsidRDefault="00E94B5E" w:rsidP="00B14908">
            <w:pPr>
              <w:jc w:val="center"/>
              <w:rPr>
                <w:b/>
                <w:i/>
              </w:rPr>
            </w:pPr>
            <w:r w:rsidRPr="000C7E19">
              <w:rPr>
                <w:b/>
                <w:i/>
              </w:rPr>
              <w:t>A</w:t>
            </w:r>
            <w:r w:rsidR="00B50405" w:rsidRPr="000C7E19">
              <w:rPr>
                <w:b/>
                <w:i/>
              </w:rPr>
              <w:t xml:space="preserve"> </w:t>
            </w:r>
            <w:r w:rsidRPr="000C7E19">
              <w:rPr>
                <w:b/>
                <w:i/>
              </w:rPr>
              <w:t>(%)</w:t>
            </w:r>
          </w:p>
        </w:tc>
        <w:tc>
          <w:tcPr>
            <w:tcW w:w="623" w:type="pct"/>
          </w:tcPr>
          <w:p w:rsidR="00E94B5E" w:rsidRPr="000C7E19" w:rsidRDefault="00E94B5E" w:rsidP="00B14908">
            <w:pPr>
              <w:jc w:val="center"/>
              <w:rPr>
                <w:b/>
                <w:i/>
              </w:rPr>
            </w:pPr>
            <w:r w:rsidRPr="000C7E19">
              <w:rPr>
                <w:b/>
                <w:i/>
              </w:rPr>
              <w:t>SE</w:t>
            </w:r>
            <w:r w:rsidR="00B50405" w:rsidRPr="000C7E19">
              <w:rPr>
                <w:b/>
                <w:i/>
              </w:rPr>
              <w:t xml:space="preserve"> </w:t>
            </w:r>
            <w:r w:rsidRPr="000C7E19">
              <w:rPr>
                <w:b/>
                <w:i/>
              </w:rPr>
              <w:t>(%)</w:t>
            </w:r>
          </w:p>
        </w:tc>
      </w:tr>
      <w:tr w:rsidR="00B50405" w:rsidTr="00B50405">
        <w:tc>
          <w:tcPr>
            <w:tcW w:w="618" w:type="pct"/>
          </w:tcPr>
          <w:p w:rsidR="00B50405" w:rsidRPr="000C7E19" w:rsidRDefault="00B50405" w:rsidP="00956AEA">
            <w:pPr>
              <w:jc w:val="center"/>
              <w:rPr>
                <w:b/>
              </w:rPr>
            </w:pPr>
            <w:r w:rsidRPr="000C7E19">
              <w:rPr>
                <w:b/>
              </w:rPr>
              <w:t>BT6</w:t>
            </w:r>
          </w:p>
        </w:tc>
        <w:tc>
          <w:tcPr>
            <w:tcW w:w="572" w:type="pct"/>
            <w:vAlign w:val="bottom"/>
          </w:tcPr>
          <w:p w:rsidR="00B50405" w:rsidRPr="00370855" w:rsidRDefault="00B50405">
            <w:pPr>
              <w:jc w:val="right"/>
              <w:rPr>
                <w:color w:val="000000"/>
              </w:rPr>
            </w:pPr>
            <w:r w:rsidRPr="00370855">
              <w:rPr>
                <w:color w:val="000000"/>
              </w:rPr>
              <w:t>68.5</w:t>
            </w:r>
          </w:p>
        </w:tc>
        <w:tc>
          <w:tcPr>
            <w:tcW w:w="491" w:type="pct"/>
          </w:tcPr>
          <w:p w:rsidR="00B50405" w:rsidRPr="00370855" w:rsidRDefault="004B580E" w:rsidP="00956AEA">
            <w:pPr>
              <w:jc w:val="center"/>
            </w:pPr>
            <w:r w:rsidRPr="00370855">
              <w:t>0</w:t>
            </w:r>
          </w:p>
        </w:tc>
        <w:tc>
          <w:tcPr>
            <w:tcW w:w="491" w:type="pct"/>
            <w:vAlign w:val="bottom"/>
          </w:tcPr>
          <w:p w:rsidR="00B50405" w:rsidRPr="00370855" w:rsidRDefault="00B50405">
            <w:pPr>
              <w:jc w:val="right"/>
              <w:rPr>
                <w:color w:val="000000"/>
              </w:rPr>
            </w:pPr>
            <w:r w:rsidRPr="00370855">
              <w:rPr>
                <w:color w:val="000000"/>
              </w:rPr>
              <w:t>71.5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73.5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76.5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KHA</w:t>
            </w:r>
          </w:p>
        </w:tc>
        <w:tc>
          <w:tcPr>
            <w:tcW w:w="572" w:type="pct"/>
            <w:vAlign w:val="bottom"/>
          </w:tcPr>
          <w:p w:rsidR="00B50405" w:rsidRPr="00370855" w:rsidRDefault="00B50405">
            <w:pPr>
              <w:jc w:val="right"/>
              <w:rPr>
                <w:color w:val="000000"/>
              </w:rPr>
            </w:pPr>
            <w:r w:rsidRPr="00370855">
              <w:rPr>
                <w:color w:val="000000"/>
              </w:rPr>
              <w:t>59.5</w:t>
            </w:r>
          </w:p>
        </w:tc>
        <w:tc>
          <w:tcPr>
            <w:tcW w:w="491" w:type="pct"/>
          </w:tcPr>
          <w:p w:rsidR="00B50405" w:rsidRPr="00370855" w:rsidRDefault="0016130F" w:rsidP="00956AEA">
            <w:pPr>
              <w:jc w:val="center"/>
            </w:pPr>
            <w:r w:rsidRPr="00370855">
              <w:t>0.5</w:t>
            </w:r>
          </w:p>
        </w:tc>
        <w:tc>
          <w:tcPr>
            <w:tcW w:w="491" w:type="pct"/>
            <w:vAlign w:val="bottom"/>
          </w:tcPr>
          <w:p w:rsidR="00B50405" w:rsidRPr="00370855" w:rsidRDefault="00B50405">
            <w:pPr>
              <w:jc w:val="right"/>
              <w:rPr>
                <w:color w:val="000000"/>
              </w:rPr>
            </w:pPr>
            <w:r w:rsidRPr="00370855">
              <w:rPr>
                <w:color w:val="000000"/>
              </w:rPr>
              <w:t>63.5</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66.5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70</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REE</w:t>
            </w:r>
          </w:p>
        </w:tc>
        <w:tc>
          <w:tcPr>
            <w:tcW w:w="572" w:type="pct"/>
            <w:vAlign w:val="bottom"/>
          </w:tcPr>
          <w:p w:rsidR="00B50405" w:rsidRPr="00370855" w:rsidRDefault="00B50405">
            <w:pPr>
              <w:jc w:val="right"/>
              <w:rPr>
                <w:color w:val="000000"/>
              </w:rPr>
            </w:pPr>
            <w:r w:rsidRPr="00370855">
              <w:rPr>
                <w:color w:val="000000"/>
              </w:rPr>
              <w:t>73.5</w:t>
            </w:r>
          </w:p>
        </w:tc>
        <w:tc>
          <w:tcPr>
            <w:tcW w:w="491" w:type="pct"/>
          </w:tcPr>
          <w:p w:rsidR="00B50405" w:rsidRPr="00370855" w:rsidRDefault="001750CF" w:rsidP="00956AEA">
            <w:pPr>
              <w:jc w:val="center"/>
            </w:pPr>
            <w:r>
              <w:t>1</w:t>
            </w:r>
          </w:p>
        </w:tc>
        <w:tc>
          <w:tcPr>
            <w:tcW w:w="491" w:type="pct"/>
            <w:vAlign w:val="bottom"/>
          </w:tcPr>
          <w:p w:rsidR="00B50405" w:rsidRPr="00370855" w:rsidRDefault="00B50405">
            <w:pPr>
              <w:jc w:val="right"/>
              <w:rPr>
                <w:color w:val="000000"/>
              </w:rPr>
            </w:pPr>
            <w:r w:rsidRPr="00370855">
              <w:rPr>
                <w:color w:val="000000"/>
              </w:rPr>
              <w:t>85.0</w:t>
            </w:r>
          </w:p>
        </w:tc>
        <w:tc>
          <w:tcPr>
            <w:tcW w:w="491" w:type="pct"/>
          </w:tcPr>
          <w:p w:rsidR="00B50405" w:rsidRPr="00370855" w:rsidRDefault="004B580E" w:rsidP="00956AEA">
            <w:pPr>
              <w:jc w:val="center"/>
            </w:pPr>
            <w:r w:rsidRPr="00370855">
              <w:t>0</w:t>
            </w:r>
          </w:p>
        </w:tc>
        <w:tc>
          <w:tcPr>
            <w:tcW w:w="545" w:type="pct"/>
          </w:tcPr>
          <w:p w:rsidR="00B50405" w:rsidRPr="00370855" w:rsidRDefault="00B50405" w:rsidP="00956AEA">
            <w:pPr>
              <w:jc w:val="center"/>
            </w:pPr>
            <w:r w:rsidRPr="00370855">
              <w:t>85.5</w:t>
            </w:r>
          </w:p>
        </w:tc>
        <w:tc>
          <w:tcPr>
            <w:tcW w:w="622" w:type="pct"/>
          </w:tcPr>
          <w:p w:rsidR="00B50405" w:rsidRPr="00370855" w:rsidRDefault="004B580E" w:rsidP="00956AEA">
            <w:pPr>
              <w:jc w:val="center"/>
            </w:pPr>
            <w:r w:rsidRPr="00370855">
              <w:t>0</w:t>
            </w:r>
          </w:p>
        </w:tc>
        <w:tc>
          <w:tcPr>
            <w:tcW w:w="547" w:type="pct"/>
          </w:tcPr>
          <w:p w:rsidR="00B50405" w:rsidRPr="00370855" w:rsidRDefault="00B50405" w:rsidP="00956AEA">
            <w:pPr>
              <w:jc w:val="center"/>
            </w:pPr>
            <w:r w:rsidRPr="00370855">
              <w:t>85</w:t>
            </w:r>
          </w:p>
        </w:tc>
        <w:tc>
          <w:tcPr>
            <w:tcW w:w="623" w:type="pct"/>
          </w:tcPr>
          <w:p w:rsidR="00B50405" w:rsidRPr="00370855" w:rsidRDefault="004B580E" w:rsidP="00956AEA">
            <w:pPr>
              <w:jc w:val="center"/>
            </w:pPr>
            <w:r w:rsidRPr="00370855">
              <w:t>0</w:t>
            </w:r>
          </w:p>
        </w:tc>
      </w:tr>
      <w:tr w:rsidR="00B50405" w:rsidTr="00B50405">
        <w:tc>
          <w:tcPr>
            <w:tcW w:w="618" w:type="pct"/>
          </w:tcPr>
          <w:p w:rsidR="00B50405" w:rsidRPr="000C7E19" w:rsidRDefault="00B50405" w:rsidP="00956AEA">
            <w:pPr>
              <w:jc w:val="center"/>
              <w:rPr>
                <w:b/>
              </w:rPr>
            </w:pPr>
            <w:r w:rsidRPr="000C7E19">
              <w:rPr>
                <w:b/>
              </w:rPr>
              <w:t>SAM</w:t>
            </w:r>
          </w:p>
        </w:tc>
        <w:tc>
          <w:tcPr>
            <w:tcW w:w="572" w:type="pct"/>
            <w:vAlign w:val="bottom"/>
          </w:tcPr>
          <w:p w:rsidR="00B50405" w:rsidRPr="00370855" w:rsidRDefault="00B50405">
            <w:pPr>
              <w:jc w:val="right"/>
              <w:rPr>
                <w:color w:val="000000"/>
              </w:rPr>
            </w:pPr>
            <w:r w:rsidRPr="00370855">
              <w:rPr>
                <w:color w:val="000000"/>
              </w:rPr>
              <w:t>74.5</w:t>
            </w:r>
          </w:p>
        </w:tc>
        <w:tc>
          <w:tcPr>
            <w:tcW w:w="491" w:type="pct"/>
          </w:tcPr>
          <w:p w:rsidR="00B50405" w:rsidRPr="00370855" w:rsidRDefault="0016130F" w:rsidP="00956AEA">
            <w:pPr>
              <w:jc w:val="center"/>
            </w:pPr>
            <w:r w:rsidRPr="00370855">
              <w:t>3</w:t>
            </w:r>
          </w:p>
        </w:tc>
        <w:tc>
          <w:tcPr>
            <w:tcW w:w="491" w:type="pct"/>
            <w:vAlign w:val="bottom"/>
          </w:tcPr>
          <w:p w:rsidR="00B50405" w:rsidRPr="00370855" w:rsidRDefault="00B50405">
            <w:pPr>
              <w:jc w:val="right"/>
              <w:rPr>
                <w:color w:val="000000"/>
              </w:rPr>
            </w:pPr>
            <w:r w:rsidRPr="00370855">
              <w:rPr>
                <w:color w:val="000000"/>
              </w:rPr>
              <w:t>65.5</w:t>
            </w:r>
          </w:p>
        </w:tc>
        <w:tc>
          <w:tcPr>
            <w:tcW w:w="491" w:type="pct"/>
          </w:tcPr>
          <w:p w:rsidR="00B50405" w:rsidRPr="00370855" w:rsidRDefault="0016130F" w:rsidP="00956AEA">
            <w:pPr>
              <w:jc w:val="center"/>
            </w:pPr>
            <w:r w:rsidRPr="00370855">
              <w:t>7</w:t>
            </w:r>
          </w:p>
        </w:tc>
        <w:tc>
          <w:tcPr>
            <w:tcW w:w="545" w:type="pct"/>
          </w:tcPr>
          <w:p w:rsidR="00B50405" w:rsidRPr="00370855" w:rsidRDefault="00B50405" w:rsidP="00956AEA">
            <w:pPr>
              <w:jc w:val="center"/>
            </w:pPr>
            <w:r w:rsidRPr="00370855">
              <w:t>71.5</w:t>
            </w:r>
          </w:p>
        </w:tc>
        <w:tc>
          <w:tcPr>
            <w:tcW w:w="622" w:type="pct"/>
          </w:tcPr>
          <w:p w:rsidR="00B50405" w:rsidRPr="00370855" w:rsidRDefault="004B580E" w:rsidP="00956AEA">
            <w:pPr>
              <w:jc w:val="center"/>
            </w:pPr>
            <w:r w:rsidRPr="00370855">
              <w:t>2</w:t>
            </w:r>
          </w:p>
        </w:tc>
        <w:tc>
          <w:tcPr>
            <w:tcW w:w="547" w:type="pct"/>
          </w:tcPr>
          <w:p w:rsidR="00B50405" w:rsidRPr="00370855" w:rsidRDefault="00B50405" w:rsidP="00956AEA">
            <w:pPr>
              <w:jc w:val="center"/>
            </w:pPr>
            <w:r w:rsidRPr="00370855">
              <w:t>75.5</w:t>
            </w:r>
          </w:p>
        </w:tc>
        <w:tc>
          <w:tcPr>
            <w:tcW w:w="623" w:type="pct"/>
          </w:tcPr>
          <w:p w:rsidR="00B50405" w:rsidRPr="00370855" w:rsidRDefault="004B580E" w:rsidP="00956AEA">
            <w:pPr>
              <w:jc w:val="center"/>
            </w:pPr>
            <w:r w:rsidRPr="00370855">
              <w:t>0.5</w:t>
            </w:r>
          </w:p>
        </w:tc>
      </w:tr>
    </w:tbl>
    <w:p w:rsidR="0044430C" w:rsidRDefault="0044430C" w:rsidP="00F06D45">
      <w:pPr>
        <w:pStyle w:val="FigureCaption"/>
      </w:pPr>
    </w:p>
    <w:p w:rsidR="00A900FE" w:rsidRDefault="00F06D45" w:rsidP="00F06D45">
      <w:pPr>
        <w:pStyle w:val="FigureCaption"/>
      </w:pPr>
      <w:r>
        <w:t xml:space="preserve">Bảng </w:t>
      </w:r>
      <w:r w:rsidR="0052700C">
        <w:t>4</w:t>
      </w:r>
      <w:r>
        <w:t xml:space="preserve">. Kết quả so sánh dự đoán 1 ngày giữa </w:t>
      </w:r>
      <w:r w:rsidR="0052700C">
        <w:t>các</w:t>
      </w:r>
      <w:r>
        <w:t xml:space="preserve"> mô hình theo</w:t>
      </w:r>
      <w:r w:rsidR="001750CF">
        <w:t xml:space="preserve"> </w:t>
      </w:r>
      <w:r w:rsidR="007126A5" w:rsidRPr="00BA6D30">
        <w:t>độ chính xác phân lớp</w:t>
      </w:r>
      <w:r w:rsidR="007126A5">
        <w:t xml:space="preserve"> (A) và độ lỗi về dấu (SE).</w:t>
      </w:r>
    </w:p>
    <w:p w:rsidR="00A900FE" w:rsidRDefault="00A900FE" w:rsidP="00A900FE">
      <w:pPr>
        <w:pStyle w:val="Text"/>
      </w:pPr>
      <w:r>
        <w:t xml:space="preserve"> </w:t>
      </w:r>
      <w:r w:rsidR="0052700C">
        <w:t>Trong bảng 5, k</w:t>
      </w:r>
      <w:r>
        <w:t>ịch bản cũng lặp lại đối với chu kỳ dự đoán 5 ngày</w:t>
      </w:r>
      <w:r w:rsidR="00D74668">
        <w:t>:</w:t>
      </w:r>
      <w:r>
        <w:t xml:space="preserve"> </w:t>
      </w:r>
      <w:r w:rsidR="00D74668">
        <w:t xml:space="preserve">BPNN thể hiện tính không ổn định và hiệu suất thấp nhất, SVM-Prob vẫn cho kết quả tốt hơn SVM </w:t>
      </w:r>
      <w:r w:rsidR="00D74668">
        <w:lastRenderedPageBreak/>
        <w:t>dù chênh lệch là không lớn, K-SVMeans vượt trội tất cả về độ chính xác lẫn độ lỗi. Mặt khác</w:t>
      </w:r>
      <w:r>
        <w:t>, phải thừa nhận rằng độ chính xác so với</w:t>
      </w:r>
      <w:r w:rsidR="00D74668">
        <w:t xml:space="preserve"> dự đoán 1 ngày giảm đi đáng kể và tỷ lệ lỗi về dấu cũng tăng lên khá cao. </w:t>
      </w:r>
      <w:r w:rsidR="00636480">
        <w:t>Tuy nhiên, độ chính xác dự đoán trên 60% của mô hình K-SVMeans là một kết quả khả quan đối với bài toán dự đoán xu hướng cho 5 ngày tiếp theo.</w:t>
      </w:r>
    </w:p>
    <w:p w:rsidR="00237679" w:rsidRDefault="00237679" w:rsidP="00A900FE">
      <w:pPr>
        <w:pStyle w:val="Text"/>
      </w:pPr>
    </w:p>
    <w:p w:rsidR="00237679" w:rsidRDefault="00237679" w:rsidP="00A900FE">
      <w:pPr>
        <w:pStyle w:val="Text"/>
      </w:pPr>
    </w:p>
    <w:tbl>
      <w:tblPr>
        <w:tblStyle w:val="TableGrid"/>
        <w:tblW w:w="5000" w:type="pct"/>
        <w:jc w:val="center"/>
        <w:tblLook w:val="04A0" w:firstRow="1" w:lastRow="0" w:firstColumn="1" w:lastColumn="0" w:noHBand="0" w:noVBand="1"/>
      </w:tblPr>
      <w:tblGrid>
        <w:gridCol w:w="672"/>
        <w:gridCol w:w="566"/>
        <w:gridCol w:w="566"/>
        <w:gridCol w:w="651"/>
        <w:gridCol w:w="622"/>
        <w:gridCol w:w="566"/>
        <w:gridCol w:w="573"/>
        <w:gridCol w:w="520"/>
        <w:gridCol w:w="520"/>
      </w:tblGrid>
      <w:tr w:rsidR="0044430C" w:rsidRPr="0044430C" w:rsidTr="0044430C">
        <w:trPr>
          <w:jc w:val="center"/>
        </w:trPr>
        <w:tc>
          <w:tcPr>
            <w:tcW w:w="618" w:type="pct"/>
          </w:tcPr>
          <w:p w:rsidR="00B50405" w:rsidRPr="0044430C" w:rsidRDefault="00B50405" w:rsidP="00960CEF">
            <w:pPr>
              <w:jc w:val="center"/>
            </w:pPr>
          </w:p>
        </w:tc>
        <w:tc>
          <w:tcPr>
            <w:tcW w:w="1077" w:type="pct"/>
            <w:gridSpan w:val="2"/>
          </w:tcPr>
          <w:p w:rsidR="00B50405" w:rsidRPr="00F72997" w:rsidRDefault="00B50405" w:rsidP="00960CEF">
            <w:pPr>
              <w:jc w:val="center"/>
              <w:rPr>
                <w:b/>
              </w:rPr>
            </w:pPr>
            <w:r w:rsidRPr="00F72997">
              <w:rPr>
                <w:b/>
              </w:rPr>
              <w:t xml:space="preserve">BPNN </w:t>
            </w:r>
          </w:p>
        </w:tc>
        <w:tc>
          <w:tcPr>
            <w:tcW w:w="1233" w:type="pct"/>
            <w:gridSpan w:val="2"/>
          </w:tcPr>
          <w:p w:rsidR="00B50405" w:rsidRPr="00F72997" w:rsidRDefault="00B50405" w:rsidP="00960CEF">
            <w:pPr>
              <w:jc w:val="center"/>
              <w:rPr>
                <w:b/>
              </w:rPr>
            </w:pPr>
            <w:r w:rsidRPr="00F72997">
              <w:rPr>
                <w:b/>
              </w:rPr>
              <w:t>SVM</w:t>
            </w:r>
          </w:p>
        </w:tc>
        <w:tc>
          <w:tcPr>
            <w:tcW w:w="1090" w:type="pct"/>
            <w:gridSpan w:val="2"/>
          </w:tcPr>
          <w:p w:rsidR="00B50405" w:rsidRPr="00F72997" w:rsidRDefault="00B50405" w:rsidP="00960CEF">
            <w:pPr>
              <w:jc w:val="center"/>
              <w:rPr>
                <w:b/>
              </w:rPr>
            </w:pPr>
            <w:r w:rsidRPr="00F72997">
              <w:rPr>
                <w:b/>
              </w:rPr>
              <w:t>SVM-Prob</w:t>
            </w:r>
          </w:p>
        </w:tc>
        <w:tc>
          <w:tcPr>
            <w:tcW w:w="982" w:type="pct"/>
            <w:gridSpan w:val="2"/>
          </w:tcPr>
          <w:p w:rsidR="00B50405" w:rsidRPr="00F72997" w:rsidRDefault="00B50405" w:rsidP="00960CEF">
            <w:pPr>
              <w:jc w:val="center"/>
              <w:rPr>
                <w:b/>
              </w:rPr>
            </w:pPr>
            <w:r w:rsidRPr="00F72997">
              <w:rPr>
                <w:b/>
              </w:rPr>
              <w:t xml:space="preserve">K-SVMeans </w:t>
            </w:r>
          </w:p>
        </w:tc>
      </w:tr>
      <w:tr w:rsidR="0044430C" w:rsidRPr="0044430C" w:rsidTr="0044430C">
        <w:trPr>
          <w:jc w:val="center"/>
        </w:trPr>
        <w:tc>
          <w:tcPr>
            <w:tcW w:w="618" w:type="pct"/>
          </w:tcPr>
          <w:p w:rsidR="00B50405" w:rsidRPr="0044430C" w:rsidRDefault="00B50405" w:rsidP="00960CEF">
            <w:pPr>
              <w:jc w:val="center"/>
            </w:pPr>
          </w:p>
        </w:tc>
        <w:tc>
          <w:tcPr>
            <w:tcW w:w="538" w:type="pct"/>
          </w:tcPr>
          <w:p w:rsidR="00B50405" w:rsidRPr="00F72997" w:rsidRDefault="00B50405" w:rsidP="00960CEF">
            <w:pPr>
              <w:jc w:val="center"/>
              <w:rPr>
                <w:b/>
                <w:i/>
              </w:rPr>
            </w:pPr>
            <w:r w:rsidRPr="00F72997">
              <w:rPr>
                <w:b/>
                <w:i/>
              </w:rPr>
              <w:t>A (%)</w:t>
            </w:r>
          </w:p>
        </w:tc>
        <w:tc>
          <w:tcPr>
            <w:tcW w:w="538" w:type="pct"/>
          </w:tcPr>
          <w:p w:rsidR="00B50405" w:rsidRPr="00F72997" w:rsidRDefault="00B50405" w:rsidP="00960CEF">
            <w:pPr>
              <w:jc w:val="center"/>
              <w:rPr>
                <w:b/>
                <w:i/>
              </w:rPr>
            </w:pPr>
            <w:r w:rsidRPr="00F72997">
              <w:rPr>
                <w:b/>
                <w:i/>
              </w:rPr>
              <w:t>SE (%)</w:t>
            </w:r>
          </w:p>
        </w:tc>
        <w:tc>
          <w:tcPr>
            <w:tcW w:w="634" w:type="pct"/>
          </w:tcPr>
          <w:p w:rsidR="00B50405" w:rsidRPr="00F72997" w:rsidRDefault="00B50405" w:rsidP="00960CEF">
            <w:pPr>
              <w:jc w:val="center"/>
              <w:rPr>
                <w:b/>
                <w:i/>
              </w:rPr>
            </w:pPr>
            <w:r w:rsidRPr="00F72997">
              <w:rPr>
                <w:b/>
                <w:i/>
              </w:rPr>
              <w:t>A (%)</w:t>
            </w:r>
          </w:p>
        </w:tc>
        <w:tc>
          <w:tcPr>
            <w:tcW w:w="599" w:type="pct"/>
          </w:tcPr>
          <w:p w:rsidR="00B50405" w:rsidRPr="00F72997" w:rsidRDefault="00B50405" w:rsidP="00960CEF">
            <w:pPr>
              <w:jc w:val="center"/>
              <w:rPr>
                <w:b/>
                <w:i/>
              </w:rPr>
            </w:pPr>
            <w:r w:rsidRPr="00F72997">
              <w:rPr>
                <w:b/>
                <w:i/>
              </w:rPr>
              <w:t>SE (%)</w:t>
            </w:r>
          </w:p>
        </w:tc>
        <w:tc>
          <w:tcPr>
            <w:tcW w:w="538" w:type="pct"/>
          </w:tcPr>
          <w:p w:rsidR="00B50405" w:rsidRPr="00F72997" w:rsidRDefault="00B50405" w:rsidP="00960CEF">
            <w:pPr>
              <w:jc w:val="center"/>
              <w:rPr>
                <w:b/>
                <w:i/>
              </w:rPr>
            </w:pPr>
            <w:r w:rsidRPr="00F72997">
              <w:rPr>
                <w:b/>
                <w:i/>
              </w:rPr>
              <w:t>A (%)</w:t>
            </w:r>
          </w:p>
        </w:tc>
        <w:tc>
          <w:tcPr>
            <w:tcW w:w="552" w:type="pct"/>
          </w:tcPr>
          <w:p w:rsidR="00B50405" w:rsidRPr="00F72997" w:rsidRDefault="00B50405" w:rsidP="00960CEF">
            <w:pPr>
              <w:jc w:val="center"/>
              <w:rPr>
                <w:b/>
                <w:i/>
              </w:rPr>
            </w:pPr>
            <w:r w:rsidRPr="00F72997">
              <w:rPr>
                <w:b/>
                <w:i/>
              </w:rPr>
              <w:t>SE (%)</w:t>
            </w:r>
          </w:p>
        </w:tc>
        <w:tc>
          <w:tcPr>
            <w:tcW w:w="491" w:type="pct"/>
          </w:tcPr>
          <w:p w:rsidR="00B50405" w:rsidRPr="00F72997" w:rsidRDefault="00B50405" w:rsidP="00960CEF">
            <w:pPr>
              <w:jc w:val="center"/>
              <w:rPr>
                <w:b/>
                <w:i/>
              </w:rPr>
            </w:pPr>
            <w:r w:rsidRPr="00F72997">
              <w:rPr>
                <w:b/>
                <w:i/>
              </w:rPr>
              <w:t>A (%)</w:t>
            </w:r>
          </w:p>
        </w:tc>
        <w:tc>
          <w:tcPr>
            <w:tcW w:w="491" w:type="pct"/>
          </w:tcPr>
          <w:p w:rsidR="00B50405" w:rsidRPr="00F72997" w:rsidRDefault="00B50405" w:rsidP="00960CEF">
            <w:pPr>
              <w:jc w:val="center"/>
              <w:rPr>
                <w:b/>
                <w:i/>
              </w:rPr>
            </w:pPr>
            <w:r w:rsidRPr="00F72997">
              <w:rPr>
                <w:b/>
                <w:i/>
              </w:rPr>
              <w:t>SE (%)</w:t>
            </w:r>
          </w:p>
        </w:tc>
      </w:tr>
      <w:tr w:rsidR="0044430C" w:rsidRPr="0044430C" w:rsidTr="0044430C">
        <w:trPr>
          <w:jc w:val="center"/>
        </w:trPr>
        <w:tc>
          <w:tcPr>
            <w:tcW w:w="618" w:type="pct"/>
          </w:tcPr>
          <w:p w:rsidR="0044430C" w:rsidRPr="00F72997" w:rsidRDefault="0044430C" w:rsidP="00960CEF">
            <w:pPr>
              <w:jc w:val="center"/>
              <w:rPr>
                <w:b/>
              </w:rPr>
            </w:pPr>
            <w:r w:rsidRPr="00F72997">
              <w:rPr>
                <w:b/>
              </w:rPr>
              <w:t>BT6</w:t>
            </w:r>
          </w:p>
        </w:tc>
        <w:tc>
          <w:tcPr>
            <w:tcW w:w="538" w:type="pct"/>
            <w:vAlign w:val="bottom"/>
          </w:tcPr>
          <w:p w:rsidR="0044430C" w:rsidRPr="0044430C" w:rsidRDefault="0044430C" w:rsidP="00E7602F">
            <w:r w:rsidRPr="0044430C">
              <w:t>56</w:t>
            </w:r>
          </w:p>
        </w:tc>
        <w:tc>
          <w:tcPr>
            <w:tcW w:w="538" w:type="pct"/>
          </w:tcPr>
          <w:p w:rsidR="0044430C" w:rsidRPr="0044430C" w:rsidRDefault="0044430C" w:rsidP="00960CEF">
            <w:pPr>
              <w:jc w:val="center"/>
            </w:pPr>
            <w:r w:rsidRPr="0044430C">
              <w:t>0</w:t>
            </w:r>
          </w:p>
        </w:tc>
        <w:tc>
          <w:tcPr>
            <w:tcW w:w="634" w:type="pct"/>
            <w:vAlign w:val="bottom"/>
          </w:tcPr>
          <w:p w:rsidR="0044430C" w:rsidRPr="0044430C" w:rsidRDefault="0044430C" w:rsidP="0044430C">
            <w:r w:rsidRPr="0044430C">
              <w:t>57</w:t>
            </w:r>
          </w:p>
        </w:tc>
        <w:tc>
          <w:tcPr>
            <w:tcW w:w="599" w:type="pct"/>
          </w:tcPr>
          <w:p w:rsidR="0044430C" w:rsidRPr="0044430C" w:rsidRDefault="0044430C" w:rsidP="00960CEF">
            <w:pPr>
              <w:jc w:val="center"/>
            </w:pPr>
            <w:r w:rsidRPr="0044430C">
              <w:t>0</w:t>
            </w:r>
          </w:p>
        </w:tc>
        <w:tc>
          <w:tcPr>
            <w:tcW w:w="538" w:type="pct"/>
            <w:vAlign w:val="bottom"/>
          </w:tcPr>
          <w:p w:rsidR="0044430C" w:rsidRPr="0044430C" w:rsidRDefault="0044430C" w:rsidP="0044430C">
            <w:r w:rsidRPr="0044430C">
              <w:t>59</w:t>
            </w:r>
          </w:p>
        </w:tc>
        <w:tc>
          <w:tcPr>
            <w:tcW w:w="552" w:type="pct"/>
          </w:tcPr>
          <w:p w:rsidR="0044430C" w:rsidRPr="0044430C" w:rsidRDefault="0044430C" w:rsidP="00960CEF">
            <w:pPr>
              <w:jc w:val="center"/>
            </w:pPr>
            <w:r w:rsidRPr="0044430C">
              <w:t>0</w:t>
            </w:r>
          </w:p>
        </w:tc>
        <w:tc>
          <w:tcPr>
            <w:tcW w:w="491" w:type="pct"/>
            <w:vAlign w:val="bottom"/>
          </w:tcPr>
          <w:p w:rsidR="0044430C" w:rsidRPr="0044430C" w:rsidRDefault="0044430C" w:rsidP="00E7602F">
            <w:r w:rsidRPr="0044430C">
              <w:t>66</w:t>
            </w:r>
          </w:p>
        </w:tc>
        <w:tc>
          <w:tcPr>
            <w:tcW w:w="491" w:type="pct"/>
          </w:tcPr>
          <w:p w:rsidR="0044430C" w:rsidRPr="0044430C" w:rsidRDefault="0044430C" w:rsidP="00A71A8B">
            <w:pPr>
              <w:jc w:val="center"/>
            </w:pPr>
            <w:r w:rsidRPr="0044430C">
              <w:t>0</w:t>
            </w:r>
          </w:p>
        </w:tc>
      </w:tr>
      <w:tr w:rsidR="0044430C" w:rsidRPr="0044430C" w:rsidTr="0044430C">
        <w:trPr>
          <w:jc w:val="center"/>
        </w:trPr>
        <w:tc>
          <w:tcPr>
            <w:tcW w:w="618" w:type="pct"/>
          </w:tcPr>
          <w:p w:rsidR="0044430C" w:rsidRPr="00F72997" w:rsidRDefault="0044430C" w:rsidP="00960CEF">
            <w:pPr>
              <w:jc w:val="center"/>
              <w:rPr>
                <w:b/>
              </w:rPr>
            </w:pPr>
            <w:r w:rsidRPr="00F72997">
              <w:rPr>
                <w:b/>
              </w:rPr>
              <w:t>KHA</w:t>
            </w:r>
          </w:p>
        </w:tc>
        <w:tc>
          <w:tcPr>
            <w:tcW w:w="538" w:type="pct"/>
            <w:vAlign w:val="bottom"/>
          </w:tcPr>
          <w:p w:rsidR="0044430C" w:rsidRPr="0044430C" w:rsidRDefault="0044430C" w:rsidP="00E7602F">
            <w:r w:rsidRPr="0044430C">
              <w:t>51.5</w:t>
            </w:r>
          </w:p>
        </w:tc>
        <w:tc>
          <w:tcPr>
            <w:tcW w:w="538" w:type="pct"/>
          </w:tcPr>
          <w:p w:rsidR="0044430C" w:rsidRPr="0044430C" w:rsidRDefault="0044430C" w:rsidP="00960CEF">
            <w:pPr>
              <w:jc w:val="center"/>
            </w:pPr>
            <w:r w:rsidRPr="0044430C">
              <w:t>4.5</w:t>
            </w:r>
          </w:p>
        </w:tc>
        <w:tc>
          <w:tcPr>
            <w:tcW w:w="634" w:type="pct"/>
            <w:vAlign w:val="bottom"/>
          </w:tcPr>
          <w:p w:rsidR="0044430C" w:rsidRPr="0044430C" w:rsidRDefault="0044430C" w:rsidP="0044430C">
            <w:r w:rsidRPr="0044430C">
              <w:t>64</w:t>
            </w:r>
          </w:p>
        </w:tc>
        <w:tc>
          <w:tcPr>
            <w:tcW w:w="599" w:type="pct"/>
          </w:tcPr>
          <w:p w:rsidR="0044430C" w:rsidRPr="0044430C" w:rsidRDefault="0044430C" w:rsidP="00960CEF">
            <w:pPr>
              <w:jc w:val="center"/>
            </w:pPr>
            <w:r w:rsidRPr="0044430C">
              <w:t>0</w:t>
            </w:r>
          </w:p>
        </w:tc>
        <w:tc>
          <w:tcPr>
            <w:tcW w:w="538" w:type="pct"/>
            <w:vAlign w:val="bottom"/>
          </w:tcPr>
          <w:p w:rsidR="0044430C" w:rsidRPr="0044430C" w:rsidRDefault="0044430C" w:rsidP="0044430C">
            <w:r w:rsidRPr="0044430C">
              <w:t>67</w:t>
            </w:r>
          </w:p>
        </w:tc>
        <w:tc>
          <w:tcPr>
            <w:tcW w:w="552" w:type="pct"/>
          </w:tcPr>
          <w:p w:rsidR="0044430C" w:rsidRPr="0044430C" w:rsidRDefault="0044430C" w:rsidP="00960CEF">
            <w:pPr>
              <w:jc w:val="center"/>
            </w:pPr>
            <w:r w:rsidRPr="0044430C">
              <w:t>0</w:t>
            </w:r>
          </w:p>
        </w:tc>
        <w:tc>
          <w:tcPr>
            <w:tcW w:w="491" w:type="pct"/>
            <w:vAlign w:val="bottom"/>
          </w:tcPr>
          <w:p w:rsidR="0044430C" w:rsidRPr="0044430C" w:rsidRDefault="0044430C" w:rsidP="00E7602F">
            <w:r w:rsidRPr="0044430C">
              <w:t>67</w:t>
            </w:r>
          </w:p>
        </w:tc>
        <w:tc>
          <w:tcPr>
            <w:tcW w:w="491" w:type="pct"/>
          </w:tcPr>
          <w:p w:rsidR="0044430C" w:rsidRPr="0044430C" w:rsidRDefault="0044430C" w:rsidP="00960CEF">
            <w:pPr>
              <w:jc w:val="center"/>
            </w:pPr>
            <w:r w:rsidRPr="0044430C">
              <w:t>0</w:t>
            </w:r>
          </w:p>
        </w:tc>
      </w:tr>
      <w:tr w:rsidR="0044430C" w:rsidRPr="0044430C" w:rsidTr="0044430C">
        <w:trPr>
          <w:jc w:val="center"/>
        </w:trPr>
        <w:tc>
          <w:tcPr>
            <w:tcW w:w="618" w:type="pct"/>
          </w:tcPr>
          <w:p w:rsidR="0044430C" w:rsidRPr="00F72997" w:rsidRDefault="0044430C" w:rsidP="00960CEF">
            <w:pPr>
              <w:jc w:val="center"/>
              <w:rPr>
                <w:b/>
              </w:rPr>
            </w:pPr>
            <w:r w:rsidRPr="00F72997">
              <w:rPr>
                <w:b/>
              </w:rPr>
              <w:t>REE</w:t>
            </w:r>
          </w:p>
        </w:tc>
        <w:tc>
          <w:tcPr>
            <w:tcW w:w="538" w:type="pct"/>
            <w:vAlign w:val="bottom"/>
          </w:tcPr>
          <w:p w:rsidR="0044430C" w:rsidRPr="0044430C" w:rsidRDefault="0044430C" w:rsidP="00E7602F">
            <w:r w:rsidRPr="0044430C">
              <w:t>71</w:t>
            </w:r>
          </w:p>
        </w:tc>
        <w:tc>
          <w:tcPr>
            <w:tcW w:w="538" w:type="pct"/>
          </w:tcPr>
          <w:p w:rsidR="0044430C" w:rsidRPr="0044430C" w:rsidRDefault="0044430C" w:rsidP="00960CEF">
            <w:pPr>
              <w:jc w:val="center"/>
            </w:pPr>
            <w:r w:rsidRPr="0044430C">
              <w:t>4.5</w:t>
            </w:r>
          </w:p>
        </w:tc>
        <w:tc>
          <w:tcPr>
            <w:tcW w:w="634" w:type="pct"/>
            <w:vAlign w:val="bottom"/>
          </w:tcPr>
          <w:p w:rsidR="0044430C" w:rsidRPr="0044430C" w:rsidRDefault="0044430C" w:rsidP="0044430C">
            <w:r w:rsidRPr="0044430C">
              <w:t>70.5</w:t>
            </w:r>
          </w:p>
        </w:tc>
        <w:tc>
          <w:tcPr>
            <w:tcW w:w="599" w:type="pct"/>
          </w:tcPr>
          <w:p w:rsidR="0044430C" w:rsidRPr="0044430C" w:rsidRDefault="0044430C" w:rsidP="00960CEF">
            <w:pPr>
              <w:jc w:val="center"/>
            </w:pPr>
            <w:r w:rsidRPr="0044430C">
              <w:t>0</w:t>
            </w:r>
          </w:p>
        </w:tc>
        <w:tc>
          <w:tcPr>
            <w:tcW w:w="538" w:type="pct"/>
            <w:vAlign w:val="bottom"/>
          </w:tcPr>
          <w:p w:rsidR="0044430C" w:rsidRPr="0044430C" w:rsidRDefault="0044430C" w:rsidP="0044430C">
            <w:r w:rsidRPr="0044430C">
              <w:t>74.5</w:t>
            </w:r>
          </w:p>
        </w:tc>
        <w:tc>
          <w:tcPr>
            <w:tcW w:w="552" w:type="pct"/>
          </w:tcPr>
          <w:p w:rsidR="0044430C" w:rsidRPr="0044430C" w:rsidRDefault="0044430C" w:rsidP="00960CEF">
            <w:pPr>
              <w:jc w:val="center"/>
            </w:pPr>
            <w:r w:rsidRPr="0044430C">
              <w:t>0</w:t>
            </w:r>
          </w:p>
        </w:tc>
        <w:tc>
          <w:tcPr>
            <w:tcW w:w="491" w:type="pct"/>
            <w:vAlign w:val="bottom"/>
          </w:tcPr>
          <w:p w:rsidR="0044430C" w:rsidRPr="0044430C" w:rsidRDefault="0044430C" w:rsidP="00E7602F">
            <w:r w:rsidRPr="0044430C">
              <w:t>76</w:t>
            </w:r>
          </w:p>
        </w:tc>
        <w:tc>
          <w:tcPr>
            <w:tcW w:w="491" w:type="pct"/>
          </w:tcPr>
          <w:p w:rsidR="0044430C" w:rsidRPr="0044430C" w:rsidRDefault="0044430C" w:rsidP="00960CEF">
            <w:pPr>
              <w:jc w:val="center"/>
            </w:pPr>
            <w:r w:rsidRPr="0044430C">
              <w:t>0</w:t>
            </w:r>
          </w:p>
        </w:tc>
      </w:tr>
      <w:tr w:rsidR="0044430C" w:rsidRPr="0044430C" w:rsidTr="0044430C">
        <w:trPr>
          <w:jc w:val="center"/>
        </w:trPr>
        <w:tc>
          <w:tcPr>
            <w:tcW w:w="618" w:type="pct"/>
          </w:tcPr>
          <w:p w:rsidR="0044430C" w:rsidRPr="00F72997" w:rsidRDefault="0044430C" w:rsidP="00960CEF">
            <w:pPr>
              <w:jc w:val="center"/>
              <w:rPr>
                <w:b/>
              </w:rPr>
            </w:pPr>
            <w:r w:rsidRPr="00F72997">
              <w:rPr>
                <w:b/>
              </w:rPr>
              <w:t>SAM</w:t>
            </w:r>
          </w:p>
        </w:tc>
        <w:tc>
          <w:tcPr>
            <w:tcW w:w="538" w:type="pct"/>
            <w:vAlign w:val="bottom"/>
          </w:tcPr>
          <w:p w:rsidR="0044430C" w:rsidRPr="0044430C" w:rsidRDefault="0044430C">
            <w:pPr>
              <w:jc w:val="right"/>
            </w:pPr>
            <w:r w:rsidRPr="0044430C">
              <w:t>48.5</w:t>
            </w:r>
          </w:p>
        </w:tc>
        <w:tc>
          <w:tcPr>
            <w:tcW w:w="538" w:type="pct"/>
          </w:tcPr>
          <w:p w:rsidR="0044430C" w:rsidRPr="0044430C" w:rsidRDefault="0044430C" w:rsidP="00960CEF">
            <w:pPr>
              <w:jc w:val="center"/>
            </w:pPr>
            <w:r w:rsidRPr="0044430C">
              <w:t>22.5</w:t>
            </w:r>
          </w:p>
        </w:tc>
        <w:tc>
          <w:tcPr>
            <w:tcW w:w="634" w:type="pct"/>
            <w:vAlign w:val="bottom"/>
          </w:tcPr>
          <w:p w:rsidR="0044430C" w:rsidRPr="0044430C" w:rsidRDefault="0044430C" w:rsidP="0044430C">
            <w:r w:rsidRPr="0044430C">
              <w:t>51.5</w:t>
            </w:r>
          </w:p>
        </w:tc>
        <w:tc>
          <w:tcPr>
            <w:tcW w:w="599" w:type="pct"/>
          </w:tcPr>
          <w:p w:rsidR="0044430C" w:rsidRPr="0044430C" w:rsidRDefault="0044430C" w:rsidP="00960CEF">
            <w:pPr>
              <w:jc w:val="center"/>
            </w:pPr>
            <w:r w:rsidRPr="0044430C">
              <w:t>21</w:t>
            </w:r>
          </w:p>
        </w:tc>
        <w:tc>
          <w:tcPr>
            <w:tcW w:w="538" w:type="pct"/>
            <w:vAlign w:val="bottom"/>
          </w:tcPr>
          <w:p w:rsidR="0044430C" w:rsidRPr="0044430C" w:rsidRDefault="0044430C" w:rsidP="0044430C">
            <w:r w:rsidRPr="0044430C">
              <w:t>56</w:t>
            </w:r>
          </w:p>
        </w:tc>
        <w:tc>
          <w:tcPr>
            <w:tcW w:w="552" w:type="pct"/>
          </w:tcPr>
          <w:p w:rsidR="0044430C" w:rsidRPr="0044430C" w:rsidRDefault="0044430C" w:rsidP="00960CEF">
            <w:pPr>
              <w:jc w:val="center"/>
            </w:pPr>
            <w:r w:rsidRPr="0044430C">
              <w:t>18</w:t>
            </w:r>
          </w:p>
        </w:tc>
        <w:tc>
          <w:tcPr>
            <w:tcW w:w="491" w:type="pct"/>
            <w:vAlign w:val="bottom"/>
          </w:tcPr>
          <w:p w:rsidR="0044430C" w:rsidRPr="0044430C" w:rsidRDefault="0044430C" w:rsidP="00E7602F">
            <w:r w:rsidRPr="0044430C">
              <w:t>61</w:t>
            </w:r>
          </w:p>
        </w:tc>
        <w:tc>
          <w:tcPr>
            <w:tcW w:w="491" w:type="pct"/>
          </w:tcPr>
          <w:p w:rsidR="0044430C" w:rsidRPr="0044430C" w:rsidRDefault="0044430C" w:rsidP="00960CEF">
            <w:pPr>
              <w:jc w:val="center"/>
            </w:pPr>
            <w:r w:rsidRPr="0044430C">
              <w:t>13</w:t>
            </w:r>
          </w:p>
        </w:tc>
      </w:tr>
    </w:tbl>
    <w:p w:rsidR="00B50405" w:rsidRDefault="00B50405" w:rsidP="00374241">
      <w:pPr>
        <w:pStyle w:val="FigureCaption"/>
      </w:pPr>
    </w:p>
    <w:p w:rsidR="001037F7" w:rsidRDefault="00F06D45" w:rsidP="00374241">
      <w:pPr>
        <w:pStyle w:val="FigureCaption"/>
      </w:pPr>
      <w:r>
        <w:t xml:space="preserve">Bảng </w:t>
      </w:r>
      <w:r w:rsidR="0052700C">
        <w:t>5</w:t>
      </w:r>
      <w:r>
        <w:t>. Kết qu</w:t>
      </w:r>
      <w:r w:rsidR="0052700C">
        <w:t>ả so sánh dự đoán 5 ngày giữa các</w:t>
      </w:r>
      <w:r>
        <w:t xml:space="preserve"> mô hình theo</w:t>
      </w:r>
      <w:r w:rsidR="00370855">
        <w:t xml:space="preserve"> </w:t>
      </w:r>
      <w:r w:rsidR="007126A5" w:rsidRPr="00BA6D30">
        <w:t>độ chính xác phân lớp</w:t>
      </w:r>
      <w:r w:rsidR="007126A5">
        <w:t xml:space="preserve"> (A) và độ lỗi về dấu (SE).</w:t>
      </w:r>
    </w:p>
    <w:p w:rsidR="0097582B" w:rsidRDefault="0097582B" w:rsidP="0097582B">
      <w:pPr>
        <w:pStyle w:val="Text"/>
      </w:pPr>
      <w:r>
        <w:t>Nhìn chung, nếu xét về bình quân hiệu suất trên cả 4 mã chứng khoán, độ chính xác dự đoán hướng theo chiều tăng khi đi từ mô hình BPNN, SVM, SVM-Prob đến K-SVMeans.</w:t>
      </w:r>
    </w:p>
    <w:p w:rsidR="00AC68B6" w:rsidRPr="001037F7" w:rsidRDefault="00AC68B6" w:rsidP="00AC68B6">
      <w:pPr>
        <w:pStyle w:val="Text"/>
        <w:ind w:firstLine="0"/>
      </w:pPr>
      <w:r w:rsidRPr="00AC68B6">
        <w:rPr>
          <w:noProof/>
        </w:rPr>
        <w:drawing>
          <wp:inline distT="0" distB="0" distL="0" distR="0">
            <wp:extent cx="3206215" cy="2353901"/>
            <wp:effectExtent l="19050" t="0" r="13235" b="829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7402" w:rsidRDefault="00B47BD4">
      <w:pPr>
        <w:pStyle w:val="Heading1"/>
      </w:pPr>
      <w:r>
        <w:t>KẾT LUẬN</w:t>
      </w:r>
    </w:p>
    <w:p w:rsidR="00E97402" w:rsidRDefault="00374241">
      <w:pPr>
        <w:pStyle w:val="Text"/>
      </w:pPr>
      <w:r>
        <w:t>Trong nghiên cứu này, chúng tôi đã đề xuất một phương pháp kết hợp giữa K-Means và SVM với ước lượng xác suất lớp để giải quyết bài toán dự đoán xu hướng của thị trường chứng khoán Việt Nam.</w:t>
      </w:r>
      <w:r w:rsidR="0077312E">
        <w:t xml:space="preserve"> </w:t>
      </w:r>
      <w:r>
        <w:t>Kết quả cho thấy, mô hình đề xuất vượt trội hơn hẳn so với BPNN truyền thống và mô hình</w:t>
      </w:r>
      <w:r w:rsidR="0077312E">
        <w:t xml:space="preserve"> SVM và</w:t>
      </w:r>
      <w:r>
        <w:t xml:space="preserve"> SVM với ước lượng xác suất. Kết quả này khẳng định việc tiếp cận bài </w:t>
      </w:r>
      <w:r>
        <w:lastRenderedPageBreak/>
        <w:t>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t>TÀI LIỆU THAM KHẢO</w:t>
      </w:r>
    </w:p>
    <w:p w:rsidR="00050219" w:rsidRDefault="00725783" w:rsidP="00725783">
      <w:pPr>
        <w:pStyle w:val="Caption"/>
      </w:pPr>
      <w:bookmarkStart w:id="2" w:name="_Ref288224909"/>
      <w:r>
        <w:t>[</w:t>
      </w:r>
      <w:fldSimple w:instr=" SEQ [ \* ARABIC ">
        <w:r w:rsidR="00260C26">
          <w:rPr>
            <w:noProof/>
          </w:rPr>
          <w:t>1</w:t>
        </w:r>
      </w:fldSimple>
      <w:bookmarkEnd w:id="2"/>
      <w:r>
        <w:t>]</w:t>
      </w:r>
      <w:r>
        <w:tab/>
      </w:r>
      <w:r w:rsidR="00050219">
        <w:t xml:space="preserve">Binoy B. Nair, V.P Mohandas, N.R. Sakthivel, </w:t>
      </w:r>
      <w:r w:rsidR="00050219" w:rsidRPr="00F72997">
        <w:rPr>
          <w:i/>
        </w:rPr>
        <w:t>A Genetic Algorithm Optimized Decision Tree-SVM based Stock Market Trend Prediction</w:t>
      </w:r>
      <w:r w:rsidR="00050219">
        <w:t xml:space="preserve"> </w:t>
      </w:r>
      <w:r w:rsidR="00050219" w:rsidRPr="00F72997">
        <w:rPr>
          <w:i/>
        </w:rPr>
        <w:t>System</w:t>
      </w:r>
      <w:r w:rsidR="00050219">
        <w:t>, International Journal on Computer Science and Engineering Vol. 02, No. 09, 2981-2988, 2010.</w:t>
      </w:r>
    </w:p>
    <w:p w:rsidR="00050219" w:rsidRDefault="00050219" w:rsidP="00725783">
      <w:pPr>
        <w:pStyle w:val="Caption"/>
      </w:pPr>
      <w:r>
        <w:t xml:space="preserve"> </w:t>
      </w:r>
      <w:bookmarkStart w:id="3" w:name="_Ref288224945"/>
      <w:r w:rsidR="00725783">
        <w:t>[</w:t>
      </w:r>
      <w:fldSimple w:instr=" SEQ [ \* ARABIC ">
        <w:r w:rsidR="00260C26">
          <w:rPr>
            <w:noProof/>
          </w:rPr>
          <w:t>2</w:t>
        </w:r>
      </w:fldSimple>
      <w:bookmarkEnd w:id="3"/>
      <w:r w:rsidR="00725783">
        <w:t>]</w:t>
      </w:r>
      <w:r w:rsidR="00725783">
        <w:tab/>
      </w:r>
      <w:r>
        <w:t>Chih-Chung Chang and Chih-Jen Lin</w:t>
      </w:r>
      <w:r w:rsidR="00237679">
        <w:rPr>
          <w:i/>
        </w:rPr>
        <w:t>, LIBSVM</w:t>
      </w:r>
      <w:r w:rsidR="00F72997">
        <w:rPr>
          <w:i/>
        </w:rPr>
        <w:t>: A Library for Support Vector M</w:t>
      </w:r>
      <w:r w:rsidRPr="00F72997">
        <w:rPr>
          <w:i/>
        </w:rPr>
        <w:t>achines</w:t>
      </w:r>
      <w:r>
        <w:t xml:space="preserve">, 2001. Software available at http://www.csie.ntu.edu.tw/~cjlin/libsvm. </w:t>
      </w:r>
    </w:p>
    <w:p w:rsidR="00050219" w:rsidRDefault="00050219" w:rsidP="00725783">
      <w:pPr>
        <w:pStyle w:val="Caption"/>
      </w:pPr>
      <w:r>
        <w:t xml:space="preserve"> </w:t>
      </w:r>
      <w:bookmarkStart w:id="4" w:name="_Ref288224973"/>
      <w:r w:rsidR="00725783">
        <w:t>[</w:t>
      </w:r>
      <w:fldSimple w:instr=" SEQ [ \* ARABIC ">
        <w:r w:rsidR="00260C26">
          <w:rPr>
            <w:noProof/>
          </w:rPr>
          <w:t>3</w:t>
        </w:r>
      </w:fldSimple>
      <w:bookmarkEnd w:id="4"/>
      <w:r w:rsidR="00725783">
        <w:t>]</w:t>
      </w:r>
      <w:r w:rsidR="00725783">
        <w:tab/>
      </w:r>
      <w:r>
        <w:t xml:space="preserve">Christopher M. Bishop, </w:t>
      </w:r>
      <w:r w:rsidRPr="00F72997">
        <w:rPr>
          <w:i/>
        </w:rPr>
        <w:t>Pattern Recognition and Machine Learning</w:t>
      </w:r>
      <w:r>
        <w:t>, 2nd edition,</w:t>
      </w:r>
      <w:r w:rsidR="00F72997">
        <w:t xml:space="preserve"> </w:t>
      </w:r>
      <w:r>
        <w:t xml:space="preserve">Springer, 2007. </w:t>
      </w:r>
    </w:p>
    <w:p w:rsidR="00050219" w:rsidRDefault="00050219" w:rsidP="00725783">
      <w:pPr>
        <w:pStyle w:val="Caption"/>
      </w:pPr>
      <w:r>
        <w:t xml:space="preserve"> </w:t>
      </w:r>
      <w:bookmarkStart w:id="5" w:name="_Ref288225017"/>
      <w:r w:rsidR="00725783">
        <w:t>[</w:t>
      </w:r>
      <w:fldSimple w:instr=" SEQ [ \* ARABIC ">
        <w:r w:rsidR="00260C26">
          <w:rPr>
            <w:noProof/>
          </w:rPr>
          <w:t>4</w:t>
        </w:r>
      </w:fldSimple>
      <w:bookmarkEnd w:id="5"/>
      <w:r w:rsidR="00725783">
        <w:t>]</w:t>
      </w:r>
      <w:r w:rsidR="00725783">
        <w:tab/>
      </w:r>
      <w:r>
        <w:t xml:space="preserve">Deng-Yiv Chiu, Ping-Jie Chen, </w:t>
      </w:r>
      <w:r w:rsidR="00F72997">
        <w:rPr>
          <w:i/>
        </w:rPr>
        <w:t>Dynamically E</w:t>
      </w:r>
      <w:r w:rsidR="00F72997" w:rsidRPr="00F72997">
        <w:rPr>
          <w:i/>
        </w:rPr>
        <w:t>xploring Internal Mechanism Of Stock Market By Fuzzy-Based Support Vector Machines With High Dimension Inputspace And Genetic Algorithm</w:t>
      </w:r>
      <w:r>
        <w:t>, Expert Systems with Applications,</w:t>
      </w:r>
      <w:r w:rsidR="00F72997">
        <w:t xml:space="preserve"> </w:t>
      </w:r>
      <w:r>
        <w:t>Vol.</w:t>
      </w:r>
      <w:r w:rsidR="00F72997">
        <w:t xml:space="preserve"> </w:t>
      </w:r>
      <w:r>
        <w:t>36, 1240–1248,</w:t>
      </w:r>
      <w:r w:rsidR="00F72997">
        <w:t xml:space="preserve"> </w:t>
      </w:r>
      <w:r>
        <w:t xml:space="preserve"> 2009. </w:t>
      </w:r>
    </w:p>
    <w:p w:rsidR="00050219" w:rsidRDefault="00725783" w:rsidP="00725783">
      <w:pPr>
        <w:pStyle w:val="Caption"/>
      </w:pPr>
      <w:bookmarkStart w:id="6" w:name="_Ref288225095"/>
      <w:r>
        <w:t>[</w:t>
      </w:r>
      <w:fldSimple w:instr=" SEQ [ \* ARABIC ">
        <w:r w:rsidR="00260C26">
          <w:rPr>
            <w:noProof/>
          </w:rPr>
          <w:t>5</w:t>
        </w:r>
      </w:fldSimple>
      <w:bookmarkEnd w:id="6"/>
      <w:r>
        <w:t>]</w:t>
      </w:r>
      <w:r>
        <w:tab/>
      </w:r>
      <w:r w:rsidR="00050219">
        <w:t xml:space="preserve">E. Saad, D. Prokhorov, and D. Wunsch, </w:t>
      </w:r>
      <w:r w:rsidR="00F72997" w:rsidRPr="00F72997">
        <w:rPr>
          <w:i/>
        </w:rPr>
        <w:t>Advanced Neural-Network Training Methods For Low False Alarm Stock Trend Prediction</w:t>
      </w:r>
      <w:r w:rsidR="00050219">
        <w:t>, in Proc. IEEE Int. Conf. Neural Networks, Washington, D.C., June 1996.</w:t>
      </w:r>
    </w:p>
    <w:p w:rsidR="00050219" w:rsidRDefault="00050219" w:rsidP="00725783">
      <w:pPr>
        <w:pStyle w:val="Caption"/>
      </w:pPr>
      <w:r>
        <w:t xml:space="preserve"> </w:t>
      </w:r>
      <w:bookmarkStart w:id="7" w:name="_Ref288225117"/>
      <w:r w:rsidR="00725783">
        <w:t>[</w:t>
      </w:r>
      <w:fldSimple w:instr=" SEQ [ \* ARABIC ">
        <w:r w:rsidR="00260C26">
          <w:rPr>
            <w:noProof/>
          </w:rPr>
          <w:t>6</w:t>
        </w:r>
      </w:fldSimple>
      <w:bookmarkEnd w:id="7"/>
      <w:r w:rsidR="00725783">
        <w:t>]</w:t>
      </w:r>
      <w:r w:rsidR="00725783">
        <w:tab/>
      </w:r>
      <w:r>
        <w:t xml:space="preserve">Ehsan Hajizadeh, Hamed </w:t>
      </w:r>
      <w:r w:rsidR="00F72997">
        <w:t xml:space="preserve">Davari Ardakani, Jamal Shahrabi, </w:t>
      </w:r>
      <w:r w:rsidR="00F72997" w:rsidRPr="00F72997">
        <w:rPr>
          <w:i/>
        </w:rPr>
        <w:t>Application Of Data Mining Techniques In Stock Markets: A Survey</w:t>
      </w:r>
      <w:r>
        <w:t>. Journal of Economics and International Finance Vol. 2(7), 109-118, July 2010.</w:t>
      </w:r>
    </w:p>
    <w:p w:rsidR="00050219" w:rsidRDefault="00050219" w:rsidP="00725783">
      <w:pPr>
        <w:pStyle w:val="Caption"/>
      </w:pPr>
      <w:r>
        <w:t xml:space="preserve"> </w:t>
      </w:r>
      <w:bookmarkStart w:id="8" w:name="_Ref288225143"/>
      <w:r w:rsidR="00725783">
        <w:t>[</w:t>
      </w:r>
      <w:fldSimple w:instr=" SEQ [ \* ARABIC ">
        <w:r w:rsidR="00260C26">
          <w:rPr>
            <w:noProof/>
          </w:rPr>
          <w:t>7</w:t>
        </w:r>
      </w:fldSimple>
      <w:bookmarkEnd w:id="8"/>
      <w:r w:rsidR="00725783">
        <w:t>]</w:t>
      </w:r>
      <w:r w:rsidR="00725783">
        <w:tab/>
      </w:r>
      <w:r>
        <w:t>George S. A</w:t>
      </w:r>
      <w:r w:rsidR="00F72997">
        <w:t>tsalakis, Kimon P. Valavanis</w:t>
      </w:r>
      <w:r>
        <w:t>,</w:t>
      </w:r>
      <w:r w:rsidR="00F72997">
        <w:t xml:space="preserve"> </w:t>
      </w:r>
      <w:r w:rsidR="00F72997" w:rsidRPr="00F72997">
        <w:rPr>
          <w:i/>
        </w:rPr>
        <w:t>Forecasting Stock Market Short-Term Trends Using A Neuro-Fuzzy Based Methodology</w:t>
      </w:r>
      <w:r>
        <w:t>, Expert Systems with Applications, Vol</w:t>
      </w:r>
      <w:r w:rsidR="00F72997">
        <w:t>.</w:t>
      </w:r>
      <w:r>
        <w:t xml:space="preserve"> 36(7),  10696-10707,</w:t>
      </w:r>
      <w:r w:rsidR="00F72997">
        <w:t xml:space="preserve"> </w:t>
      </w:r>
      <w:r>
        <w:t>September 2009.</w:t>
      </w:r>
    </w:p>
    <w:p w:rsidR="00050219" w:rsidRDefault="00050219" w:rsidP="00725783">
      <w:pPr>
        <w:pStyle w:val="Caption"/>
      </w:pPr>
      <w:r>
        <w:t xml:space="preserve"> </w:t>
      </w:r>
      <w:bookmarkStart w:id="9" w:name="_Ref288225170"/>
      <w:r w:rsidR="00725783">
        <w:t>[</w:t>
      </w:r>
      <w:fldSimple w:instr=" SEQ [ \* ARABIC ">
        <w:r w:rsidR="00260C26">
          <w:rPr>
            <w:noProof/>
          </w:rPr>
          <w:t>8</w:t>
        </w:r>
      </w:fldSimple>
      <w:bookmarkEnd w:id="9"/>
      <w:r w:rsidR="00725783">
        <w:t>]</w:t>
      </w:r>
      <w:r w:rsidR="00725783">
        <w:tab/>
      </w:r>
      <w:r>
        <w:t xml:space="preserve">H. Tan, D. Prokhorov, and D. Wunsch, </w:t>
      </w:r>
      <w:r w:rsidR="00F72997" w:rsidRPr="00F72997">
        <w:rPr>
          <w:i/>
        </w:rPr>
        <w:t>Probabilistic And Time-Delay Neural-Network Techniques For Conservative Short-Term Stock Trend Prediction</w:t>
      </w:r>
      <w:r>
        <w:t>, in Proc. World Congr. Neural Networks, Washington, D.C., July 1995.</w:t>
      </w:r>
    </w:p>
    <w:p w:rsidR="00050219" w:rsidRDefault="00050219" w:rsidP="00725783">
      <w:pPr>
        <w:pStyle w:val="Caption"/>
      </w:pPr>
      <w:r>
        <w:t xml:space="preserve"> </w:t>
      </w:r>
      <w:bookmarkStart w:id="10" w:name="_Ref288225187"/>
      <w:r w:rsidR="00725783">
        <w:t>[</w:t>
      </w:r>
      <w:fldSimple w:instr=" SEQ [ \* ARABIC ">
        <w:r w:rsidR="00260C26">
          <w:rPr>
            <w:noProof/>
          </w:rPr>
          <w:t>9</w:t>
        </w:r>
      </w:fldSimple>
      <w:bookmarkEnd w:id="10"/>
      <w:r w:rsidR="00725783">
        <w:t>]</w:t>
      </w:r>
      <w:r w:rsidR="00725783">
        <w:tab/>
      </w:r>
      <w:r>
        <w:t xml:space="preserve">J. B. MacQueen, </w:t>
      </w:r>
      <w:r w:rsidRPr="00F72997">
        <w:rPr>
          <w:i/>
        </w:rPr>
        <w:t>Some Methods for classification and Analysis of Multivariate Observations</w:t>
      </w:r>
      <w:r>
        <w:t>, Proceedings of 5-th Berkeley Symposium on Mathematical Statistics and Probability, Berkeley, University of California Press, 1:281-297, 1967.</w:t>
      </w:r>
    </w:p>
    <w:p w:rsidR="00050219" w:rsidRDefault="00F72997" w:rsidP="00725783">
      <w:pPr>
        <w:pStyle w:val="Caption"/>
      </w:pPr>
      <w:r>
        <w:t xml:space="preserve"> </w:t>
      </w:r>
      <w:bookmarkStart w:id="11" w:name="_Ref288225223"/>
      <w:r w:rsidR="00725783">
        <w:t>[</w:t>
      </w:r>
      <w:fldSimple w:instr=" SEQ [ \* ARABIC ">
        <w:r w:rsidR="00260C26">
          <w:rPr>
            <w:noProof/>
          </w:rPr>
          <w:t>10</w:t>
        </w:r>
      </w:fldSimple>
      <w:bookmarkEnd w:id="11"/>
      <w:r w:rsidR="00725783">
        <w:t>]</w:t>
      </w:r>
      <w:r w:rsidR="00725783">
        <w:tab/>
      </w:r>
      <w:r>
        <w:t xml:space="preserve">J. C. Platt. </w:t>
      </w:r>
      <w:r w:rsidRPr="00F72997">
        <w:rPr>
          <w:i/>
        </w:rPr>
        <w:t>Probabilistic Outputs For Support Vector Machines And Comparison To Regularized Likelihood Methods</w:t>
      </w:r>
      <w:r w:rsidR="00050219">
        <w:t>. In A. Smola, P. Bartlett, B. Scholkopf, and D. Schuurmans, editors, Advances in Large Margin Classiers, Cambridge, MA, 2000. MIT Press.</w:t>
      </w:r>
    </w:p>
    <w:p w:rsidR="00050219" w:rsidRDefault="00050219" w:rsidP="00725783">
      <w:pPr>
        <w:pStyle w:val="Caption"/>
      </w:pPr>
      <w:r>
        <w:t xml:space="preserve"> </w:t>
      </w:r>
      <w:bookmarkStart w:id="12" w:name="_Ref288225260"/>
      <w:r w:rsidR="00725783">
        <w:t>[</w:t>
      </w:r>
      <w:fldSimple w:instr=" SEQ [ \* ARABIC ">
        <w:r w:rsidR="00260C26">
          <w:rPr>
            <w:noProof/>
          </w:rPr>
          <w:t>11</w:t>
        </w:r>
      </w:fldSimple>
      <w:bookmarkEnd w:id="12"/>
      <w:r w:rsidR="00725783">
        <w:t>]</w:t>
      </w:r>
      <w:r w:rsidR="00725783">
        <w:tab/>
      </w:r>
      <w:r>
        <w:t xml:space="preserve">Ming-Chi Lee, </w:t>
      </w:r>
      <w:r w:rsidR="00F72997">
        <w:t>Using Support Vector Machine With A Hybrid Feature Selection Method To The Stock Trend Prediction</w:t>
      </w:r>
      <w:r>
        <w:t>. Expert Systems with Applications, Vol</w:t>
      </w:r>
      <w:r w:rsidR="00233278">
        <w:t>.</w:t>
      </w:r>
      <w:r>
        <w:t xml:space="preserve"> 36, Issue 8, </w:t>
      </w:r>
      <w:r w:rsidR="00233278">
        <w:t>10896–10904, October 2009.</w:t>
      </w:r>
    </w:p>
    <w:p w:rsidR="00050219" w:rsidRDefault="00050219" w:rsidP="00725783">
      <w:pPr>
        <w:pStyle w:val="Caption"/>
      </w:pPr>
      <w:r>
        <w:t xml:space="preserve"> </w:t>
      </w:r>
      <w:bookmarkStart w:id="13" w:name="_Ref288225274"/>
      <w:r w:rsidR="00725783">
        <w:t>[</w:t>
      </w:r>
      <w:fldSimple w:instr=" SEQ [ \* ARABIC ">
        <w:r w:rsidR="00260C26">
          <w:rPr>
            <w:noProof/>
          </w:rPr>
          <w:t>12</w:t>
        </w:r>
      </w:fldSimple>
      <w:bookmarkEnd w:id="13"/>
      <w:r w:rsidR="00725783">
        <w:t>]</w:t>
      </w:r>
      <w:r w:rsidR="00725783">
        <w:tab/>
      </w:r>
      <w:r>
        <w:t xml:space="preserve">Qinghua Wen, Zehong Yang, Yixu Song, Peifa Jia, </w:t>
      </w:r>
      <w:r w:rsidR="00233278" w:rsidRPr="00233278">
        <w:rPr>
          <w:i/>
        </w:rPr>
        <w:t>Automatic Stock Decision Support System Based On Box Theory And SVM Algorithm</w:t>
      </w:r>
      <w:r>
        <w:t>, Expert Systems with Applications, Vol</w:t>
      </w:r>
      <w:r w:rsidR="00233278">
        <w:t>.</w:t>
      </w:r>
      <w:r>
        <w:t xml:space="preserve"> 37, Issue 2, 1015-1022, March 2010.</w:t>
      </w:r>
    </w:p>
    <w:p w:rsidR="00050219" w:rsidRDefault="00237679" w:rsidP="00725783">
      <w:pPr>
        <w:pStyle w:val="Caption"/>
      </w:pPr>
      <w:r>
        <w:t xml:space="preserve"> </w:t>
      </w:r>
      <w:bookmarkStart w:id="14" w:name="_Ref288225347"/>
      <w:r w:rsidR="00725783">
        <w:t>[</w:t>
      </w:r>
      <w:fldSimple w:instr=" SEQ [ \* ARABIC ">
        <w:r w:rsidR="00260C26">
          <w:rPr>
            <w:noProof/>
          </w:rPr>
          <w:t>13</w:t>
        </w:r>
      </w:fldSimple>
      <w:bookmarkEnd w:id="14"/>
      <w:r w:rsidR="00725783">
        <w:t>]</w:t>
      </w:r>
      <w:r w:rsidR="00725783">
        <w:tab/>
      </w:r>
      <w:r>
        <w:t xml:space="preserve">Robert W.Colby, </w:t>
      </w:r>
      <w:r w:rsidR="00050219" w:rsidRPr="00233278">
        <w:rPr>
          <w:i/>
        </w:rPr>
        <w:t>The Encyclopedia of Technical Market Indicators</w:t>
      </w:r>
      <w:r w:rsidR="00050219">
        <w:t>. Second Edition, McGraw-Hill, 2003.</w:t>
      </w:r>
    </w:p>
    <w:p w:rsidR="00050219" w:rsidRDefault="00725783" w:rsidP="00725783">
      <w:pPr>
        <w:pStyle w:val="Caption"/>
      </w:pPr>
      <w:bookmarkStart w:id="15" w:name="_Ref288225437"/>
      <w:r>
        <w:t>[</w:t>
      </w:r>
      <w:fldSimple w:instr=" SEQ [ \* ARABIC ">
        <w:r w:rsidR="00260C26">
          <w:rPr>
            <w:noProof/>
          </w:rPr>
          <w:t>14</w:t>
        </w:r>
      </w:fldSimple>
      <w:bookmarkEnd w:id="15"/>
      <w:r>
        <w:t>]</w:t>
      </w:r>
      <w:r w:rsidR="00050219">
        <w:t xml:space="preserve"> Shiyi Chen, Kyho Jeong, Wolfgang K. Hardle, </w:t>
      </w:r>
      <w:r w:rsidR="00050219" w:rsidRPr="00233278">
        <w:rPr>
          <w:i/>
        </w:rPr>
        <w:t xml:space="preserve">Recurrent Support Vector Regression for a Nonlinear ARMA Model with </w:t>
      </w:r>
      <w:r w:rsidR="00050219" w:rsidRPr="00233278">
        <w:rPr>
          <w:i/>
        </w:rPr>
        <w:lastRenderedPageBreak/>
        <w:t>Applications to Forecasting Financial Returns</w:t>
      </w:r>
      <w:r w:rsidR="00050219">
        <w:t>, SFB 649 Economy Risk, Berlin, 2008.</w:t>
      </w:r>
    </w:p>
    <w:p w:rsidR="00050219" w:rsidRDefault="00050219" w:rsidP="00725783">
      <w:pPr>
        <w:pStyle w:val="Caption"/>
      </w:pPr>
      <w:r>
        <w:t xml:space="preserve"> </w:t>
      </w:r>
      <w:bookmarkStart w:id="16" w:name="_Ref288225453"/>
      <w:r w:rsidR="00725783">
        <w:t>[</w:t>
      </w:r>
      <w:fldSimple w:instr=" SEQ [ \* ARABIC ">
        <w:r w:rsidR="00260C26">
          <w:rPr>
            <w:noProof/>
          </w:rPr>
          <w:t>15</w:t>
        </w:r>
      </w:fldSimple>
      <w:bookmarkEnd w:id="16"/>
      <w:r w:rsidR="00725783">
        <w:t>]</w:t>
      </w:r>
      <w:r w:rsidR="00725783">
        <w:tab/>
      </w:r>
      <w:r>
        <w:t xml:space="preserve">T.-F. Wu, C.-J. Lin, and R. C. Weng, </w:t>
      </w:r>
      <w:r w:rsidRPr="00233278">
        <w:rPr>
          <w:i/>
        </w:rPr>
        <w:t>Probability estimates for multi-class classication by pairwise coupling</w:t>
      </w:r>
      <w:r>
        <w:t>. Journal of Machine Learning Research, 5:975-1005, 2004.</w:t>
      </w:r>
    </w:p>
    <w:p w:rsidR="00050219" w:rsidRDefault="00050219" w:rsidP="00725783">
      <w:pPr>
        <w:pStyle w:val="Caption"/>
      </w:pPr>
      <w:r>
        <w:t xml:space="preserve"> </w:t>
      </w:r>
      <w:bookmarkStart w:id="17" w:name="_Ref288225470"/>
      <w:r w:rsidR="00725783">
        <w:t>[</w:t>
      </w:r>
      <w:fldSimple w:instr=" SEQ [ \* ARABIC ">
        <w:r w:rsidR="00260C26">
          <w:rPr>
            <w:noProof/>
          </w:rPr>
          <w:t>16</w:t>
        </w:r>
      </w:fldSimple>
      <w:bookmarkEnd w:id="17"/>
      <w:r w:rsidR="00725783">
        <w:t>]</w:t>
      </w:r>
      <w:r w:rsidR="00725783">
        <w:tab/>
      </w:r>
      <w:r>
        <w:t xml:space="preserve">Tsaih, R., Hsu, Y., &amp; Lai, C. C. </w:t>
      </w:r>
      <w:r w:rsidRPr="00233278">
        <w:rPr>
          <w:i/>
        </w:rPr>
        <w:t xml:space="preserve">Forecasting S&amp;P 500 stock index futures with a hybrid AI system. </w:t>
      </w:r>
      <w:r w:rsidRPr="00233278">
        <w:t>Decision Support Systems</w:t>
      </w:r>
      <w:r>
        <w:t xml:space="preserve">, </w:t>
      </w:r>
      <w:r w:rsidR="00233278">
        <w:t xml:space="preserve">Vol. </w:t>
      </w:r>
      <w:r>
        <w:t>23(2), 161–174, 1998.</w:t>
      </w:r>
    </w:p>
    <w:p w:rsidR="00050219" w:rsidRDefault="00725783" w:rsidP="00725783">
      <w:pPr>
        <w:pStyle w:val="Caption"/>
      </w:pPr>
      <w:bookmarkStart w:id="18" w:name="_Ref288225490"/>
      <w:r>
        <w:t>[</w:t>
      </w:r>
      <w:fldSimple w:instr=" SEQ [ \* ARABIC ">
        <w:r w:rsidR="00260C26">
          <w:rPr>
            <w:noProof/>
          </w:rPr>
          <w:t>17</w:t>
        </w:r>
      </w:fldSimple>
      <w:bookmarkEnd w:id="18"/>
      <w:r>
        <w:t>]</w:t>
      </w:r>
      <w:r w:rsidR="00050219">
        <w:t xml:space="preserve"> V.N.Vapnik, M. Jordan</w:t>
      </w:r>
      <w:r w:rsidR="00233278">
        <w:t xml:space="preserve">, S.L. Lauritzen, J.F. Lawless, </w:t>
      </w:r>
      <w:r w:rsidR="00050219">
        <w:t>Nature of  Statistical Learning Theory. Berlin: Springer, 1999.</w:t>
      </w:r>
    </w:p>
    <w:p w:rsidR="00050219" w:rsidRDefault="00725783" w:rsidP="00725783">
      <w:pPr>
        <w:pStyle w:val="Caption"/>
      </w:pPr>
      <w:bookmarkStart w:id="19" w:name="_Ref288225506"/>
      <w:r>
        <w:t>[</w:t>
      </w:r>
      <w:fldSimple w:instr=" SEQ [ \* ARABIC ">
        <w:r w:rsidR="00260C26">
          <w:rPr>
            <w:noProof/>
          </w:rPr>
          <w:t>18</w:t>
        </w:r>
      </w:fldSimple>
      <w:bookmarkEnd w:id="19"/>
      <w:r>
        <w:t>]</w:t>
      </w:r>
      <w:r>
        <w:tab/>
      </w:r>
      <w:r w:rsidR="00050219">
        <w:t>Dữ liệu chứng khoán, URL: http://www.cophieu68.com/export.php.</w:t>
      </w:r>
    </w:p>
    <w:p w:rsidR="00050219" w:rsidRDefault="00725783" w:rsidP="00725783">
      <w:pPr>
        <w:pStyle w:val="Caption"/>
      </w:pPr>
      <w:bookmarkStart w:id="20" w:name="_Ref288225533"/>
      <w:r>
        <w:t>[</w:t>
      </w:r>
      <w:fldSimple w:instr=" SEQ [ \* ARABIC ">
        <w:r w:rsidR="00260C26">
          <w:rPr>
            <w:noProof/>
          </w:rPr>
          <w:t>19</w:t>
        </w:r>
      </w:fldSimple>
      <w:bookmarkEnd w:id="20"/>
      <w:r>
        <w:t>]</w:t>
      </w:r>
      <w:r>
        <w:tab/>
      </w:r>
      <w:r w:rsidR="00050219">
        <w:t xml:space="preserve">Bekir Karlik and A. Vehbi Olgac, </w:t>
      </w:r>
      <w:r w:rsidR="00050219" w:rsidRPr="00233278">
        <w:rPr>
          <w:i/>
        </w:rPr>
        <w:t>Performance Analysis of Various Activation Functions in Generalized MLP Architectures of Neural Networks</w:t>
      </w:r>
      <w:r w:rsidR="00050219">
        <w:t>, International Journal of Artificial Intelligence And Expert Systems (IJAE), Vol</w:t>
      </w:r>
      <w:r w:rsidR="00233278">
        <w:t>. (1): Issue 4</w:t>
      </w:r>
      <w:r w:rsidR="00050219">
        <w:t>, 2011.</w:t>
      </w:r>
    </w:p>
    <w:p w:rsidR="00050219" w:rsidRDefault="00725783" w:rsidP="00725783">
      <w:pPr>
        <w:pStyle w:val="Caption"/>
      </w:pPr>
      <w:bookmarkStart w:id="21" w:name="_Ref288225557"/>
      <w:r>
        <w:t>[</w:t>
      </w:r>
      <w:fldSimple w:instr=" SEQ [ \* ARABIC ">
        <w:r w:rsidR="00260C26">
          <w:rPr>
            <w:noProof/>
          </w:rPr>
          <w:t>20</w:t>
        </w:r>
      </w:fldSimple>
      <w:bookmarkEnd w:id="21"/>
      <w:r>
        <w:t>]</w:t>
      </w:r>
      <w:r>
        <w:tab/>
      </w:r>
      <w:r w:rsidR="00050219">
        <w:t xml:space="preserve">Cheng-Lung Huang, Cheng-Yi Tsai, </w:t>
      </w:r>
      <w:r w:rsidR="00233278" w:rsidRPr="00233278">
        <w:rPr>
          <w:i/>
        </w:rPr>
        <w:t>A Hybrid SOFM-SVR With A Filter-Based Feature Selection For Stock Market Forecasting</w:t>
      </w:r>
      <w:r w:rsidR="00050219">
        <w:t>, Expert Systems with Application</w:t>
      </w:r>
      <w:r w:rsidR="00233278">
        <w:t>s, Vol.</w:t>
      </w:r>
      <w:r w:rsidR="00050219">
        <w:t xml:space="preserve"> 36, Issue 2, Part 1, 1529-1539, March 2009.</w:t>
      </w:r>
    </w:p>
    <w:p w:rsidR="00050219" w:rsidRDefault="00725783" w:rsidP="00725783">
      <w:pPr>
        <w:pStyle w:val="Caption"/>
      </w:pPr>
      <w:bookmarkStart w:id="22" w:name="_Ref288225578"/>
      <w:r>
        <w:t>[</w:t>
      </w:r>
      <w:fldSimple w:instr=" SEQ [ \* ARABIC ">
        <w:r w:rsidR="00260C26">
          <w:rPr>
            <w:noProof/>
          </w:rPr>
          <w:t>21</w:t>
        </w:r>
      </w:fldSimple>
      <w:bookmarkEnd w:id="22"/>
      <w:r>
        <w:t>]</w:t>
      </w:r>
      <w:r>
        <w:tab/>
      </w:r>
      <w:r w:rsidR="00050219">
        <w:t xml:space="preserve">J. C. Platt. </w:t>
      </w:r>
      <w:r w:rsidR="00233278" w:rsidRPr="00233278">
        <w:rPr>
          <w:i/>
        </w:rPr>
        <w:t>Fast Training Of Support Vector Machines Using Sequential Minimal Optimization</w:t>
      </w:r>
      <w:r w:rsidR="00050219">
        <w:t xml:space="preserve">. MIT Press, Cambridge, MA, USA, 1999.  </w:t>
      </w:r>
    </w:p>
    <w:p w:rsidR="00050219" w:rsidRDefault="00725783" w:rsidP="00725783">
      <w:pPr>
        <w:pStyle w:val="Caption"/>
      </w:pPr>
      <w:bookmarkStart w:id="23" w:name="_Ref288225598"/>
      <w:r>
        <w:t>[</w:t>
      </w:r>
      <w:fldSimple w:instr=" SEQ [ \* ARABIC ">
        <w:r w:rsidR="00260C26">
          <w:rPr>
            <w:noProof/>
          </w:rPr>
          <w:t>22</w:t>
        </w:r>
      </w:fldSimple>
      <w:bookmarkEnd w:id="23"/>
      <w:r>
        <w:t>]</w:t>
      </w:r>
      <w:r>
        <w:tab/>
      </w:r>
      <w:r w:rsidR="00050219">
        <w:t>Mel</w:t>
      </w:r>
      <w:r w:rsidR="00233278">
        <w:t>ek Acar Boyacioglu, Derya Avci,</w:t>
      </w:r>
      <w:r w:rsidR="00050219">
        <w:t xml:space="preserve"> </w:t>
      </w:r>
      <w:r w:rsidR="00050219" w:rsidRPr="00233278">
        <w:rPr>
          <w:i/>
        </w:rPr>
        <w:t xml:space="preserve">An Adaptive Network-Based Fuzzy Inference System (ANFIS) </w:t>
      </w:r>
      <w:r w:rsidR="00233278" w:rsidRPr="00233278">
        <w:rPr>
          <w:i/>
        </w:rPr>
        <w:t>For The Prediction Of Stock Market Return: The Case Of The Istanbul Stock Exchange</w:t>
      </w:r>
      <w:r w:rsidR="00050219">
        <w:t>, Expert S</w:t>
      </w:r>
      <w:r w:rsidR="00233278">
        <w:t>ystems with Applications, Vol.</w:t>
      </w:r>
      <w:r w:rsidR="00237679">
        <w:t xml:space="preserve"> 37(12), </w:t>
      </w:r>
      <w:r w:rsidR="00050219">
        <w:t>7908-7912, December 2010.</w:t>
      </w:r>
    </w:p>
    <w:p w:rsidR="00050219" w:rsidRDefault="00725783" w:rsidP="00725783">
      <w:pPr>
        <w:pStyle w:val="Caption"/>
      </w:pPr>
      <w:bookmarkStart w:id="24" w:name="_Ref288225613"/>
      <w:r>
        <w:t>[</w:t>
      </w:r>
      <w:fldSimple w:instr=" SEQ [ \* ARABIC ">
        <w:r w:rsidR="00260C26">
          <w:rPr>
            <w:noProof/>
          </w:rPr>
          <w:t>23</w:t>
        </w:r>
      </w:fldSimple>
      <w:bookmarkEnd w:id="24"/>
      <w:r>
        <w:t>]</w:t>
      </w:r>
      <w:r>
        <w:tab/>
      </w:r>
      <w:r w:rsidR="00050219">
        <w:t xml:space="preserve">Sheng-Hsun Hsu, JJ Po-An Hsieh, Ting-Chih Chih, Kuei-Chu Hsu, </w:t>
      </w:r>
      <w:r w:rsidR="00233278" w:rsidRPr="00233278">
        <w:rPr>
          <w:i/>
        </w:rPr>
        <w:t>A Two-</w:t>
      </w:r>
      <w:r w:rsidR="00233278">
        <w:rPr>
          <w:i/>
        </w:rPr>
        <w:t>s</w:t>
      </w:r>
      <w:r w:rsidR="00233278" w:rsidRPr="00233278">
        <w:rPr>
          <w:i/>
        </w:rPr>
        <w:t>tage Architecture For Stock Price Forecasting By Integrating Self-Organizing Map And Support Vector Regression</w:t>
      </w:r>
      <w:r w:rsidR="00050219">
        <w:t>, Expert Systems with Applications, Vol. 36,  2009, 7947–7951.</w:t>
      </w:r>
    </w:p>
    <w:p w:rsidR="00050219" w:rsidRDefault="00725783" w:rsidP="00725783">
      <w:pPr>
        <w:pStyle w:val="Caption"/>
      </w:pPr>
      <w:bookmarkStart w:id="25" w:name="_Ref288225629"/>
      <w:r>
        <w:t>[</w:t>
      </w:r>
      <w:fldSimple w:instr=" SEQ [ \* ARABIC ">
        <w:r w:rsidR="00260C26">
          <w:rPr>
            <w:noProof/>
          </w:rPr>
          <w:t>24</w:t>
        </w:r>
      </w:fldSimple>
      <w:bookmarkEnd w:id="25"/>
      <w:r>
        <w:t>]</w:t>
      </w:r>
      <w:r>
        <w:tab/>
      </w:r>
      <w:r w:rsidR="00050219">
        <w:t xml:space="preserve">W. Kreesuradej, D. Wunsch, and M. Lane, </w:t>
      </w:r>
      <w:r w:rsidR="00233278">
        <w:rPr>
          <w:i/>
        </w:rPr>
        <w:t>Time-d</w:t>
      </w:r>
      <w:r w:rsidR="00233278" w:rsidRPr="00233278">
        <w:rPr>
          <w:i/>
        </w:rPr>
        <w:t>elay Neural Network For Small Time Series Data Sets</w:t>
      </w:r>
      <w:r w:rsidR="00050219">
        <w:t>, in World Cong. Neural Networks,  San Diego, CA, June 1994.</w:t>
      </w:r>
    </w:p>
    <w:p w:rsidR="00260C26" w:rsidRPr="00260C26" w:rsidRDefault="00260C26" w:rsidP="00260C26">
      <w:pPr>
        <w:pStyle w:val="Caption"/>
      </w:pPr>
      <w:bookmarkStart w:id="26" w:name="_Ref288225644"/>
      <w:r>
        <w:t>[</w:t>
      </w:r>
      <w:fldSimple w:instr=" SEQ [ \* ARABIC ">
        <w:r>
          <w:rPr>
            <w:noProof/>
          </w:rPr>
          <w:t>25</w:t>
        </w:r>
      </w:fldSimple>
      <w:bookmarkEnd w:id="26"/>
      <w:r>
        <w:t>]</w:t>
      </w:r>
      <w:r>
        <w:tab/>
        <w:t xml:space="preserve">Wun-Hua Chen, Jen-Ying Shih, </w:t>
      </w:r>
      <w:r w:rsidRPr="00233278">
        <w:rPr>
          <w:i/>
        </w:rPr>
        <w:t>Comparison Of Support-Vector Machines And Back Propagation Neural Networks In Forecasting The Six Major Asian Stock Markets</w:t>
      </w:r>
      <w:r>
        <w:t xml:space="preserve">, Int. J. Electronic Finance, Vol. 1, No. 1, 2006.  </w:t>
      </w:r>
    </w:p>
    <w:p w:rsidR="000200BE" w:rsidRPr="000200BE" w:rsidRDefault="000200BE" w:rsidP="00260C26">
      <w:pPr>
        <w:pStyle w:val="Caption"/>
      </w:pPr>
      <w:bookmarkStart w:id="27" w:name="_Ref288225660"/>
      <w:r>
        <w:t>[</w:t>
      </w:r>
      <w:fldSimple w:instr=" SEQ [ \* ARABIC ">
        <w:r w:rsidR="00260C26">
          <w:rPr>
            <w:noProof/>
          </w:rPr>
          <w:t>26</w:t>
        </w:r>
      </w:fldSimple>
      <w:bookmarkEnd w:id="27"/>
      <w:r>
        <w:t>]</w:t>
      </w:r>
      <w:r>
        <w:tab/>
        <w:t xml:space="preserve">Yung-Keun Kwon, Byung-Ro Moon, </w:t>
      </w:r>
      <w:r w:rsidRPr="00233278">
        <w:rPr>
          <w:i/>
        </w:rPr>
        <w:t>A Hybrid Neurogenetic Approachfor Stock Forecasting</w:t>
      </w:r>
      <w:r>
        <w:t>, IEEE Transactions on Neural Networks, Vol. 18, No. 3, May 2007.</w:t>
      </w:r>
    </w:p>
    <w:p w:rsidR="000200BE" w:rsidRPr="00A64F32" w:rsidRDefault="000200BE">
      <w:pPr>
        <w:pStyle w:val="Caption"/>
      </w:pPr>
    </w:p>
    <w:sectPr w:rsidR="000200BE" w:rsidRPr="00A64F32" w:rsidSect="005C361C">
      <w:headerReference w:type="default" r:id="rId11"/>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E9B" w:rsidRDefault="00E34E9B">
      <w:r>
        <w:separator/>
      </w:r>
    </w:p>
  </w:endnote>
  <w:endnote w:type="continuationSeparator" w:id="0">
    <w:p w:rsidR="00E34E9B" w:rsidRDefault="00E3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E9B" w:rsidRDefault="00E34E9B"/>
  </w:footnote>
  <w:footnote w:type="continuationSeparator" w:id="0">
    <w:p w:rsidR="00E34E9B" w:rsidRDefault="00E34E9B">
      <w:r>
        <w:continuationSeparator/>
      </w:r>
    </w:p>
  </w:footnote>
  <w:footnote w:id="1">
    <w:p w:rsidR="00960CEF" w:rsidRDefault="00960CEF">
      <w:pPr>
        <w:pStyle w:val="FootnoteText"/>
      </w:pPr>
      <w:r>
        <w:rPr>
          <w:rStyle w:val="FootnoteReference"/>
        </w:rPr>
        <w:footnoteRef/>
      </w:r>
      <w:r>
        <w:t xml:space="preserve"> Dữ liệu chứng khoán, URL: http://www.cophieu68.com/export.php.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CEF" w:rsidRDefault="00960CEF">
    <w:pPr>
      <w:framePr w:wrap="auto" w:vAnchor="text" w:hAnchor="margin" w:xAlign="right" w:y="1"/>
    </w:pPr>
    <w:r>
      <w:fldChar w:fldCharType="begin"/>
    </w:r>
    <w:r>
      <w:instrText xml:space="preserve">PAGE  </w:instrText>
    </w:r>
    <w:r>
      <w:fldChar w:fldCharType="separate"/>
    </w:r>
    <w:r w:rsidR="002374BC">
      <w:rPr>
        <w:noProof/>
      </w:rPr>
      <w:t>1</w:t>
    </w:r>
    <w:r>
      <w:rPr>
        <w:noProof/>
      </w:rPr>
      <w:fldChar w:fldCharType="end"/>
    </w:r>
  </w:p>
  <w:p w:rsidR="00960CEF" w:rsidRDefault="00960CEF" w:rsidP="0083650F">
    <w:pPr>
      <w:pStyle w:val="Title"/>
      <w:framePr w:w="0" w:hSpace="0" w:vSpace="0" w:wrap="auto" w:vAnchor="margin" w:hAnchor="text" w:xAlign="left" w:yAlign="inline"/>
      <w:rPr>
        <w:sz w:val="20"/>
        <w:szCs w:val="20"/>
      </w:rPr>
    </w:pPr>
    <w:r w:rsidRPr="0083650F">
      <w:rPr>
        <w:sz w:val="20"/>
        <w:szCs w:val="20"/>
      </w:rPr>
      <w:t>Mô Hình Dự Đoán Xu Hướng Chứng Khoán Dựa Trên Việc Kết Hợp K-Means Và</w:t>
    </w:r>
  </w:p>
  <w:p w:rsidR="00960CEF" w:rsidRPr="0083650F" w:rsidRDefault="00960CEF"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960CEF" w:rsidRDefault="00960CEF">
    <w:pPr>
      <w:ind w:right="360"/>
    </w:pPr>
  </w:p>
  <w:p w:rsidR="00960CEF" w:rsidRDefault="00960C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91035B"/>
    <w:rsid w:val="00013B7E"/>
    <w:rsid w:val="000200BE"/>
    <w:rsid w:val="00050219"/>
    <w:rsid w:val="00053AFD"/>
    <w:rsid w:val="000B5664"/>
    <w:rsid w:val="000C7E19"/>
    <w:rsid w:val="000D03E4"/>
    <w:rsid w:val="000D2BAE"/>
    <w:rsid w:val="000E4DCE"/>
    <w:rsid w:val="000F0087"/>
    <w:rsid w:val="001037F7"/>
    <w:rsid w:val="0013216E"/>
    <w:rsid w:val="00144E72"/>
    <w:rsid w:val="00156545"/>
    <w:rsid w:val="0016130F"/>
    <w:rsid w:val="0016416C"/>
    <w:rsid w:val="00164764"/>
    <w:rsid w:val="00164780"/>
    <w:rsid w:val="00171B92"/>
    <w:rsid w:val="001723AE"/>
    <w:rsid w:val="001750CF"/>
    <w:rsid w:val="00190233"/>
    <w:rsid w:val="001B5782"/>
    <w:rsid w:val="001C0FBA"/>
    <w:rsid w:val="001F500F"/>
    <w:rsid w:val="001F744E"/>
    <w:rsid w:val="00211800"/>
    <w:rsid w:val="00233278"/>
    <w:rsid w:val="002349A8"/>
    <w:rsid w:val="002368D9"/>
    <w:rsid w:val="002374BC"/>
    <w:rsid w:val="00237679"/>
    <w:rsid w:val="002434A1"/>
    <w:rsid w:val="002566F8"/>
    <w:rsid w:val="00260C26"/>
    <w:rsid w:val="002723F5"/>
    <w:rsid w:val="00280F71"/>
    <w:rsid w:val="00285B01"/>
    <w:rsid w:val="002934E4"/>
    <w:rsid w:val="002D1755"/>
    <w:rsid w:val="00324054"/>
    <w:rsid w:val="00335CD1"/>
    <w:rsid w:val="0033678E"/>
    <w:rsid w:val="00340EA7"/>
    <w:rsid w:val="00360269"/>
    <w:rsid w:val="00362572"/>
    <w:rsid w:val="00363A63"/>
    <w:rsid w:val="00370855"/>
    <w:rsid w:val="003714DE"/>
    <w:rsid w:val="00374241"/>
    <w:rsid w:val="003800A5"/>
    <w:rsid w:val="00394270"/>
    <w:rsid w:val="003B537B"/>
    <w:rsid w:val="003C2E83"/>
    <w:rsid w:val="003E1BA3"/>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5716"/>
    <w:rsid w:val="005250B4"/>
    <w:rsid w:val="0052700C"/>
    <w:rsid w:val="00562DC9"/>
    <w:rsid w:val="00576117"/>
    <w:rsid w:val="00593DEB"/>
    <w:rsid w:val="0059536B"/>
    <w:rsid w:val="00596CB5"/>
    <w:rsid w:val="005A1ACF"/>
    <w:rsid w:val="005A2A15"/>
    <w:rsid w:val="005C1D26"/>
    <w:rsid w:val="005C361C"/>
    <w:rsid w:val="005C495E"/>
    <w:rsid w:val="005C66E6"/>
    <w:rsid w:val="005E291E"/>
    <w:rsid w:val="005F1B3B"/>
    <w:rsid w:val="0060233D"/>
    <w:rsid w:val="00622080"/>
    <w:rsid w:val="00625E96"/>
    <w:rsid w:val="00636480"/>
    <w:rsid w:val="006413D2"/>
    <w:rsid w:val="00643EBE"/>
    <w:rsid w:val="0065279F"/>
    <w:rsid w:val="00662D9B"/>
    <w:rsid w:val="0068565F"/>
    <w:rsid w:val="00696167"/>
    <w:rsid w:val="006A0C78"/>
    <w:rsid w:val="006A110C"/>
    <w:rsid w:val="006A6F5E"/>
    <w:rsid w:val="006C24A5"/>
    <w:rsid w:val="006E05B9"/>
    <w:rsid w:val="006E4E58"/>
    <w:rsid w:val="006E6984"/>
    <w:rsid w:val="006E713A"/>
    <w:rsid w:val="007126A5"/>
    <w:rsid w:val="00725783"/>
    <w:rsid w:val="007351B9"/>
    <w:rsid w:val="0075133F"/>
    <w:rsid w:val="00752EFF"/>
    <w:rsid w:val="007560AE"/>
    <w:rsid w:val="00760DAC"/>
    <w:rsid w:val="0077312E"/>
    <w:rsid w:val="00781326"/>
    <w:rsid w:val="007A3CF6"/>
    <w:rsid w:val="007A4BB4"/>
    <w:rsid w:val="007A6785"/>
    <w:rsid w:val="007C19A3"/>
    <w:rsid w:val="007C4336"/>
    <w:rsid w:val="00807534"/>
    <w:rsid w:val="00825D1E"/>
    <w:rsid w:val="00826D5F"/>
    <w:rsid w:val="00826E30"/>
    <w:rsid w:val="0083650F"/>
    <w:rsid w:val="00853D93"/>
    <w:rsid w:val="00870BA4"/>
    <w:rsid w:val="008766C1"/>
    <w:rsid w:val="0087792E"/>
    <w:rsid w:val="00897D57"/>
    <w:rsid w:val="008A0FB4"/>
    <w:rsid w:val="008B0F3B"/>
    <w:rsid w:val="008C5D59"/>
    <w:rsid w:val="008E3649"/>
    <w:rsid w:val="009019FF"/>
    <w:rsid w:val="0091035B"/>
    <w:rsid w:val="00932F53"/>
    <w:rsid w:val="0093585E"/>
    <w:rsid w:val="00943C38"/>
    <w:rsid w:val="00956AEA"/>
    <w:rsid w:val="009573D1"/>
    <w:rsid w:val="00960CEF"/>
    <w:rsid w:val="00964D7A"/>
    <w:rsid w:val="00967A55"/>
    <w:rsid w:val="009733E3"/>
    <w:rsid w:val="0097582B"/>
    <w:rsid w:val="009A7DE8"/>
    <w:rsid w:val="009B2182"/>
    <w:rsid w:val="009D25C7"/>
    <w:rsid w:val="009D685A"/>
    <w:rsid w:val="00A042DA"/>
    <w:rsid w:val="00A13C9E"/>
    <w:rsid w:val="00A32550"/>
    <w:rsid w:val="00A35D82"/>
    <w:rsid w:val="00A364C4"/>
    <w:rsid w:val="00A51868"/>
    <w:rsid w:val="00A6226F"/>
    <w:rsid w:val="00A64F32"/>
    <w:rsid w:val="00A71A8B"/>
    <w:rsid w:val="00A75E31"/>
    <w:rsid w:val="00A7783B"/>
    <w:rsid w:val="00A866EC"/>
    <w:rsid w:val="00A900FE"/>
    <w:rsid w:val="00AA2136"/>
    <w:rsid w:val="00AB28CE"/>
    <w:rsid w:val="00AB2A5C"/>
    <w:rsid w:val="00AB4550"/>
    <w:rsid w:val="00AC1BBF"/>
    <w:rsid w:val="00AC68B6"/>
    <w:rsid w:val="00AE650C"/>
    <w:rsid w:val="00AF2F66"/>
    <w:rsid w:val="00B145A8"/>
    <w:rsid w:val="00B14908"/>
    <w:rsid w:val="00B47BD4"/>
    <w:rsid w:val="00B50405"/>
    <w:rsid w:val="00B542E7"/>
    <w:rsid w:val="00BA3948"/>
    <w:rsid w:val="00BA5B29"/>
    <w:rsid w:val="00BA6D30"/>
    <w:rsid w:val="00BC41A3"/>
    <w:rsid w:val="00BF4E95"/>
    <w:rsid w:val="00C20174"/>
    <w:rsid w:val="00C2085C"/>
    <w:rsid w:val="00C2261B"/>
    <w:rsid w:val="00C27167"/>
    <w:rsid w:val="00C40B73"/>
    <w:rsid w:val="00C422F6"/>
    <w:rsid w:val="00C52633"/>
    <w:rsid w:val="00C6543A"/>
    <w:rsid w:val="00C77F57"/>
    <w:rsid w:val="00C8359B"/>
    <w:rsid w:val="00C83BA3"/>
    <w:rsid w:val="00C91528"/>
    <w:rsid w:val="00CB4B8D"/>
    <w:rsid w:val="00CD2AFA"/>
    <w:rsid w:val="00CD628D"/>
    <w:rsid w:val="00CE797E"/>
    <w:rsid w:val="00CF44D5"/>
    <w:rsid w:val="00D04EDF"/>
    <w:rsid w:val="00D406B5"/>
    <w:rsid w:val="00D56935"/>
    <w:rsid w:val="00D719EC"/>
    <w:rsid w:val="00D74668"/>
    <w:rsid w:val="00D758C6"/>
    <w:rsid w:val="00D772EE"/>
    <w:rsid w:val="00D9118C"/>
    <w:rsid w:val="00D96A37"/>
    <w:rsid w:val="00DF2DDE"/>
    <w:rsid w:val="00DF5DA4"/>
    <w:rsid w:val="00E0331F"/>
    <w:rsid w:val="00E10210"/>
    <w:rsid w:val="00E34E9B"/>
    <w:rsid w:val="00E47622"/>
    <w:rsid w:val="00E50DF6"/>
    <w:rsid w:val="00E612D8"/>
    <w:rsid w:val="00E71442"/>
    <w:rsid w:val="00E718FB"/>
    <w:rsid w:val="00E7602F"/>
    <w:rsid w:val="00E8040B"/>
    <w:rsid w:val="00E834AE"/>
    <w:rsid w:val="00E85929"/>
    <w:rsid w:val="00E94B5E"/>
    <w:rsid w:val="00E97402"/>
    <w:rsid w:val="00EA3464"/>
    <w:rsid w:val="00ED73B2"/>
    <w:rsid w:val="00EF68B1"/>
    <w:rsid w:val="00F06D45"/>
    <w:rsid w:val="00F266D2"/>
    <w:rsid w:val="00F44E6E"/>
    <w:rsid w:val="00F535A3"/>
    <w:rsid w:val="00F62BFE"/>
    <w:rsid w:val="00F65266"/>
    <w:rsid w:val="00F66749"/>
    <w:rsid w:val="00F66D47"/>
    <w:rsid w:val="00F72997"/>
    <w:rsid w:val="00F932D3"/>
    <w:rsid w:val="00FA6E89"/>
    <w:rsid w:val="00FB42F7"/>
    <w:rsid w:val="00FC677F"/>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9D685A"/>
    <w:pPr>
      <w:keepNext/>
      <w:numPr>
        <w:numId w:val="1"/>
      </w:numPr>
      <w:spacing w:before="240" w:after="80"/>
      <w:jc w:val="center"/>
      <w:outlineLvl w:val="0"/>
    </w:pPr>
    <w:rPr>
      <w:smallCaps/>
      <w:kern w:val="28"/>
      <w:sz w:val="22"/>
    </w:rPr>
  </w:style>
  <w:style w:type="paragraph" w:styleId="Heading2">
    <w:name w:val="heading 2"/>
    <w:basedOn w:val="Normal"/>
    <w:next w:val="Normal"/>
    <w:qFormat/>
    <w:rsid w:val="009D685A"/>
    <w:pPr>
      <w:keepNext/>
      <w:numPr>
        <w:ilvl w:val="1"/>
        <w:numId w:val="1"/>
      </w:numPr>
      <w:spacing w:before="120" w:after="60"/>
      <w:outlineLvl w:val="1"/>
    </w:pPr>
    <w:rPr>
      <w:i/>
      <w:iCs/>
      <w:sz w:val="22"/>
    </w:rPr>
  </w:style>
  <w:style w:type="paragraph" w:styleId="Heading3">
    <w:name w:val="heading 3"/>
    <w:basedOn w:val="Normal"/>
    <w:next w:val="Normal"/>
    <w:qFormat/>
    <w:rsid w:val="009D685A"/>
    <w:pPr>
      <w:keepNext/>
      <w:numPr>
        <w:ilvl w:val="2"/>
        <w:numId w:val="1"/>
      </w:numPr>
      <w:outlineLvl w:val="2"/>
    </w:pPr>
    <w:rPr>
      <w:i/>
      <w:iCs/>
      <w:sz w:val="22"/>
    </w:rPr>
  </w:style>
  <w:style w:type="paragraph" w:styleId="Heading4">
    <w:name w:val="heading 4"/>
    <w:basedOn w:val="Normal"/>
    <w:next w:val="Normal"/>
    <w:qFormat/>
    <w:rsid w:val="009D685A"/>
    <w:pPr>
      <w:keepNext/>
      <w:numPr>
        <w:ilvl w:val="3"/>
        <w:numId w:val="1"/>
      </w:numPr>
      <w:spacing w:before="240" w:after="60"/>
      <w:outlineLvl w:val="3"/>
    </w:pPr>
    <w:rPr>
      <w:i/>
      <w:iCs/>
      <w:szCs w:val="18"/>
    </w:rPr>
  </w:style>
  <w:style w:type="paragraph" w:styleId="Heading5">
    <w:name w:val="heading 5"/>
    <w:basedOn w:val="Normal"/>
    <w:next w:val="Normal"/>
    <w:qFormat/>
    <w:rsid w:val="009D685A"/>
    <w:pPr>
      <w:numPr>
        <w:ilvl w:val="4"/>
        <w:numId w:val="1"/>
      </w:numPr>
      <w:spacing w:before="240" w:after="60"/>
      <w:outlineLvl w:val="4"/>
    </w:pPr>
    <w:rPr>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E0331F"/>
    <w:pPr>
      <w:jc w:val="both"/>
    </w:pPr>
    <w:rPr>
      <w:sz w:val="18"/>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9D685A"/>
    <w:pPr>
      <w:widowControl w:val="0"/>
      <w:tabs>
        <w:tab w:val="right" w:pos="5040"/>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725783"/>
    <w:pPr>
      <w:jc w:val="both"/>
    </w:pPr>
    <w:rPr>
      <w:bCs/>
      <w:sz w:val="18"/>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2097550306211732"/>
          <c:y val="7.3429362996292116E-2"/>
          <c:w val="0.74176446694163234"/>
          <c:h val="0.71204328625588564"/>
        </c:manualLayout>
      </c:layout>
      <c:barChart>
        <c:barDir val="col"/>
        <c:grouping val="clustered"/>
        <c:varyColors val="0"/>
        <c:ser>
          <c:idx val="0"/>
          <c:order val="0"/>
          <c:tx>
            <c:strRef>
              <c:f>Sheet1!$A$18</c:f>
              <c:strCache>
                <c:ptCount val="1"/>
                <c:pt idx="0">
                  <c:v>1 ngày</c:v>
                </c:pt>
              </c:strCache>
            </c:strRef>
          </c:tx>
          <c:spPr>
            <a:solidFill>
              <a:srgbClr val="C00000"/>
            </a:solidFill>
          </c:spPr>
          <c:invertIfNegative val="0"/>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invertIfNegative val="0"/>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dLbls>
          <c:showLegendKey val="0"/>
          <c:showVal val="0"/>
          <c:showCatName val="0"/>
          <c:showSerName val="0"/>
          <c:showPercent val="0"/>
          <c:showBubbleSize val="0"/>
        </c:dLbls>
        <c:gapWidth val="150"/>
        <c:axId val="66283776"/>
        <c:axId val="66290816"/>
      </c:barChart>
      <c:catAx>
        <c:axId val="66283776"/>
        <c:scaling>
          <c:orientation val="minMax"/>
        </c:scaling>
        <c:delete val="0"/>
        <c:axPos val="b"/>
        <c:majorTickMark val="out"/>
        <c:minorTickMark val="none"/>
        <c:tickLblPos val="nextTo"/>
        <c:txPr>
          <a:bodyPr/>
          <a:lstStyle/>
          <a:p>
            <a:pPr>
              <a:defRPr sz="900">
                <a:latin typeface="Times New Roman" pitchFamily="18" charset="0"/>
                <a:cs typeface="Times New Roman" pitchFamily="18" charset="0"/>
              </a:defRPr>
            </a:pPr>
            <a:endParaRPr lang="en-US"/>
          </a:p>
        </c:txPr>
        <c:crossAx val="66290816"/>
        <c:crosses val="autoZero"/>
        <c:auto val="1"/>
        <c:lblAlgn val="ctr"/>
        <c:lblOffset val="100"/>
        <c:noMultiLvlLbl val="0"/>
      </c:catAx>
      <c:valAx>
        <c:axId val="66290816"/>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66283776"/>
        <c:crosses val="autoZero"/>
        <c:crossBetween val="between"/>
      </c:valAx>
    </c:plotArea>
    <c:legend>
      <c:legendPos val="r"/>
      <c:layout>
        <c:manualLayout>
          <c:xMode val="edge"/>
          <c:yMode val="edge"/>
          <c:x val="0.82305743032120982"/>
          <c:y val="8.9398720993209266E-2"/>
          <c:w val="0.1729743157105362"/>
          <c:h val="0.23919197600299971"/>
        </c:manualLayout>
      </c:layout>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3AA9F-51E2-4CAC-B3D8-CE07718D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7</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25969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Thesis</cp:lastModifiedBy>
  <cp:revision>58</cp:revision>
  <cp:lastPrinted>2007-05-08T01:48:00Z</cp:lastPrinted>
  <dcterms:created xsi:type="dcterms:W3CDTF">2011-03-01T13:56:00Z</dcterms:created>
  <dcterms:modified xsi:type="dcterms:W3CDTF">2011-03-18T09:32:00Z</dcterms:modified>
</cp:coreProperties>
</file>