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rPr>
        <w:id w:val="5575829"/>
        <w:docPartObj>
          <w:docPartGallery w:val="Table of Contents"/>
          <w:docPartUnique/>
        </w:docPartObj>
      </w:sdtPr>
      <w:sdtContent>
        <w:p w:rsidR="00487832" w:rsidRPr="004646E8" w:rsidRDefault="004646E8" w:rsidP="004646E8">
          <w:pPr>
            <w:pStyle w:val="TOCHeading"/>
            <w:spacing w:line="360" w:lineRule="auto"/>
            <w:rPr>
              <w:rFonts w:ascii="Times New Roman" w:hAnsi="Times New Roman" w:cs="Times New Roman"/>
            </w:rPr>
          </w:pPr>
          <w:r>
            <w:t>N</w:t>
          </w:r>
          <w:r>
            <w:rPr>
              <w:rFonts w:ascii="Times New Roman" w:hAnsi="Times New Roman" w:cs="Times New Roman"/>
            </w:rPr>
            <w:t>ội dung</w:t>
          </w:r>
        </w:p>
        <w:p w:rsidR="00684223" w:rsidRDefault="00A34807">
          <w:pPr>
            <w:pStyle w:val="TOC1"/>
            <w:tabs>
              <w:tab w:val="right" w:leader="dot" w:pos="9350"/>
            </w:tabs>
            <w:rPr>
              <w:rFonts w:asciiTheme="minorHAnsi" w:eastAsiaTheme="minorEastAsia" w:hAnsiTheme="minorHAnsi"/>
              <w:noProof/>
              <w:sz w:val="22"/>
            </w:rPr>
          </w:pPr>
          <w:r>
            <w:fldChar w:fldCharType="begin"/>
          </w:r>
          <w:r w:rsidR="00487832">
            <w:instrText xml:space="preserve"> TOC \o "1-3" \h \z \u </w:instrText>
          </w:r>
          <w:r>
            <w:fldChar w:fldCharType="separate"/>
          </w:r>
          <w:hyperlink w:anchor="_Toc285058276" w:history="1">
            <w:r w:rsidR="00684223" w:rsidRPr="001A63D7">
              <w:rPr>
                <w:rStyle w:val="Hyperlink"/>
                <w:noProof/>
              </w:rPr>
              <w:t>CÁC CẢI TIẾN ĐÃ THỰC HIỆN</w:t>
            </w:r>
            <w:r w:rsidR="00684223">
              <w:rPr>
                <w:noProof/>
                <w:webHidden/>
              </w:rPr>
              <w:tab/>
            </w:r>
            <w:r w:rsidR="00684223">
              <w:rPr>
                <w:noProof/>
                <w:webHidden/>
              </w:rPr>
              <w:fldChar w:fldCharType="begin"/>
            </w:r>
            <w:r w:rsidR="00684223">
              <w:rPr>
                <w:noProof/>
                <w:webHidden/>
              </w:rPr>
              <w:instrText xml:space="preserve"> PAGEREF _Toc285058276 \h </w:instrText>
            </w:r>
            <w:r w:rsidR="00684223">
              <w:rPr>
                <w:noProof/>
                <w:webHidden/>
              </w:rPr>
            </w:r>
            <w:r w:rsidR="00684223">
              <w:rPr>
                <w:noProof/>
                <w:webHidden/>
              </w:rPr>
              <w:fldChar w:fldCharType="separate"/>
            </w:r>
            <w:r w:rsidR="00684223">
              <w:rPr>
                <w:noProof/>
                <w:webHidden/>
              </w:rPr>
              <w:t>3</w:t>
            </w:r>
            <w:r w:rsidR="00684223">
              <w:rPr>
                <w:noProof/>
                <w:webHidden/>
              </w:rPr>
              <w:fldChar w:fldCharType="end"/>
            </w:r>
          </w:hyperlink>
        </w:p>
        <w:p w:rsidR="00684223" w:rsidRDefault="00684223">
          <w:pPr>
            <w:pStyle w:val="TOC1"/>
            <w:tabs>
              <w:tab w:val="right" w:leader="dot" w:pos="9350"/>
            </w:tabs>
            <w:rPr>
              <w:rFonts w:asciiTheme="minorHAnsi" w:eastAsiaTheme="minorEastAsia" w:hAnsiTheme="minorHAnsi"/>
              <w:noProof/>
              <w:sz w:val="22"/>
            </w:rPr>
          </w:pPr>
          <w:hyperlink w:anchor="_Toc285058277" w:history="1">
            <w:r w:rsidRPr="001A63D7">
              <w:rPr>
                <w:rStyle w:val="Hyperlink"/>
                <w:noProof/>
              </w:rPr>
              <w:t>BỔ SUNG VẾ ĐỘ ĐO</w:t>
            </w:r>
            <w:r>
              <w:rPr>
                <w:noProof/>
                <w:webHidden/>
              </w:rPr>
              <w:tab/>
            </w:r>
            <w:r>
              <w:rPr>
                <w:noProof/>
                <w:webHidden/>
              </w:rPr>
              <w:fldChar w:fldCharType="begin"/>
            </w:r>
            <w:r>
              <w:rPr>
                <w:noProof/>
                <w:webHidden/>
              </w:rPr>
              <w:instrText xml:space="preserve"> PAGEREF _Toc285058277 \h </w:instrText>
            </w:r>
            <w:r>
              <w:rPr>
                <w:noProof/>
                <w:webHidden/>
              </w:rPr>
            </w:r>
            <w:r>
              <w:rPr>
                <w:noProof/>
                <w:webHidden/>
              </w:rPr>
              <w:fldChar w:fldCharType="separate"/>
            </w:r>
            <w:r>
              <w:rPr>
                <w:noProof/>
                <w:webHidden/>
              </w:rPr>
              <w:t>3</w:t>
            </w:r>
            <w:r>
              <w:rPr>
                <w:noProof/>
                <w:webHidden/>
              </w:rPr>
              <w:fldChar w:fldCharType="end"/>
            </w:r>
          </w:hyperlink>
        </w:p>
        <w:p w:rsidR="00684223" w:rsidRDefault="00684223">
          <w:pPr>
            <w:pStyle w:val="TOC1"/>
            <w:tabs>
              <w:tab w:val="right" w:leader="dot" w:pos="9350"/>
            </w:tabs>
            <w:rPr>
              <w:rFonts w:asciiTheme="minorHAnsi" w:eastAsiaTheme="minorEastAsia" w:hAnsiTheme="minorHAnsi"/>
              <w:noProof/>
              <w:sz w:val="22"/>
            </w:rPr>
          </w:pPr>
          <w:hyperlink w:anchor="_Toc285058278" w:history="1">
            <w:r w:rsidRPr="001A63D7">
              <w:rPr>
                <w:rStyle w:val="Hyperlink"/>
                <w:noProof/>
              </w:rPr>
              <w:t>THỰC NGHIỆM</w:t>
            </w:r>
            <w:r>
              <w:rPr>
                <w:noProof/>
                <w:webHidden/>
              </w:rPr>
              <w:tab/>
            </w:r>
            <w:r>
              <w:rPr>
                <w:noProof/>
                <w:webHidden/>
              </w:rPr>
              <w:fldChar w:fldCharType="begin"/>
            </w:r>
            <w:r>
              <w:rPr>
                <w:noProof/>
                <w:webHidden/>
              </w:rPr>
              <w:instrText xml:space="preserve"> PAGEREF _Toc285058278 \h </w:instrText>
            </w:r>
            <w:r>
              <w:rPr>
                <w:noProof/>
                <w:webHidden/>
              </w:rPr>
            </w:r>
            <w:r>
              <w:rPr>
                <w:noProof/>
                <w:webHidden/>
              </w:rPr>
              <w:fldChar w:fldCharType="separate"/>
            </w:r>
            <w:r>
              <w:rPr>
                <w:noProof/>
                <w:webHidden/>
              </w:rPr>
              <w:t>3</w:t>
            </w:r>
            <w:r>
              <w:rPr>
                <w:noProof/>
                <w:webHidden/>
              </w:rPr>
              <w:fldChar w:fldCharType="end"/>
            </w:r>
          </w:hyperlink>
        </w:p>
        <w:p w:rsidR="00684223" w:rsidRDefault="00684223">
          <w:pPr>
            <w:pStyle w:val="TOC2"/>
            <w:tabs>
              <w:tab w:val="right" w:leader="dot" w:pos="9350"/>
            </w:tabs>
            <w:rPr>
              <w:rFonts w:asciiTheme="minorHAnsi" w:eastAsiaTheme="minorEastAsia" w:hAnsiTheme="minorHAnsi"/>
              <w:noProof/>
              <w:sz w:val="22"/>
            </w:rPr>
          </w:pPr>
          <w:hyperlink w:anchor="_Toc285058279" w:history="1">
            <w:r w:rsidRPr="001A63D7">
              <w:rPr>
                <w:rStyle w:val="Hyperlink"/>
                <w:noProof/>
              </w:rPr>
              <w:t>Mô tả dữ liệu</w:t>
            </w:r>
            <w:r>
              <w:rPr>
                <w:noProof/>
                <w:webHidden/>
              </w:rPr>
              <w:tab/>
            </w:r>
            <w:r>
              <w:rPr>
                <w:noProof/>
                <w:webHidden/>
              </w:rPr>
              <w:fldChar w:fldCharType="begin"/>
            </w:r>
            <w:r>
              <w:rPr>
                <w:noProof/>
                <w:webHidden/>
              </w:rPr>
              <w:instrText xml:space="preserve"> PAGEREF _Toc285058279 \h </w:instrText>
            </w:r>
            <w:r>
              <w:rPr>
                <w:noProof/>
                <w:webHidden/>
              </w:rPr>
            </w:r>
            <w:r>
              <w:rPr>
                <w:noProof/>
                <w:webHidden/>
              </w:rPr>
              <w:fldChar w:fldCharType="separate"/>
            </w:r>
            <w:r>
              <w:rPr>
                <w:noProof/>
                <w:webHidden/>
              </w:rPr>
              <w:t>3</w:t>
            </w:r>
            <w:r>
              <w:rPr>
                <w:noProof/>
                <w:webHidden/>
              </w:rPr>
              <w:fldChar w:fldCharType="end"/>
            </w:r>
          </w:hyperlink>
        </w:p>
        <w:p w:rsidR="00684223" w:rsidRDefault="00684223">
          <w:pPr>
            <w:pStyle w:val="TOC2"/>
            <w:tabs>
              <w:tab w:val="right" w:leader="dot" w:pos="9350"/>
            </w:tabs>
            <w:rPr>
              <w:rFonts w:asciiTheme="minorHAnsi" w:eastAsiaTheme="minorEastAsia" w:hAnsiTheme="minorHAnsi"/>
              <w:noProof/>
              <w:sz w:val="22"/>
            </w:rPr>
          </w:pPr>
          <w:hyperlink w:anchor="_Toc285058280" w:history="1">
            <w:r w:rsidRPr="001A63D7">
              <w:rPr>
                <w:rStyle w:val="Hyperlink"/>
                <w:noProof/>
              </w:rPr>
              <w:t>Kết quả</w:t>
            </w:r>
            <w:r>
              <w:rPr>
                <w:noProof/>
                <w:webHidden/>
              </w:rPr>
              <w:tab/>
            </w:r>
            <w:r>
              <w:rPr>
                <w:noProof/>
                <w:webHidden/>
              </w:rPr>
              <w:fldChar w:fldCharType="begin"/>
            </w:r>
            <w:r>
              <w:rPr>
                <w:noProof/>
                <w:webHidden/>
              </w:rPr>
              <w:instrText xml:space="preserve"> PAGEREF _Toc285058280 \h </w:instrText>
            </w:r>
            <w:r>
              <w:rPr>
                <w:noProof/>
                <w:webHidden/>
              </w:rPr>
            </w:r>
            <w:r>
              <w:rPr>
                <w:noProof/>
                <w:webHidden/>
              </w:rPr>
              <w:fldChar w:fldCharType="separate"/>
            </w:r>
            <w:r>
              <w:rPr>
                <w:noProof/>
                <w:webHidden/>
              </w:rPr>
              <w:t>3</w:t>
            </w:r>
            <w:r>
              <w:rPr>
                <w:noProof/>
                <w:webHidden/>
              </w:rPr>
              <w:fldChar w:fldCharType="end"/>
            </w:r>
          </w:hyperlink>
        </w:p>
        <w:p w:rsidR="00684223" w:rsidRDefault="00684223">
          <w:pPr>
            <w:pStyle w:val="TOC1"/>
            <w:tabs>
              <w:tab w:val="right" w:leader="dot" w:pos="9350"/>
            </w:tabs>
            <w:rPr>
              <w:rFonts w:asciiTheme="minorHAnsi" w:eastAsiaTheme="minorEastAsia" w:hAnsiTheme="minorHAnsi"/>
              <w:noProof/>
              <w:sz w:val="22"/>
            </w:rPr>
          </w:pPr>
          <w:hyperlink w:anchor="_Toc285058281" w:history="1">
            <w:r w:rsidRPr="001A63D7">
              <w:rPr>
                <w:rStyle w:val="Hyperlink"/>
                <w:noProof/>
              </w:rPr>
              <w:t>KẾT LUẬN</w:t>
            </w:r>
            <w:r>
              <w:rPr>
                <w:noProof/>
                <w:webHidden/>
              </w:rPr>
              <w:tab/>
            </w:r>
            <w:r>
              <w:rPr>
                <w:noProof/>
                <w:webHidden/>
              </w:rPr>
              <w:fldChar w:fldCharType="begin"/>
            </w:r>
            <w:r>
              <w:rPr>
                <w:noProof/>
                <w:webHidden/>
              </w:rPr>
              <w:instrText xml:space="preserve"> PAGEREF _Toc285058281 \h </w:instrText>
            </w:r>
            <w:r>
              <w:rPr>
                <w:noProof/>
                <w:webHidden/>
              </w:rPr>
            </w:r>
            <w:r>
              <w:rPr>
                <w:noProof/>
                <w:webHidden/>
              </w:rPr>
              <w:fldChar w:fldCharType="separate"/>
            </w:r>
            <w:r>
              <w:rPr>
                <w:noProof/>
                <w:webHidden/>
              </w:rPr>
              <w:t>7</w:t>
            </w:r>
            <w:r>
              <w:rPr>
                <w:noProof/>
                <w:webHidden/>
              </w:rPr>
              <w:fldChar w:fldCharType="end"/>
            </w:r>
          </w:hyperlink>
        </w:p>
        <w:p w:rsidR="00684223" w:rsidRDefault="00684223">
          <w:pPr>
            <w:pStyle w:val="TOC1"/>
            <w:tabs>
              <w:tab w:val="right" w:leader="dot" w:pos="9350"/>
            </w:tabs>
            <w:rPr>
              <w:rFonts w:asciiTheme="minorHAnsi" w:eastAsiaTheme="minorEastAsia" w:hAnsiTheme="minorHAnsi"/>
              <w:noProof/>
              <w:sz w:val="22"/>
            </w:rPr>
          </w:pPr>
          <w:hyperlink w:anchor="_Toc285058282" w:history="1">
            <w:r w:rsidRPr="001A63D7">
              <w:rPr>
                <w:rStyle w:val="Hyperlink"/>
                <w:noProof/>
              </w:rPr>
              <w:t>CÔNG VIỆC T</w:t>
            </w:r>
            <w:r w:rsidRPr="001A63D7">
              <w:rPr>
                <w:rStyle w:val="Hyperlink"/>
                <w:rFonts w:hint="eastAsia"/>
                <w:noProof/>
              </w:rPr>
              <w:t>ƯƠ</w:t>
            </w:r>
            <w:r w:rsidRPr="001A63D7">
              <w:rPr>
                <w:rStyle w:val="Hyperlink"/>
                <w:noProof/>
              </w:rPr>
              <w:t>NG LAI</w:t>
            </w:r>
            <w:r>
              <w:rPr>
                <w:noProof/>
                <w:webHidden/>
              </w:rPr>
              <w:tab/>
            </w:r>
            <w:r>
              <w:rPr>
                <w:noProof/>
                <w:webHidden/>
              </w:rPr>
              <w:fldChar w:fldCharType="begin"/>
            </w:r>
            <w:r>
              <w:rPr>
                <w:noProof/>
                <w:webHidden/>
              </w:rPr>
              <w:instrText xml:space="preserve"> PAGEREF _Toc285058282 \h </w:instrText>
            </w:r>
            <w:r>
              <w:rPr>
                <w:noProof/>
                <w:webHidden/>
              </w:rPr>
            </w:r>
            <w:r>
              <w:rPr>
                <w:noProof/>
                <w:webHidden/>
              </w:rPr>
              <w:fldChar w:fldCharType="separate"/>
            </w:r>
            <w:r>
              <w:rPr>
                <w:noProof/>
                <w:webHidden/>
              </w:rPr>
              <w:t>8</w:t>
            </w:r>
            <w:r>
              <w:rPr>
                <w:noProof/>
                <w:webHidden/>
              </w:rPr>
              <w:fldChar w:fldCharType="end"/>
            </w:r>
          </w:hyperlink>
        </w:p>
        <w:p w:rsidR="00684223" w:rsidRDefault="00684223">
          <w:pPr>
            <w:pStyle w:val="TOC1"/>
            <w:tabs>
              <w:tab w:val="right" w:leader="dot" w:pos="9350"/>
            </w:tabs>
            <w:rPr>
              <w:rFonts w:asciiTheme="minorHAnsi" w:eastAsiaTheme="minorEastAsia" w:hAnsiTheme="minorHAnsi"/>
              <w:noProof/>
              <w:sz w:val="22"/>
            </w:rPr>
          </w:pPr>
          <w:hyperlink w:anchor="_Toc285058283" w:history="1">
            <w:r w:rsidRPr="001A63D7">
              <w:rPr>
                <w:rStyle w:val="Hyperlink"/>
                <w:noProof/>
              </w:rPr>
              <w:t>TÀI LIỆU THAM KHẢO</w:t>
            </w:r>
            <w:r>
              <w:rPr>
                <w:noProof/>
                <w:webHidden/>
              </w:rPr>
              <w:tab/>
            </w:r>
            <w:r>
              <w:rPr>
                <w:noProof/>
                <w:webHidden/>
              </w:rPr>
              <w:fldChar w:fldCharType="begin"/>
            </w:r>
            <w:r>
              <w:rPr>
                <w:noProof/>
                <w:webHidden/>
              </w:rPr>
              <w:instrText xml:space="preserve"> PAGEREF _Toc285058283 \h </w:instrText>
            </w:r>
            <w:r>
              <w:rPr>
                <w:noProof/>
                <w:webHidden/>
              </w:rPr>
            </w:r>
            <w:r>
              <w:rPr>
                <w:noProof/>
                <w:webHidden/>
              </w:rPr>
              <w:fldChar w:fldCharType="separate"/>
            </w:r>
            <w:r>
              <w:rPr>
                <w:noProof/>
                <w:webHidden/>
              </w:rPr>
              <w:t>8</w:t>
            </w:r>
            <w:r>
              <w:rPr>
                <w:noProof/>
                <w:webHidden/>
              </w:rPr>
              <w:fldChar w:fldCharType="end"/>
            </w:r>
          </w:hyperlink>
        </w:p>
        <w:p w:rsidR="00487832" w:rsidRDefault="00A34807" w:rsidP="004646E8">
          <w:pPr>
            <w:spacing w:line="360" w:lineRule="auto"/>
          </w:pPr>
          <w:r>
            <w:fldChar w:fldCharType="end"/>
          </w:r>
        </w:p>
      </w:sdtContent>
    </w:sdt>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487832" w:rsidRDefault="00487832" w:rsidP="004646E8">
      <w:pPr>
        <w:spacing w:line="360" w:lineRule="auto"/>
      </w:pPr>
    </w:p>
    <w:p w:rsidR="00487832" w:rsidRDefault="00487832" w:rsidP="004646E8">
      <w:pPr>
        <w:spacing w:line="360" w:lineRule="auto"/>
      </w:pPr>
    </w:p>
    <w:p w:rsidR="00487832" w:rsidRDefault="00487832" w:rsidP="004646E8">
      <w:pPr>
        <w:spacing w:line="360" w:lineRule="auto"/>
      </w:pPr>
    </w:p>
    <w:p w:rsidR="00684223" w:rsidRDefault="00684223" w:rsidP="004646E8">
      <w:pPr>
        <w:spacing w:line="360" w:lineRule="auto"/>
      </w:pPr>
    </w:p>
    <w:p w:rsidR="00487832" w:rsidRDefault="004646E8" w:rsidP="004646E8">
      <w:pPr>
        <w:pStyle w:val="Title"/>
        <w:spacing w:line="360" w:lineRule="auto"/>
      </w:pPr>
      <w:r>
        <w:t>Báo cáo kết quả dự đoán xu hướng</w:t>
      </w:r>
    </w:p>
    <w:p w:rsidR="00487832" w:rsidRDefault="00487832"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684223" w:rsidRDefault="00684223" w:rsidP="004646E8">
      <w:pPr>
        <w:spacing w:line="360" w:lineRule="auto"/>
      </w:pPr>
    </w:p>
    <w:p w:rsidR="00487832" w:rsidRDefault="00487832" w:rsidP="004646E8">
      <w:pPr>
        <w:spacing w:line="360" w:lineRule="auto"/>
      </w:pPr>
    </w:p>
    <w:p w:rsidR="00137C46" w:rsidRDefault="0018620F" w:rsidP="004646E8">
      <w:pPr>
        <w:pStyle w:val="Heading1"/>
        <w:spacing w:line="360" w:lineRule="auto"/>
      </w:pPr>
      <w:bookmarkStart w:id="0" w:name="_Toc285058276"/>
      <w:r>
        <w:lastRenderedPageBreak/>
        <w:t>CÁC CẢI TIẾN ĐÃ THỰC HIỆN</w:t>
      </w:r>
      <w:bookmarkEnd w:id="0"/>
    </w:p>
    <w:p w:rsidR="00897BAD" w:rsidRDefault="00487832" w:rsidP="0018620F">
      <w:pPr>
        <w:spacing w:line="360" w:lineRule="auto"/>
      </w:pPr>
      <w:r>
        <w:t xml:space="preserve">   </w:t>
      </w:r>
      <w:r w:rsidR="0018620F">
        <w:t>Thêm chỉ số kỹ thuật vào đầu vào bao gồm: Trung bình trượt giản đơn, Trung bình trượt số mũ, MACD.</w:t>
      </w:r>
    </w:p>
    <w:p w:rsidR="0018620F" w:rsidRDefault="0018620F" w:rsidP="0018620F">
      <w:pPr>
        <w:spacing w:line="360" w:lineRule="auto"/>
      </w:pPr>
      <w:r>
        <w:t xml:space="preserve">   Thực hiện huấn luyện multi-period (test đến đâu, huấn luyện đến đó).</w:t>
      </w:r>
    </w:p>
    <w:p w:rsidR="0018620F" w:rsidRDefault="0018620F" w:rsidP="0018620F">
      <w:pPr>
        <w:spacing w:line="360" w:lineRule="auto"/>
      </w:pPr>
      <w:r>
        <w:t xml:space="preserve">   Dùng GA cho việc chọn tham số của SVR.</w:t>
      </w:r>
    </w:p>
    <w:p w:rsidR="009F7D1C" w:rsidRDefault="009F7D1C" w:rsidP="009F7D1C">
      <w:pPr>
        <w:pStyle w:val="Heading1"/>
      </w:pPr>
      <w:bookmarkStart w:id="1" w:name="_Toc285058277"/>
      <w:r>
        <w:t>BỔ SUNG VẾ ĐỘ ĐO</w:t>
      </w:r>
      <w:bookmarkEnd w:id="1"/>
    </w:p>
    <w:p w:rsidR="009F7D1C" w:rsidRDefault="009F7D1C" w:rsidP="009F7D1C">
      <w:r>
        <w:t>Do vấn đề về giá đóng cửa có thể không thay đổi trong nhiều phiên giao dịch liên tiếp nên nhóm sử dụng thêm độ đo sau để có cái nhìn rõ hơn về kết quả dự đoán. Độ đo do nhóm dự đoán giá phát biểu:</w:t>
      </w:r>
    </w:p>
    <w:p w:rsidR="009F7D1C" w:rsidRDefault="009F7D1C" w:rsidP="009F7D1C">
      <w:r>
        <w:t xml:space="preserve">DM4Price (Direction Measure For Price): </w:t>
      </w:r>
    </w:p>
    <w:p w:rsidR="009F7D1C" w:rsidRPr="00636733" w:rsidRDefault="009F7D1C" w:rsidP="009F7D1C">
      <w:pPr>
        <w:ind w:left="360"/>
      </w:pPr>
      <w:r>
        <w:t xml:space="preserve">Xét tích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p>
    <w:p w:rsidR="009F7D1C" w:rsidRDefault="009F7D1C" w:rsidP="009F7D1C">
      <w:pPr>
        <w:pStyle w:val="ListParagraph"/>
        <w:numPr>
          <w:ilvl w:val="2"/>
          <w:numId w:val="32"/>
        </w:numPr>
        <w:ind w:left="720"/>
      </w:pPr>
      <w:r>
        <w:t>Nếu tích &gt; 0: dự đoán đúng.</w:t>
      </w:r>
    </w:p>
    <w:p w:rsidR="009F7D1C" w:rsidRDefault="009F7D1C" w:rsidP="009F7D1C">
      <w:pPr>
        <w:pStyle w:val="ListParagraph"/>
        <w:numPr>
          <w:ilvl w:val="2"/>
          <w:numId w:val="32"/>
        </w:numPr>
        <w:ind w:left="720"/>
      </w:pPr>
      <w:r>
        <w:t>Nếu tích &lt; 0: dự đoán sai.</w:t>
      </w:r>
    </w:p>
    <w:p w:rsidR="009F7D1C" w:rsidRDefault="009F7D1C" w:rsidP="009F7D1C">
      <w:pPr>
        <w:pStyle w:val="ListParagraph"/>
        <w:numPr>
          <w:ilvl w:val="2"/>
          <w:numId w:val="32"/>
        </w:numPr>
        <w:ind w:left="720"/>
      </w:pPr>
      <w:r>
        <w:t>Nếu tích = 0: không đánh giá được.</w:t>
      </w:r>
    </w:p>
    <w:p w:rsidR="009F7D1C" w:rsidRPr="009F7D1C" w:rsidRDefault="009F7D1C" w:rsidP="009F7D1C">
      <w:r>
        <w:t>Độ đo DM4Price sẽ cho ra 3 kết quả lần lượt ứng với phần trăm số phần tử dự đoán đúng, dự đoán sai và không đánh giá được.</w:t>
      </w:r>
    </w:p>
    <w:p w:rsidR="00A75623" w:rsidRDefault="0018620F" w:rsidP="004646E8">
      <w:pPr>
        <w:pStyle w:val="Heading1"/>
        <w:spacing w:line="360" w:lineRule="auto"/>
      </w:pPr>
      <w:bookmarkStart w:id="2" w:name="_Toc285058278"/>
      <w:r>
        <w:t>THỰC NGHIỆM</w:t>
      </w:r>
      <w:bookmarkEnd w:id="2"/>
    </w:p>
    <w:p w:rsidR="0018620F" w:rsidRDefault="0018620F" w:rsidP="0018620F">
      <w:pPr>
        <w:pStyle w:val="Heading2"/>
      </w:pPr>
      <w:bookmarkStart w:id="3" w:name="_Toc283311067"/>
      <w:bookmarkStart w:id="4" w:name="_Toc283378093"/>
      <w:bookmarkStart w:id="5" w:name="_Toc285058279"/>
      <w:r>
        <w:t>Mô tả dữ liệu</w:t>
      </w:r>
      <w:bookmarkEnd w:id="3"/>
      <w:bookmarkEnd w:id="4"/>
      <w:bookmarkEnd w:id="5"/>
    </w:p>
    <w:p w:rsidR="0018620F" w:rsidRPr="00AA622D" w:rsidRDefault="0018620F" w:rsidP="0018620F">
      <w:pPr>
        <w:pStyle w:val="ListParagraph"/>
        <w:numPr>
          <w:ilvl w:val="0"/>
          <w:numId w:val="30"/>
        </w:numPr>
      </w:pPr>
      <w:r>
        <w:t>Nước ngoài:</w:t>
      </w:r>
    </w:p>
    <w:p w:rsidR="0018620F" w:rsidRDefault="0018620F" w:rsidP="0018620F">
      <w:pPr>
        <w:pStyle w:val="ListParagraph"/>
        <w:numPr>
          <w:ilvl w:val="1"/>
          <w:numId w:val="30"/>
        </w:numPr>
      </w:pPr>
      <w:r>
        <w:t>NYSE: từ 9/1/2004 đến 31/12/2007; gồm 1001 điểm dữ liệu.[4]</w:t>
      </w:r>
    </w:p>
    <w:p w:rsidR="0018620F" w:rsidRDefault="0018620F" w:rsidP="0018620F">
      <w:pPr>
        <w:pStyle w:val="ListParagraph"/>
        <w:numPr>
          <w:ilvl w:val="0"/>
          <w:numId w:val="30"/>
        </w:numPr>
      </w:pPr>
      <w:r>
        <w:t>Việt Nam:</w:t>
      </w:r>
    </w:p>
    <w:p w:rsidR="0018620F" w:rsidRDefault="0018620F" w:rsidP="0018620F">
      <w:pPr>
        <w:pStyle w:val="ListParagraph"/>
        <w:numPr>
          <w:ilvl w:val="1"/>
          <w:numId w:val="30"/>
        </w:numPr>
      </w:pPr>
      <w:r>
        <w:t>FTP: từ 13/12/2006 đến 9/8/2010; gồm 914 điểm dữ liệu.</w:t>
      </w:r>
    </w:p>
    <w:p w:rsidR="0018620F" w:rsidRDefault="0018620F" w:rsidP="0018620F">
      <w:pPr>
        <w:pStyle w:val="ListParagraph"/>
        <w:numPr>
          <w:ilvl w:val="1"/>
          <w:numId w:val="30"/>
        </w:numPr>
      </w:pPr>
      <w:r>
        <w:t>DHG: từ 21/12/2006 đến 10/12/2010; gồm 994 điểm dữ liệu.</w:t>
      </w:r>
    </w:p>
    <w:p w:rsidR="0018620F" w:rsidRDefault="0018620F" w:rsidP="0018620F">
      <w:pPr>
        <w:pStyle w:val="ListParagraph"/>
        <w:numPr>
          <w:ilvl w:val="1"/>
          <w:numId w:val="30"/>
        </w:numPr>
      </w:pPr>
      <w:r>
        <w:t>VIS: từ 25/12/2006 đến 10/12/2010; gồm 988 điểm dữ liệu.</w:t>
      </w:r>
    </w:p>
    <w:p w:rsidR="0018620F" w:rsidRDefault="0018620F" w:rsidP="0018620F">
      <w:pPr>
        <w:pStyle w:val="ListParagraph"/>
        <w:numPr>
          <w:ilvl w:val="1"/>
          <w:numId w:val="30"/>
        </w:numPr>
      </w:pPr>
      <w:r>
        <w:t>VNM: từ 19/1/2006 đến 10/12/2010; gồm 1222 điểm dữ liệu.</w:t>
      </w:r>
    </w:p>
    <w:p w:rsidR="0018620F" w:rsidRDefault="0018620F" w:rsidP="0018620F">
      <w:pPr>
        <w:pStyle w:val="ListParagraph"/>
        <w:numPr>
          <w:ilvl w:val="1"/>
          <w:numId w:val="30"/>
        </w:numPr>
      </w:pPr>
      <w:r>
        <w:t>BT6: từ 18/04/2002 đến 10/12/2010; gồm 2164 điểm dữ liệu.</w:t>
      </w:r>
    </w:p>
    <w:p w:rsidR="0018620F" w:rsidRDefault="0018620F" w:rsidP="0018620F">
      <w:pPr>
        <w:pStyle w:val="Heading2"/>
      </w:pPr>
      <w:bookmarkStart w:id="6" w:name="_Toc285058280"/>
      <w:r>
        <w:t>Kết quả</w:t>
      </w:r>
      <w:bookmarkEnd w:id="6"/>
    </w:p>
    <w:p w:rsidR="0065390F" w:rsidRPr="0065390F" w:rsidRDefault="0065390F" w:rsidP="0065390F">
      <w:r>
        <w:t xml:space="preserve"> Kết quả kiểm thử đối với mã NYSE trên period = 1</w:t>
      </w:r>
    </w:p>
    <w:tbl>
      <w:tblPr>
        <w:tblStyle w:val="TableGrid"/>
        <w:tblpPr w:leftFromText="180" w:rightFromText="180" w:vertAnchor="text" w:horzAnchor="margin" w:tblpY="63"/>
        <w:tblW w:w="8969" w:type="dxa"/>
        <w:tblLook w:val="04A0"/>
      </w:tblPr>
      <w:tblGrid>
        <w:gridCol w:w="1728"/>
        <w:gridCol w:w="2250"/>
        <w:gridCol w:w="2250"/>
        <w:gridCol w:w="2741"/>
      </w:tblGrid>
      <w:tr w:rsidR="0065390F" w:rsidTr="0065390F">
        <w:trPr>
          <w:trHeight w:val="620"/>
        </w:trPr>
        <w:tc>
          <w:tcPr>
            <w:tcW w:w="1728" w:type="dxa"/>
          </w:tcPr>
          <w:p w:rsidR="0065390F" w:rsidRDefault="0065390F" w:rsidP="0065390F"/>
        </w:tc>
        <w:tc>
          <w:tcPr>
            <w:tcW w:w="2250" w:type="dxa"/>
          </w:tcPr>
          <w:p w:rsidR="0065390F" w:rsidRDefault="0065390F" w:rsidP="0065390F">
            <w:pPr>
              <w:ind w:firstLine="15"/>
            </w:pPr>
          </w:p>
        </w:tc>
        <w:tc>
          <w:tcPr>
            <w:tcW w:w="2250" w:type="dxa"/>
          </w:tcPr>
          <w:p w:rsidR="0065390F" w:rsidRDefault="0065390F" w:rsidP="0065390F">
            <w:pPr>
              <w:ind w:firstLine="6"/>
            </w:pPr>
            <w:r>
              <w:t>NMSE</w:t>
            </w:r>
          </w:p>
        </w:tc>
        <w:tc>
          <w:tcPr>
            <w:tcW w:w="2741" w:type="dxa"/>
          </w:tcPr>
          <w:p w:rsidR="0065390F" w:rsidRDefault="0065390F" w:rsidP="0065390F">
            <w:r>
              <w:t>Sign(%)</w:t>
            </w:r>
          </w:p>
        </w:tc>
      </w:tr>
      <w:tr w:rsidR="009F7D1C" w:rsidTr="0065390F">
        <w:trPr>
          <w:trHeight w:val="620"/>
        </w:trPr>
        <w:tc>
          <w:tcPr>
            <w:tcW w:w="1728" w:type="dxa"/>
          </w:tcPr>
          <w:p w:rsidR="009F7D1C" w:rsidRDefault="009F7D1C" w:rsidP="0065390F">
            <w:r>
              <w:t>SVR</w:t>
            </w:r>
          </w:p>
        </w:tc>
        <w:tc>
          <w:tcPr>
            <w:tcW w:w="2250" w:type="dxa"/>
          </w:tcPr>
          <w:p w:rsidR="009F7D1C" w:rsidRDefault="009F7D1C" w:rsidP="0065390F">
            <w:pPr>
              <w:ind w:firstLine="15"/>
            </w:pPr>
            <w:r>
              <w:t>Grid</w:t>
            </w:r>
          </w:p>
        </w:tc>
        <w:tc>
          <w:tcPr>
            <w:tcW w:w="2250" w:type="dxa"/>
          </w:tcPr>
          <w:p w:rsidR="009F7D1C" w:rsidRDefault="009F7D1C" w:rsidP="0065390F">
            <w:pPr>
              <w:ind w:firstLine="6"/>
            </w:pPr>
            <w:r>
              <w:t>96.74</w:t>
            </w:r>
          </w:p>
        </w:tc>
        <w:tc>
          <w:tcPr>
            <w:tcW w:w="2741" w:type="dxa"/>
          </w:tcPr>
          <w:p w:rsidR="009F7D1C" w:rsidRDefault="009F7D1C" w:rsidP="0065390F">
            <w:r>
              <w:t>62</w:t>
            </w:r>
          </w:p>
        </w:tc>
      </w:tr>
      <w:tr w:rsidR="0065390F" w:rsidTr="0065390F">
        <w:tc>
          <w:tcPr>
            <w:tcW w:w="1728" w:type="dxa"/>
            <w:vMerge w:val="restart"/>
          </w:tcPr>
          <w:p w:rsidR="0065390F" w:rsidRDefault="0065390F" w:rsidP="0065390F">
            <w:r>
              <w:t>SVR</w:t>
            </w:r>
            <w:r w:rsidR="009F7D1C">
              <w:t xml:space="preserve"> cải tiến</w:t>
            </w:r>
          </w:p>
        </w:tc>
        <w:tc>
          <w:tcPr>
            <w:tcW w:w="2250" w:type="dxa"/>
          </w:tcPr>
          <w:p w:rsidR="0065390F" w:rsidRDefault="0065390F" w:rsidP="0065390F">
            <w:pPr>
              <w:ind w:firstLine="15"/>
            </w:pPr>
            <w:r>
              <w:t>GA</w:t>
            </w:r>
          </w:p>
        </w:tc>
        <w:tc>
          <w:tcPr>
            <w:tcW w:w="2250" w:type="dxa"/>
          </w:tcPr>
          <w:p w:rsidR="0065390F" w:rsidRDefault="0065390F" w:rsidP="0065390F">
            <w:pPr>
              <w:ind w:firstLine="6"/>
            </w:pPr>
            <w:r>
              <w:t>9</w:t>
            </w:r>
            <w:r w:rsidR="009F7D1C">
              <w:t>8.2</w:t>
            </w:r>
          </w:p>
        </w:tc>
        <w:tc>
          <w:tcPr>
            <w:tcW w:w="2741" w:type="dxa"/>
          </w:tcPr>
          <w:p w:rsidR="0065390F" w:rsidRDefault="007B2B9E" w:rsidP="0065390F">
            <w:r>
              <w:t>63</w:t>
            </w:r>
            <w:r w:rsidR="0065390F">
              <w:t>.6</w:t>
            </w:r>
          </w:p>
        </w:tc>
      </w:tr>
      <w:tr w:rsidR="0065390F" w:rsidTr="0065390F">
        <w:tc>
          <w:tcPr>
            <w:tcW w:w="1728" w:type="dxa"/>
            <w:vMerge/>
          </w:tcPr>
          <w:p w:rsidR="0065390F" w:rsidRDefault="0065390F" w:rsidP="0065390F"/>
        </w:tc>
        <w:tc>
          <w:tcPr>
            <w:tcW w:w="2250" w:type="dxa"/>
          </w:tcPr>
          <w:p w:rsidR="0065390F" w:rsidRDefault="0065390F" w:rsidP="0065390F">
            <w:pPr>
              <w:ind w:firstLine="15"/>
            </w:pPr>
            <w:r>
              <w:t>Multi-period</w:t>
            </w:r>
          </w:p>
        </w:tc>
        <w:tc>
          <w:tcPr>
            <w:tcW w:w="2250" w:type="dxa"/>
          </w:tcPr>
          <w:p w:rsidR="0065390F" w:rsidRDefault="0065390F" w:rsidP="0065390F">
            <w:pPr>
              <w:ind w:firstLine="6"/>
            </w:pPr>
            <w:r>
              <w:t>100.2</w:t>
            </w:r>
          </w:p>
        </w:tc>
        <w:tc>
          <w:tcPr>
            <w:tcW w:w="2741" w:type="dxa"/>
          </w:tcPr>
          <w:p w:rsidR="0065390F" w:rsidRDefault="0065390F" w:rsidP="0065390F">
            <w:r>
              <w:t>58.1</w:t>
            </w:r>
          </w:p>
        </w:tc>
      </w:tr>
      <w:tr w:rsidR="0065390F" w:rsidTr="0065390F">
        <w:tc>
          <w:tcPr>
            <w:tcW w:w="1728" w:type="dxa"/>
            <w:vMerge/>
          </w:tcPr>
          <w:p w:rsidR="0065390F" w:rsidRDefault="0065390F" w:rsidP="0065390F"/>
        </w:tc>
        <w:tc>
          <w:tcPr>
            <w:tcW w:w="2250" w:type="dxa"/>
          </w:tcPr>
          <w:p w:rsidR="0065390F" w:rsidRDefault="0065390F" w:rsidP="0065390F">
            <w:pPr>
              <w:ind w:firstLine="15"/>
            </w:pPr>
            <w:r>
              <w:t>Grid search</w:t>
            </w:r>
          </w:p>
        </w:tc>
        <w:tc>
          <w:tcPr>
            <w:tcW w:w="2250" w:type="dxa"/>
          </w:tcPr>
          <w:p w:rsidR="0065390F" w:rsidRDefault="009F7D1C" w:rsidP="0065390F">
            <w:pPr>
              <w:ind w:firstLine="6"/>
            </w:pPr>
            <w:r>
              <w:t>97</w:t>
            </w:r>
            <w:r w:rsidR="0065390F">
              <w:t>.74</w:t>
            </w:r>
          </w:p>
        </w:tc>
        <w:tc>
          <w:tcPr>
            <w:tcW w:w="2741" w:type="dxa"/>
          </w:tcPr>
          <w:p w:rsidR="0065390F" w:rsidRDefault="007B2B9E" w:rsidP="0065390F">
            <w:r>
              <w:t>63</w:t>
            </w:r>
            <w:r w:rsidR="0065390F">
              <w:t>.55</w:t>
            </w:r>
          </w:p>
        </w:tc>
      </w:tr>
      <w:tr w:rsidR="0065390F" w:rsidTr="0065390F">
        <w:tc>
          <w:tcPr>
            <w:tcW w:w="1728" w:type="dxa"/>
          </w:tcPr>
          <w:p w:rsidR="0065390F" w:rsidRDefault="0065390F" w:rsidP="0065390F">
            <w:r>
              <w:t>ANN</w:t>
            </w:r>
          </w:p>
        </w:tc>
        <w:tc>
          <w:tcPr>
            <w:tcW w:w="2250" w:type="dxa"/>
          </w:tcPr>
          <w:p w:rsidR="0065390F" w:rsidRDefault="0065390F" w:rsidP="0065390F">
            <w:pPr>
              <w:ind w:firstLine="15"/>
            </w:pPr>
          </w:p>
        </w:tc>
        <w:tc>
          <w:tcPr>
            <w:tcW w:w="2250" w:type="dxa"/>
          </w:tcPr>
          <w:p w:rsidR="0065390F" w:rsidRDefault="0065390F" w:rsidP="0065390F">
            <w:pPr>
              <w:ind w:firstLine="6"/>
            </w:pPr>
            <w:r>
              <w:t>103</w:t>
            </w:r>
          </w:p>
        </w:tc>
        <w:tc>
          <w:tcPr>
            <w:tcW w:w="2741" w:type="dxa"/>
          </w:tcPr>
          <w:p w:rsidR="0065390F" w:rsidRDefault="0065390F" w:rsidP="0065390F">
            <w:r>
              <w:t>54</w:t>
            </w:r>
          </w:p>
        </w:tc>
      </w:tr>
      <w:tr w:rsidR="0065390F" w:rsidTr="0065390F">
        <w:tc>
          <w:tcPr>
            <w:tcW w:w="1728" w:type="dxa"/>
          </w:tcPr>
          <w:p w:rsidR="0065390F" w:rsidRDefault="0065390F" w:rsidP="0065390F">
            <w:r>
              <w:t>Mô hình [1]</w:t>
            </w:r>
          </w:p>
        </w:tc>
        <w:tc>
          <w:tcPr>
            <w:tcW w:w="2250" w:type="dxa"/>
          </w:tcPr>
          <w:p w:rsidR="0065390F" w:rsidRDefault="0065390F" w:rsidP="0065390F">
            <w:pPr>
              <w:ind w:firstLine="15"/>
            </w:pPr>
          </w:p>
        </w:tc>
        <w:tc>
          <w:tcPr>
            <w:tcW w:w="2250" w:type="dxa"/>
          </w:tcPr>
          <w:p w:rsidR="0065390F" w:rsidRDefault="0065390F" w:rsidP="0065390F">
            <w:pPr>
              <w:ind w:firstLine="6"/>
            </w:pPr>
            <w:r>
              <w:t>99.41</w:t>
            </w:r>
          </w:p>
        </w:tc>
        <w:tc>
          <w:tcPr>
            <w:tcW w:w="2741" w:type="dxa"/>
          </w:tcPr>
          <w:p w:rsidR="0065390F" w:rsidRDefault="0065390F" w:rsidP="0065390F">
            <w:r>
              <w:t>68.69</w:t>
            </w:r>
          </w:p>
        </w:tc>
      </w:tr>
    </w:tbl>
    <w:p w:rsidR="0018620F" w:rsidRDefault="0065390F" w:rsidP="0018620F">
      <w:r>
        <w:t xml:space="preserve"> Nhận xét: Multi-period cho SVR tỏ ra không hiệu quả, trong khi GA cho kết quả ngang với Grid search trong việc tìm tham số.</w:t>
      </w:r>
      <w:r w:rsidR="009F7D1C">
        <w:t xml:space="preserve"> Phần cải tiến có nhỉnh hơn phần SVR ban đầu </w:t>
      </w:r>
      <w:r w:rsidR="007B2B9E">
        <w:t>hơn một</w:t>
      </w:r>
      <w:r w:rsidR="009F7D1C">
        <w:t xml:space="preserve"> điểm phần trăm.</w:t>
      </w:r>
    </w:p>
    <w:p w:rsidR="0065390F" w:rsidRDefault="0065390F" w:rsidP="0018620F">
      <w:r>
        <w:t xml:space="preserve"> Kết quả trên các mã Việt Nam cũng cho thấy một bức tranh tương tự. Do vậy để ngắn gọn, báo cáo không trình bày phần multi-period ở đây.</w:t>
      </w:r>
    </w:p>
    <w:p w:rsidR="0065390F" w:rsidRPr="00F97ABD" w:rsidRDefault="0065390F" w:rsidP="0065390F">
      <w:pPr>
        <w:pStyle w:val="ListParagraph"/>
        <w:numPr>
          <w:ilvl w:val="0"/>
          <w:numId w:val="31"/>
        </w:numPr>
      </w:pPr>
      <w:r w:rsidRPr="00F97ABD">
        <w:t>Period = 1:</w:t>
      </w:r>
    </w:p>
    <w:tbl>
      <w:tblPr>
        <w:tblStyle w:val="LightShading-Accent4"/>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gridCol w:w="1050"/>
        <w:gridCol w:w="1674"/>
      </w:tblGrid>
      <w:tr w:rsidR="0065390F" w:rsidRPr="00F97ABD" w:rsidTr="0065390F">
        <w:trPr>
          <w:cnfStyle w:val="100000000000"/>
          <w:trHeight w:val="300"/>
        </w:trPr>
        <w:tc>
          <w:tcPr>
            <w:cnfStyle w:val="001000000000"/>
            <w:tcW w:w="9403" w:type="dxa"/>
            <w:gridSpan w:val="8"/>
            <w:noWrap/>
            <w:hideMark/>
          </w:tcPr>
          <w:p w:rsidR="0065390F" w:rsidRPr="00F97ABD" w:rsidRDefault="0065390F" w:rsidP="0065390F">
            <w:pPr>
              <w:jc w:val="center"/>
              <w:rPr>
                <w:color w:val="000000"/>
                <w:sz w:val="22"/>
                <w:szCs w:val="22"/>
              </w:rPr>
            </w:pPr>
            <w:r>
              <w:rPr>
                <w:color w:val="000000"/>
                <w:sz w:val="22"/>
                <w:szCs w:val="22"/>
              </w:rPr>
              <w:t>ANN</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c>
          <w:tcPr>
            <w:tcW w:w="2724" w:type="dxa"/>
            <w:gridSpan w:val="2"/>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Độ lỗi khi train</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NMSE</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Max Loop</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1.28</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42</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72.09</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19.06</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8.83</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1.65</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1.34</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25</w:t>
            </w: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51.02</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13.27</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35.71</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1.03</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2000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1.3</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43</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72.73</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23.23</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4.04</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1.18</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1.03</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41</w:t>
            </w: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65.31</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34.69</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1.04</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2000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1.15</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32</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57.85</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21.48</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20.66</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0.98</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bl>
    <w:p w:rsidR="0065390F" w:rsidRDefault="0065390F" w:rsidP="0065390F">
      <w:pPr>
        <w:ind w:left="360"/>
      </w:pPr>
    </w:p>
    <w:tbl>
      <w:tblPr>
        <w:tblStyle w:val="LightShading-Accent4"/>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tblGrid>
      <w:tr w:rsidR="0065390F" w:rsidRPr="00F97ABD" w:rsidTr="0065390F">
        <w:trPr>
          <w:cnfStyle w:val="100000000000"/>
          <w:trHeight w:val="300"/>
        </w:trPr>
        <w:tc>
          <w:tcPr>
            <w:cnfStyle w:val="001000000000"/>
            <w:tcW w:w="6679" w:type="dxa"/>
            <w:gridSpan w:val="6"/>
            <w:tcBorders>
              <w:top w:val="none" w:sz="0" w:space="0" w:color="auto"/>
              <w:left w:val="none" w:sz="0" w:space="0" w:color="auto"/>
              <w:bottom w:val="none" w:sz="0" w:space="0" w:color="auto"/>
              <w:right w:val="none" w:sz="0" w:space="0" w:color="auto"/>
            </w:tcBorders>
            <w:noWrap/>
            <w:hideMark/>
          </w:tcPr>
          <w:p w:rsidR="0065390F" w:rsidRPr="00F97ABD" w:rsidRDefault="0065390F" w:rsidP="0065390F">
            <w:pPr>
              <w:jc w:val="center"/>
              <w:rPr>
                <w:color w:val="000000"/>
                <w:sz w:val="22"/>
                <w:szCs w:val="22"/>
              </w:rPr>
            </w:pPr>
            <w:r>
              <w:rPr>
                <w:color w:val="000000"/>
                <w:sz w:val="22"/>
                <w:szCs w:val="22"/>
              </w:rPr>
              <w:t>SVR – G</w:t>
            </w:r>
            <w:r w:rsidR="009F7D1C">
              <w:rPr>
                <w:color w:val="000000"/>
                <w:sz w:val="22"/>
                <w:szCs w:val="22"/>
              </w:rPr>
              <w:t>r</w:t>
            </w:r>
            <w:r>
              <w:rPr>
                <w:color w:val="000000"/>
                <w:sz w:val="22"/>
                <w:szCs w:val="22"/>
              </w:rPr>
              <w:t>id search</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1.28</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w:t>
            </w:r>
            <w:r>
              <w:rPr>
                <w:color w:val="000000"/>
                <w:sz w:val="22"/>
                <w:szCs w:val="22"/>
              </w:rPr>
              <w:t>1</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72.</w:t>
            </w:r>
            <w:r>
              <w:rPr>
                <w:color w:val="000000"/>
                <w:sz w:val="22"/>
                <w:szCs w:val="22"/>
              </w:rPr>
              <w:t>62</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18.55</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8.83</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Pr>
                <w:color w:val="000000"/>
                <w:sz w:val="22"/>
                <w:szCs w:val="22"/>
              </w:rPr>
              <w:t>1.27</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40</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5</w:t>
            </w:r>
            <w:r w:rsidRPr="008660B4">
              <w:rPr>
                <w:color w:val="000000"/>
                <w:sz w:val="22"/>
                <w:szCs w:val="22"/>
              </w:rPr>
              <w:t>6.</w:t>
            </w:r>
            <w:r>
              <w:rPr>
                <w:color w:val="000000"/>
                <w:sz w:val="22"/>
                <w:szCs w:val="22"/>
              </w:rPr>
              <w:t>5</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7.7</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35.71</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02</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75.87</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20.09</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4.04</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w:t>
            </w:r>
            <w:r>
              <w:rPr>
                <w:color w:val="000000"/>
                <w:sz w:val="22"/>
                <w:szCs w:val="22"/>
              </w:rPr>
              <w:t>7</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55</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71.94</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28.06</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01</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33</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69.13</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10.2</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20.66</w:t>
            </w:r>
          </w:p>
        </w:tc>
      </w:tr>
    </w:tbl>
    <w:p w:rsidR="0065390F" w:rsidRDefault="0065390F" w:rsidP="0065390F">
      <w:pPr>
        <w:ind w:left="360"/>
      </w:pPr>
    </w:p>
    <w:tbl>
      <w:tblPr>
        <w:tblStyle w:val="LightShading-Accent4"/>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tblGrid>
      <w:tr w:rsidR="0065390F" w:rsidRPr="00F97ABD" w:rsidTr="0065390F">
        <w:trPr>
          <w:cnfStyle w:val="100000000000"/>
          <w:trHeight w:val="300"/>
        </w:trPr>
        <w:tc>
          <w:tcPr>
            <w:cnfStyle w:val="001000000000"/>
            <w:tcW w:w="6679" w:type="dxa"/>
            <w:gridSpan w:val="6"/>
            <w:tcBorders>
              <w:top w:val="none" w:sz="0" w:space="0" w:color="auto"/>
              <w:left w:val="none" w:sz="0" w:space="0" w:color="auto"/>
              <w:bottom w:val="none" w:sz="0" w:space="0" w:color="auto"/>
              <w:right w:val="none" w:sz="0" w:space="0" w:color="auto"/>
            </w:tcBorders>
            <w:noWrap/>
            <w:hideMark/>
          </w:tcPr>
          <w:p w:rsidR="0065390F" w:rsidRPr="00F97ABD" w:rsidRDefault="0065390F" w:rsidP="0065390F">
            <w:pPr>
              <w:jc w:val="center"/>
              <w:rPr>
                <w:color w:val="000000"/>
                <w:sz w:val="22"/>
                <w:szCs w:val="22"/>
              </w:rPr>
            </w:pPr>
            <w:r>
              <w:rPr>
                <w:color w:val="000000"/>
                <w:sz w:val="22"/>
                <w:szCs w:val="22"/>
              </w:rPr>
              <w:t>SVR – GA</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1.2</w:t>
            </w:r>
            <w:r>
              <w:rPr>
                <w:color w:val="000000"/>
                <w:sz w:val="22"/>
                <w:szCs w:val="22"/>
              </w:rPr>
              <w:t>4</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w:t>
            </w:r>
            <w:r>
              <w:rPr>
                <w:color w:val="000000"/>
                <w:sz w:val="22"/>
                <w:szCs w:val="22"/>
              </w:rPr>
              <w:t>4</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72.</w:t>
            </w:r>
            <w:r>
              <w:rPr>
                <w:color w:val="000000"/>
                <w:sz w:val="22"/>
                <w:szCs w:val="22"/>
              </w:rPr>
              <w:t>22</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18.95</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8.83</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Pr>
                <w:color w:val="000000"/>
                <w:sz w:val="22"/>
                <w:szCs w:val="22"/>
              </w:rPr>
              <w:t>1.13</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40</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54</w:t>
            </w:r>
            <w:r w:rsidRPr="008660B4">
              <w:rPr>
                <w:color w:val="000000"/>
                <w:sz w:val="22"/>
                <w:szCs w:val="22"/>
              </w:rPr>
              <w:t>.</w:t>
            </w:r>
            <w:r>
              <w:rPr>
                <w:color w:val="000000"/>
                <w:sz w:val="22"/>
                <w:szCs w:val="22"/>
              </w:rPr>
              <w:t>5</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9.7</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35.71</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lastRenderedPageBreak/>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34</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44</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75.87</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20.09</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4.04</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w:t>
            </w:r>
            <w:r>
              <w:rPr>
                <w:color w:val="000000"/>
                <w:sz w:val="22"/>
                <w:szCs w:val="22"/>
              </w:rPr>
              <w:t>2</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5</w:t>
            </w:r>
            <w:r w:rsidR="009F7D1C">
              <w:rPr>
                <w:color w:val="000000"/>
                <w:sz w:val="22"/>
                <w:szCs w:val="22"/>
              </w:rPr>
              <w:t>4</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70.9</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29.1</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12</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38</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70.2</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9.12</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20.66</w:t>
            </w:r>
          </w:p>
        </w:tc>
      </w:tr>
    </w:tbl>
    <w:p w:rsidR="0065390F" w:rsidRPr="00F97ABD" w:rsidRDefault="0065390F" w:rsidP="0065390F">
      <w:pPr>
        <w:ind w:left="360"/>
      </w:pPr>
    </w:p>
    <w:p w:rsidR="0065390F" w:rsidRPr="00F97ABD" w:rsidRDefault="0065390F" w:rsidP="0065390F">
      <w:pPr>
        <w:pStyle w:val="ListParagraph"/>
        <w:numPr>
          <w:ilvl w:val="0"/>
          <w:numId w:val="31"/>
        </w:numPr>
      </w:pPr>
      <w:r w:rsidRPr="00F97ABD">
        <w:t>Period = 5:</w:t>
      </w:r>
    </w:p>
    <w:tbl>
      <w:tblPr>
        <w:tblStyle w:val="LightShading-Accent4"/>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gridCol w:w="1050"/>
        <w:gridCol w:w="1674"/>
      </w:tblGrid>
      <w:tr w:rsidR="0065390F" w:rsidRPr="00F97ABD" w:rsidTr="0065390F">
        <w:trPr>
          <w:cnfStyle w:val="100000000000"/>
          <w:trHeight w:val="300"/>
        </w:trPr>
        <w:tc>
          <w:tcPr>
            <w:cnfStyle w:val="001000000000"/>
            <w:tcW w:w="9403" w:type="dxa"/>
            <w:gridSpan w:val="8"/>
            <w:tcBorders>
              <w:top w:val="none" w:sz="0" w:space="0" w:color="auto"/>
              <w:left w:val="none" w:sz="0" w:space="0" w:color="auto"/>
              <w:bottom w:val="none" w:sz="0" w:space="0" w:color="auto"/>
              <w:right w:val="none" w:sz="0" w:space="0" w:color="auto"/>
            </w:tcBorders>
            <w:noWrap/>
            <w:hideMark/>
          </w:tcPr>
          <w:p w:rsidR="0065390F" w:rsidRPr="00F97ABD" w:rsidRDefault="0065390F" w:rsidP="0065390F">
            <w:pPr>
              <w:jc w:val="center"/>
              <w:rPr>
                <w:color w:val="000000"/>
                <w:sz w:val="22"/>
                <w:szCs w:val="22"/>
              </w:rPr>
            </w:pPr>
            <w:r>
              <w:rPr>
                <w:color w:val="000000"/>
                <w:sz w:val="22"/>
                <w:szCs w:val="22"/>
              </w:rPr>
              <w:t>ANN</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c>
          <w:tcPr>
            <w:tcW w:w="2724" w:type="dxa"/>
            <w:gridSpan w:val="2"/>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Độ lỗi khi train</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NMSE</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Max Loop</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1.4</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44</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58.69</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32.39</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8.92</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1.38</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1.17</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25</w:t>
            </w: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41.67</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27.08</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31.25</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1.01</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2000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1.21</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38</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56.7</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42.27</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1.03</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1.78</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1.03</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70</w:t>
            </w: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62.11</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37.89</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2000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1.78</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50</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48.74</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30.25</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21</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1.04</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bl>
    <w:p w:rsidR="0065390F" w:rsidRDefault="0065390F" w:rsidP="0065390F">
      <w:pPr>
        <w:ind w:left="360"/>
      </w:pPr>
    </w:p>
    <w:tbl>
      <w:tblPr>
        <w:tblStyle w:val="LightShading-Accent4"/>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tblGrid>
      <w:tr w:rsidR="0065390F" w:rsidRPr="00F97ABD" w:rsidTr="0065390F">
        <w:trPr>
          <w:cnfStyle w:val="100000000000"/>
          <w:trHeight w:val="300"/>
        </w:trPr>
        <w:tc>
          <w:tcPr>
            <w:cnfStyle w:val="001000000000"/>
            <w:tcW w:w="6679" w:type="dxa"/>
            <w:gridSpan w:val="6"/>
            <w:tcBorders>
              <w:top w:val="none" w:sz="0" w:space="0" w:color="auto"/>
              <w:left w:val="none" w:sz="0" w:space="0" w:color="auto"/>
              <w:bottom w:val="none" w:sz="0" w:space="0" w:color="auto"/>
              <w:right w:val="none" w:sz="0" w:space="0" w:color="auto"/>
            </w:tcBorders>
            <w:noWrap/>
            <w:hideMark/>
          </w:tcPr>
          <w:p w:rsidR="0065390F" w:rsidRPr="00F97ABD" w:rsidRDefault="0065390F" w:rsidP="0065390F">
            <w:pPr>
              <w:jc w:val="center"/>
              <w:rPr>
                <w:color w:val="000000"/>
                <w:sz w:val="22"/>
                <w:szCs w:val="22"/>
              </w:rPr>
            </w:pPr>
            <w:r>
              <w:rPr>
                <w:color w:val="000000"/>
                <w:sz w:val="22"/>
                <w:szCs w:val="22"/>
              </w:rPr>
              <w:t>SVR – Grid search</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1.2</w:t>
            </w:r>
            <w:r>
              <w:rPr>
                <w:color w:val="000000"/>
                <w:sz w:val="22"/>
                <w:szCs w:val="22"/>
              </w:rPr>
              <w:t>9</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w:t>
            </w:r>
            <w:r>
              <w:rPr>
                <w:color w:val="000000"/>
                <w:sz w:val="22"/>
                <w:szCs w:val="22"/>
              </w:rPr>
              <w:t>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58.92</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32.16</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8.92</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14</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31</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55.1</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13.65</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31.25</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04</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w:t>
            </w:r>
            <w:r>
              <w:rPr>
                <w:color w:val="000000"/>
                <w:sz w:val="22"/>
                <w:szCs w:val="22"/>
              </w:rPr>
              <w:t>2</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52.97</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45.9</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1.03</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8</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51</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54.97</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45.02</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21</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55.71</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23.27</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21</w:t>
            </w:r>
          </w:p>
        </w:tc>
      </w:tr>
    </w:tbl>
    <w:p w:rsidR="0065390F" w:rsidRDefault="0065390F" w:rsidP="0065390F">
      <w:pPr>
        <w:ind w:left="360"/>
      </w:pPr>
    </w:p>
    <w:tbl>
      <w:tblPr>
        <w:tblStyle w:val="LightShading-Accent4"/>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tblGrid>
      <w:tr w:rsidR="0065390F" w:rsidRPr="00F97ABD" w:rsidTr="0065390F">
        <w:trPr>
          <w:cnfStyle w:val="100000000000"/>
          <w:trHeight w:val="300"/>
        </w:trPr>
        <w:tc>
          <w:tcPr>
            <w:cnfStyle w:val="001000000000"/>
            <w:tcW w:w="6679" w:type="dxa"/>
            <w:gridSpan w:val="6"/>
            <w:tcBorders>
              <w:top w:val="none" w:sz="0" w:space="0" w:color="auto"/>
              <w:left w:val="none" w:sz="0" w:space="0" w:color="auto"/>
              <w:bottom w:val="none" w:sz="0" w:space="0" w:color="auto"/>
              <w:right w:val="none" w:sz="0" w:space="0" w:color="auto"/>
            </w:tcBorders>
            <w:noWrap/>
            <w:hideMark/>
          </w:tcPr>
          <w:p w:rsidR="0065390F" w:rsidRPr="00F97ABD" w:rsidRDefault="0065390F" w:rsidP="009F7D1C">
            <w:pPr>
              <w:jc w:val="center"/>
              <w:rPr>
                <w:color w:val="000000"/>
                <w:sz w:val="22"/>
                <w:szCs w:val="22"/>
              </w:rPr>
            </w:pPr>
            <w:r>
              <w:rPr>
                <w:color w:val="000000"/>
                <w:sz w:val="22"/>
                <w:szCs w:val="22"/>
              </w:rPr>
              <w:t xml:space="preserve">SVR– </w:t>
            </w:r>
            <w:r w:rsidR="009F7D1C">
              <w:rPr>
                <w:color w:val="000000"/>
                <w:sz w:val="22"/>
                <w:szCs w:val="22"/>
              </w:rPr>
              <w:t>GA</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1.15</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w:t>
            </w:r>
            <w:r>
              <w:rPr>
                <w:color w:val="000000"/>
                <w:sz w:val="22"/>
                <w:szCs w:val="22"/>
              </w:rPr>
              <w:t>4</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58.1</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32.98</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8.92</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21</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32</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55.35</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13.4</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31.25</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24</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w:t>
            </w:r>
            <w:r>
              <w:rPr>
                <w:color w:val="000000"/>
                <w:sz w:val="22"/>
                <w:szCs w:val="22"/>
              </w:rPr>
              <w:t>1</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52.23</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46.64</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1.03</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14</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50</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55</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45.</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53</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54</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25</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21</w:t>
            </w:r>
          </w:p>
        </w:tc>
      </w:tr>
    </w:tbl>
    <w:p w:rsidR="0065390F" w:rsidRPr="00F97ABD" w:rsidRDefault="0065390F" w:rsidP="0065390F">
      <w:pPr>
        <w:ind w:left="360"/>
      </w:pPr>
    </w:p>
    <w:p w:rsidR="0065390F" w:rsidRPr="00F97ABD" w:rsidRDefault="0065390F" w:rsidP="0065390F">
      <w:pPr>
        <w:pStyle w:val="ListParagraph"/>
        <w:numPr>
          <w:ilvl w:val="0"/>
          <w:numId w:val="31"/>
        </w:numPr>
      </w:pPr>
      <w:r w:rsidRPr="00F97ABD">
        <w:t>Period = 10:</w:t>
      </w:r>
    </w:p>
    <w:tbl>
      <w:tblPr>
        <w:tblStyle w:val="LightShading-Accent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1082"/>
        <w:gridCol w:w="1973"/>
        <w:gridCol w:w="1050"/>
        <w:gridCol w:w="1674"/>
      </w:tblGrid>
      <w:tr w:rsidR="0065390F" w:rsidRPr="00F97ABD" w:rsidTr="0065390F">
        <w:trPr>
          <w:cnfStyle w:val="100000000000"/>
          <w:trHeight w:val="300"/>
        </w:trPr>
        <w:tc>
          <w:tcPr>
            <w:cnfStyle w:val="001000000000"/>
            <w:tcW w:w="9493" w:type="dxa"/>
            <w:gridSpan w:val="8"/>
            <w:tcBorders>
              <w:top w:val="none" w:sz="0" w:space="0" w:color="auto"/>
              <w:left w:val="none" w:sz="0" w:space="0" w:color="auto"/>
              <w:bottom w:val="none" w:sz="0" w:space="0" w:color="auto"/>
              <w:right w:val="none" w:sz="0" w:space="0" w:color="auto"/>
            </w:tcBorders>
            <w:noWrap/>
            <w:hideMark/>
          </w:tcPr>
          <w:p w:rsidR="0065390F" w:rsidRPr="00F97ABD" w:rsidRDefault="0065390F" w:rsidP="0065390F">
            <w:pPr>
              <w:jc w:val="center"/>
              <w:rPr>
                <w:color w:val="000000"/>
                <w:sz w:val="22"/>
                <w:szCs w:val="22"/>
              </w:rPr>
            </w:pPr>
            <w:r>
              <w:rPr>
                <w:color w:val="000000"/>
                <w:sz w:val="22"/>
                <w:szCs w:val="22"/>
              </w:rPr>
              <w:t>ANN</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SIGN(%)</w:t>
            </w:r>
          </w:p>
        </w:tc>
        <w:tc>
          <w:tcPr>
            <w:tcW w:w="376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c>
          <w:tcPr>
            <w:tcW w:w="2724" w:type="dxa"/>
            <w:gridSpan w:val="2"/>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Độ lỗi khi train</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108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NMSE</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Max Loop</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2.32</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39</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51.42</w:t>
            </w:r>
          </w:p>
        </w:tc>
        <w:tc>
          <w:tcPr>
            <w:tcW w:w="108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42.86</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5.71</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1.03</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lastRenderedPageBreak/>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1.09</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25</w:t>
            </w: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38.7</w:t>
            </w:r>
          </w:p>
        </w:tc>
        <w:tc>
          <w:tcPr>
            <w:tcW w:w="108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29.03</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32.25</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0.98</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2000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1.41</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61</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58.51</w:t>
            </w:r>
          </w:p>
        </w:tc>
        <w:tc>
          <w:tcPr>
            <w:tcW w:w="108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36.17</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5.31</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2.18</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0.93</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73</w:t>
            </w: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50</w:t>
            </w:r>
          </w:p>
        </w:tc>
        <w:tc>
          <w:tcPr>
            <w:tcW w:w="108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50</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1.07</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2000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1.35</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38.79</w:t>
            </w:r>
          </w:p>
        </w:tc>
        <w:tc>
          <w:tcPr>
            <w:tcW w:w="108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46.55</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14.66</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1.12</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bl>
    <w:p w:rsidR="0065390F" w:rsidRDefault="0065390F" w:rsidP="0065390F">
      <w:pPr>
        <w:ind w:left="360"/>
      </w:pPr>
    </w:p>
    <w:tbl>
      <w:tblPr>
        <w:tblStyle w:val="LightShading-Accent4"/>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tblGrid>
      <w:tr w:rsidR="0065390F" w:rsidRPr="00F97ABD" w:rsidTr="0065390F">
        <w:trPr>
          <w:cnfStyle w:val="100000000000"/>
          <w:trHeight w:val="300"/>
        </w:trPr>
        <w:tc>
          <w:tcPr>
            <w:cnfStyle w:val="001000000000"/>
            <w:tcW w:w="6679" w:type="dxa"/>
            <w:gridSpan w:val="6"/>
            <w:tcBorders>
              <w:top w:val="none" w:sz="0" w:space="0" w:color="auto"/>
              <w:left w:val="none" w:sz="0" w:space="0" w:color="auto"/>
              <w:bottom w:val="none" w:sz="0" w:space="0" w:color="auto"/>
              <w:right w:val="none" w:sz="0" w:space="0" w:color="auto"/>
            </w:tcBorders>
            <w:noWrap/>
            <w:hideMark/>
          </w:tcPr>
          <w:p w:rsidR="0065390F" w:rsidRPr="00F97ABD" w:rsidRDefault="0065390F" w:rsidP="0065390F">
            <w:pPr>
              <w:jc w:val="center"/>
              <w:rPr>
                <w:color w:val="000000"/>
                <w:sz w:val="22"/>
                <w:szCs w:val="22"/>
              </w:rPr>
            </w:pPr>
            <w:r>
              <w:rPr>
                <w:color w:val="000000"/>
                <w:sz w:val="22"/>
                <w:szCs w:val="22"/>
              </w:rPr>
              <w:t>SVR – Grid search</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1.67</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44</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56.66</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37.62</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5.71</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4</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31</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48.45</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19.29</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32.25</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1.18</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52.04</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42.64</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5.31</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66</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46</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52.43</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47.56</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0.99</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w:t>
            </w:r>
            <w:r w:rsidRPr="00F97ABD">
              <w:rPr>
                <w:color w:val="000000"/>
                <w:sz w:val="22"/>
                <w:szCs w:val="22"/>
              </w:rPr>
              <w:t>2</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48.33</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37</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14.66</w:t>
            </w:r>
          </w:p>
        </w:tc>
      </w:tr>
    </w:tbl>
    <w:p w:rsidR="0065390F" w:rsidRDefault="0065390F" w:rsidP="0065390F">
      <w:pPr>
        <w:ind w:left="360"/>
      </w:pPr>
    </w:p>
    <w:tbl>
      <w:tblPr>
        <w:tblStyle w:val="LightShading-Accent4"/>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tblGrid>
      <w:tr w:rsidR="0065390F" w:rsidRPr="00F97ABD" w:rsidTr="0065390F">
        <w:trPr>
          <w:cnfStyle w:val="100000000000"/>
          <w:trHeight w:val="300"/>
        </w:trPr>
        <w:tc>
          <w:tcPr>
            <w:cnfStyle w:val="001000000000"/>
            <w:tcW w:w="6679" w:type="dxa"/>
            <w:gridSpan w:val="6"/>
            <w:tcBorders>
              <w:top w:val="none" w:sz="0" w:space="0" w:color="auto"/>
              <w:left w:val="none" w:sz="0" w:space="0" w:color="auto"/>
              <w:bottom w:val="none" w:sz="0" w:space="0" w:color="auto"/>
              <w:right w:val="none" w:sz="0" w:space="0" w:color="auto"/>
            </w:tcBorders>
            <w:noWrap/>
            <w:hideMark/>
          </w:tcPr>
          <w:p w:rsidR="0065390F" w:rsidRPr="00F97ABD" w:rsidRDefault="0065390F" w:rsidP="009F7D1C">
            <w:pPr>
              <w:jc w:val="center"/>
              <w:rPr>
                <w:color w:val="000000"/>
                <w:sz w:val="22"/>
                <w:szCs w:val="22"/>
              </w:rPr>
            </w:pPr>
            <w:r>
              <w:rPr>
                <w:color w:val="000000"/>
                <w:sz w:val="22"/>
                <w:szCs w:val="22"/>
              </w:rPr>
              <w:t xml:space="preserve">SVR– </w:t>
            </w:r>
            <w:r w:rsidR="009F7D1C">
              <w:rPr>
                <w:color w:val="000000"/>
                <w:sz w:val="22"/>
                <w:szCs w:val="22"/>
              </w:rPr>
              <w:t>GA</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1.26</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w:t>
            </w:r>
            <w:r w:rsidR="009F7D1C">
              <w:rPr>
                <w:color w:val="000000"/>
                <w:sz w:val="22"/>
                <w:szCs w:val="22"/>
              </w:rPr>
              <w:t>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55.12</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39.16</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5.71</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56</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28</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46</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21.74</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32.25</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1.32</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40</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52.2</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42.48</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5.31</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59</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57</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52.13</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47.86</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1.03</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51</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45.3</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40.03</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14.66</w:t>
            </w:r>
          </w:p>
        </w:tc>
      </w:tr>
    </w:tbl>
    <w:p w:rsidR="0065390F" w:rsidRPr="00F97ABD" w:rsidRDefault="0065390F" w:rsidP="0065390F">
      <w:pPr>
        <w:ind w:left="360"/>
      </w:pPr>
    </w:p>
    <w:p w:rsidR="0065390F" w:rsidRPr="00F97ABD" w:rsidRDefault="0065390F" w:rsidP="0065390F">
      <w:pPr>
        <w:pStyle w:val="ListParagraph"/>
        <w:numPr>
          <w:ilvl w:val="0"/>
          <w:numId w:val="31"/>
        </w:numPr>
      </w:pPr>
      <w:r w:rsidRPr="00F97ABD">
        <w:t>Period = 30:</w:t>
      </w:r>
    </w:p>
    <w:tbl>
      <w:tblPr>
        <w:tblStyle w:val="LightShading-Accent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1082"/>
        <w:gridCol w:w="1973"/>
        <w:gridCol w:w="1050"/>
        <w:gridCol w:w="1674"/>
      </w:tblGrid>
      <w:tr w:rsidR="0065390F" w:rsidRPr="00F97ABD" w:rsidTr="0065390F">
        <w:trPr>
          <w:cnfStyle w:val="100000000000"/>
          <w:trHeight w:val="300"/>
        </w:trPr>
        <w:tc>
          <w:tcPr>
            <w:cnfStyle w:val="001000000000"/>
            <w:tcW w:w="9493" w:type="dxa"/>
            <w:gridSpan w:val="8"/>
            <w:noWrap/>
            <w:hideMark/>
          </w:tcPr>
          <w:p w:rsidR="0065390F" w:rsidRPr="00F97ABD" w:rsidRDefault="0065390F" w:rsidP="0065390F">
            <w:pPr>
              <w:jc w:val="center"/>
              <w:rPr>
                <w:color w:val="000000"/>
                <w:sz w:val="22"/>
                <w:szCs w:val="22"/>
              </w:rPr>
            </w:pPr>
            <w:r>
              <w:rPr>
                <w:color w:val="000000"/>
                <w:sz w:val="22"/>
                <w:szCs w:val="22"/>
              </w:rPr>
              <w:t>ANN</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SIGN(%)</w:t>
            </w:r>
          </w:p>
        </w:tc>
        <w:tc>
          <w:tcPr>
            <w:tcW w:w="376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c>
          <w:tcPr>
            <w:tcW w:w="2724" w:type="dxa"/>
            <w:gridSpan w:val="2"/>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Độ lỗi khi train</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108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NMSE</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Max Loop</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0.91</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46</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51.01</w:t>
            </w:r>
          </w:p>
        </w:tc>
        <w:tc>
          <w:tcPr>
            <w:tcW w:w="108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42.93</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6.06</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0.98</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2.57</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68</w:t>
            </w: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39.5</w:t>
            </w:r>
          </w:p>
        </w:tc>
        <w:tc>
          <w:tcPr>
            <w:tcW w:w="108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29.63</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30.86</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1.15</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2000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1.89</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57.31</w:t>
            </w:r>
          </w:p>
        </w:tc>
        <w:tc>
          <w:tcPr>
            <w:tcW w:w="108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40.24</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2.43</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1.04</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1.18</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79</w:t>
            </w: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48.75</w:t>
            </w:r>
          </w:p>
        </w:tc>
        <w:tc>
          <w:tcPr>
            <w:tcW w:w="108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51.25</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c>
          <w:tcPr>
            <w:tcW w:w="1050"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1.04</w:t>
            </w:r>
          </w:p>
        </w:tc>
        <w:tc>
          <w:tcPr>
            <w:tcW w:w="1674"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2000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1.41</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52</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44.23</w:t>
            </w:r>
          </w:p>
        </w:tc>
        <w:tc>
          <w:tcPr>
            <w:tcW w:w="108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35.58</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20.19</w:t>
            </w:r>
          </w:p>
        </w:tc>
        <w:tc>
          <w:tcPr>
            <w:tcW w:w="1050"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1.17</w:t>
            </w:r>
          </w:p>
        </w:tc>
        <w:tc>
          <w:tcPr>
            <w:tcW w:w="1674"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2000</w:t>
            </w:r>
          </w:p>
        </w:tc>
      </w:tr>
    </w:tbl>
    <w:p w:rsidR="0065390F" w:rsidRDefault="0065390F" w:rsidP="0065390F"/>
    <w:tbl>
      <w:tblPr>
        <w:tblStyle w:val="LightShading-Accent4"/>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tblGrid>
      <w:tr w:rsidR="0065390F" w:rsidRPr="00F97ABD" w:rsidTr="0065390F">
        <w:trPr>
          <w:cnfStyle w:val="100000000000"/>
          <w:trHeight w:val="300"/>
        </w:trPr>
        <w:tc>
          <w:tcPr>
            <w:cnfStyle w:val="001000000000"/>
            <w:tcW w:w="6679" w:type="dxa"/>
            <w:gridSpan w:val="6"/>
            <w:tcBorders>
              <w:top w:val="none" w:sz="0" w:space="0" w:color="auto"/>
              <w:left w:val="none" w:sz="0" w:space="0" w:color="auto"/>
              <w:bottom w:val="none" w:sz="0" w:space="0" w:color="auto"/>
              <w:right w:val="none" w:sz="0" w:space="0" w:color="auto"/>
            </w:tcBorders>
            <w:noWrap/>
            <w:hideMark/>
          </w:tcPr>
          <w:p w:rsidR="0065390F" w:rsidRPr="00F97ABD" w:rsidRDefault="0065390F" w:rsidP="0065390F">
            <w:pPr>
              <w:jc w:val="center"/>
              <w:rPr>
                <w:color w:val="000000"/>
                <w:sz w:val="22"/>
                <w:szCs w:val="22"/>
              </w:rPr>
            </w:pPr>
            <w:r>
              <w:rPr>
                <w:color w:val="000000"/>
                <w:sz w:val="22"/>
                <w:szCs w:val="22"/>
              </w:rPr>
              <w:t>SVR – Grid search</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84</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47</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50.75</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43.18</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6.06</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89</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48</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45.16</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23.98</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30.86</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lastRenderedPageBreak/>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3.47</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56</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54.78</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42.78</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2.43</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6</w:t>
            </w:r>
          </w:p>
        </w:tc>
        <w:tc>
          <w:tcPr>
            <w:tcW w:w="1107"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41</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49.03</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50.93</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3.6</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52</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45.26</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34.54</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20.19</w:t>
            </w:r>
          </w:p>
        </w:tc>
      </w:tr>
    </w:tbl>
    <w:p w:rsidR="0065390F" w:rsidRDefault="0065390F" w:rsidP="0065390F"/>
    <w:tbl>
      <w:tblPr>
        <w:tblStyle w:val="LightShading-Accent4"/>
        <w:tblW w:w="6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8"/>
        <w:gridCol w:w="948"/>
        <w:gridCol w:w="1107"/>
        <w:gridCol w:w="711"/>
        <w:gridCol w:w="992"/>
        <w:gridCol w:w="1973"/>
      </w:tblGrid>
      <w:tr w:rsidR="0065390F" w:rsidRPr="00F97ABD" w:rsidTr="0065390F">
        <w:trPr>
          <w:cnfStyle w:val="100000000000"/>
          <w:trHeight w:val="300"/>
        </w:trPr>
        <w:tc>
          <w:tcPr>
            <w:cnfStyle w:val="001000000000"/>
            <w:tcW w:w="6679" w:type="dxa"/>
            <w:gridSpan w:val="6"/>
            <w:tcBorders>
              <w:top w:val="none" w:sz="0" w:space="0" w:color="auto"/>
              <w:left w:val="none" w:sz="0" w:space="0" w:color="auto"/>
              <w:bottom w:val="none" w:sz="0" w:space="0" w:color="auto"/>
              <w:right w:val="none" w:sz="0" w:space="0" w:color="auto"/>
            </w:tcBorders>
            <w:noWrap/>
            <w:hideMark/>
          </w:tcPr>
          <w:p w:rsidR="0065390F" w:rsidRPr="00F97ABD" w:rsidRDefault="0065390F" w:rsidP="009F7D1C">
            <w:pPr>
              <w:jc w:val="center"/>
              <w:rPr>
                <w:color w:val="000000"/>
                <w:sz w:val="22"/>
                <w:szCs w:val="22"/>
              </w:rPr>
            </w:pPr>
            <w:r>
              <w:rPr>
                <w:color w:val="000000"/>
                <w:sz w:val="22"/>
                <w:szCs w:val="22"/>
              </w:rPr>
              <w:t xml:space="preserve">SVR– </w:t>
            </w:r>
            <w:r w:rsidR="009F7D1C">
              <w:rPr>
                <w:color w:val="000000"/>
                <w:sz w:val="22"/>
                <w:szCs w:val="22"/>
              </w:rPr>
              <w:t>GA</w:t>
            </w:r>
          </w:p>
        </w:tc>
      </w:tr>
      <w:tr w:rsidR="0065390F" w:rsidRPr="00F97ABD" w:rsidTr="0065390F">
        <w:trPr>
          <w:cnfStyle w:val="000000100000"/>
          <w:trHeight w:val="300"/>
        </w:trPr>
        <w:tc>
          <w:tcPr>
            <w:cnfStyle w:val="001000000000"/>
            <w:tcW w:w="948" w:type="dxa"/>
            <w:vMerge w:val="restart"/>
            <w:tcBorders>
              <w:left w:val="none" w:sz="0" w:space="0" w:color="auto"/>
              <w:right w:val="none" w:sz="0" w:space="0" w:color="auto"/>
            </w:tcBorders>
            <w:noWrap/>
            <w:hideMark/>
          </w:tcPr>
          <w:p w:rsidR="0065390F" w:rsidRPr="00F97ABD" w:rsidRDefault="0065390F" w:rsidP="0065390F">
            <w:pPr>
              <w:jc w:val="center"/>
              <w:rPr>
                <w:color w:val="000000"/>
                <w:sz w:val="22"/>
                <w:szCs w:val="22"/>
              </w:rPr>
            </w:pPr>
          </w:p>
        </w:tc>
        <w:tc>
          <w:tcPr>
            <w:tcW w:w="948"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NMSE</w:t>
            </w:r>
          </w:p>
        </w:tc>
        <w:tc>
          <w:tcPr>
            <w:tcW w:w="1107" w:type="dxa"/>
            <w:vMerge w:val="restart"/>
            <w:tcBorders>
              <w:left w:val="none" w:sz="0" w:space="0" w:color="auto"/>
              <w:right w:val="none" w:sz="0" w:space="0" w:color="auto"/>
            </w:tcBorders>
            <w:noWrap/>
            <w:hideMark/>
          </w:tcPr>
          <w:p w:rsidR="0065390F" w:rsidRPr="00F97ABD" w:rsidRDefault="0065390F" w:rsidP="0065390F">
            <w:pPr>
              <w:cnfStyle w:val="000000100000"/>
              <w:rPr>
                <w:color w:val="000000"/>
                <w:sz w:val="22"/>
                <w:szCs w:val="22"/>
              </w:rPr>
            </w:pPr>
            <w:r w:rsidRPr="00F97ABD">
              <w:rPr>
                <w:color w:val="000000"/>
                <w:sz w:val="22"/>
                <w:szCs w:val="22"/>
              </w:rPr>
              <w:t>SIGN(%)</w:t>
            </w:r>
          </w:p>
        </w:tc>
        <w:tc>
          <w:tcPr>
            <w:tcW w:w="3676" w:type="dxa"/>
            <w:gridSpan w:val="3"/>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DM4Price(%)</w:t>
            </w:r>
          </w:p>
        </w:tc>
      </w:tr>
      <w:tr w:rsidR="0065390F" w:rsidRPr="00F97ABD" w:rsidTr="0065390F">
        <w:trPr>
          <w:trHeight w:val="300"/>
        </w:trPr>
        <w:tc>
          <w:tcPr>
            <w:cnfStyle w:val="001000000000"/>
            <w:tcW w:w="948" w:type="dxa"/>
            <w:vMerge/>
            <w:hideMark/>
          </w:tcPr>
          <w:p w:rsidR="0065390F" w:rsidRPr="00F97ABD" w:rsidRDefault="0065390F" w:rsidP="0065390F">
            <w:pPr>
              <w:jc w:val="left"/>
              <w:rPr>
                <w:color w:val="000000"/>
                <w:sz w:val="22"/>
                <w:szCs w:val="22"/>
              </w:rPr>
            </w:pPr>
          </w:p>
        </w:tc>
        <w:tc>
          <w:tcPr>
            <w:tcW w:w="948" w:type="dxa"/>
            <w:vMerge/>
            <w:hideMark/>
          </w:tcPr>
          <w:p w:rsidR="0065390F" w:rsidRPr="00F97ABD" w:rsidRDefault="0065390F" w:rsidP="0065390F">
            <w:pPr>
              <w:jc w:val="left"/>
              <w:cnfStyle w:val="000000000000"/>
              <w:rPr>
                <w:color w:val="000000"/>
                <w:sz w:val="22"/>
                <w:szCs w:val="22"/>
              </w:rPr>
            </w:pPr>
          </w:p>
        </w:tc>
        <w:tc>
          <w:tcPr>
            <w:tcW w:w="1107" w:type="dxa"/>
            <w:vMerge/>
            <w:hideMark/>
          </w:tcPr>
          <w:p w:rsidR="0065390F" w:rsidRPr="00F97ABD" w:rsidRDefault="0065390F" w:rsidP="0065390F">
            <w:pPr>
              <w:jc w:val="left"/>
              <w:cnfStyle w:val="000000000000"/>
              <w:rPr>
                <w:color w:val="000000"/>
                <w:sz w:val="22"/>
                <w:szCs w:val="22"/>
              </w:rPr>
            </w:pPr>
          </w:p>
        </w:tc>
        <w:tc>
          <w:tcPr>
            <w:tcW w:w="711"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Right</w:t>
            </w:r>
          </w:p>
        </w:tc>
        <w:tc>
          <w:tcPr>
            <w:tcW w:w="992"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Wrong</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Cannot measure</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BT6</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1.</w:t>
            </w:r>
            <w:r>
              <w:rPr>
                <w:color w:val="000000"/>
                <w:sz w:val="22"/>
                <w:szCs w:val="22"/>
              </w:rPr>
              <w:t>62</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48</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50</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43.94</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6.06</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DHG</w:t>
            </w:r>
          </w:p>
        </w:tc>
        <w:tc>
          <w:tcPr>
            <w:tcW w:w="948"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1.</w:t>
            </w:r>
            <w:r>
              <w:rPr>
                <w:color w:val="000000"/>
                <w:sz w:val="22"/>
                <w:szCs w:val="22"/>
              </w:rPr>
              <w:t>54</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46</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44.9</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24.25</w:t>
            </w:r>
          </w:p>
        </w:tc>
        <w:tc>
          <w:tcPr>
            <w:tcW w:w="1973" w:type="dxa"/>
            <w:noWrap/>
            <w:hideMark/>
          </w:tcPr>
          <w:p w:rsidR="0065390F" w:rsidRPr="00F97ABD" w:rsidRDefault="0065390F" w:rsidP="0065390F">
            <w:pPr>
              <w:jc w:val="center"/>
              <w:cnfStyle w:val="000000000000"/>
              <w:rPr>
                <w:color w:val="000000"/>
                <w:sz w:val="22"/>
                <w:szCs w:val="22"/>
              </w:rPr>
            </w:pPr>
            <w:r>
              <w:rPr>
                <w:color w:val="000000"/>
                <w:sz w:val="22"/>
                <w:szCs w:val="22"/>
              </w:rPr>
              <w:t>30.86</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FPT</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2.12</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55</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54.59</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42.98</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2.43</w:t>
            </w:r>
          </w:p>
        </w:tc>
      </w:tr>
      <w:tr w:rsidR="0065390F" w:rsidRPr="00F97ABD" w:rsidTr="0065390F">
        <w:trPr>
          <w:trHeight w:val="300"/>
        </w:trPr>
        <w:tc>
          <w:tcPr>
            <w:cnfStyle w:val="001000000000"/>
            <w:tcW w:w="948" w:type="dxa"/>
            <w:noWrap/>
            <w:hideMark/>
          </w:tcPr>
          <w:p w:rsidR="0065390F" w:rsidRPr="00F97ABD" w:rsidRDefault="0065390F" w:rsidP="0065390F">
            <w:pPr>
              <w:jc w:val="center"/>
              <w:rPr>
                <w:color w:val="000000"/>
                <w:sz w:val="22"/>
                <w:szCs w:val="22"/>
              </w:rPr>
            </w:pPr>
            <w:r w:rsidRPr="00F97ABD">
              <w:rPr>
                <w:color w:val="000000"/>
                <w:sz w:val="22"/>
                <w:szCs w:val="22"/>
              </w:rPr>
              <w:t>VIS</w:t>
            </w:r>
          </w:p>
        </w:tc>
        <w:tc>
          <w:tcPr>
            <w:tcW w:w="948" w:type="dxa"/>
            <w:noWrap/>
            <w:hideMark/>
          </w:tcPr>
          <w:p w:rsidR="0065390F" w:rsidRPr="00F97ABD" w:rsidRDefault="0065390F" w:rsidP="0065390F">
            <w:pPr>
              <w:jc w:val="center"/>
              <w:cnfStyle w:val="000000000000"/>
              <w:rPr>
                <w:color w:val="000000"/>
                <w:sz w:val="22"/>
                <w:szCs w:val="22"/>
              </w:rPr>
            </w:pPr>
            <w:r>
              <w:rPr>
                <w:color w:val="000000"/>
                <w:sz w:val="22"/>
                <w:szCs w:val="22"/>
              </w:rPr>
              <w:t>1.9</w:t>
            </w:r>
          </w:p>
        </w:tc>
        <w:tc>
          <w:tcPr>
            <w:tcW w:w="1107" w:type="dxa"/>
            <w:noWrap/>
            <w:hideMark/>
          </w:tcPr>
          <w:p w:rsidR="0065390F" w:rsidRPr="00F97ABD" w:rsidRDefault="0065390F" w:rsidP="0065390F">
            <w:pPr>
              <w:jc w:val="center"/>
              <w:cnfStyle w:val="000000000000"/>
              <w:rPr>
                <w:color w:val="000000"/>
                <w:sz w:val="22"/>
                <w:szCs w:val="22"/>
              </w:rPr>
            </w:pPr>
            <w:r>
              <w:rPr>
                <w:color w:val="000000"/>
                <w:sz w:val="22"/>
                <w:szCs w:val="22"/>
              </w:rPr>
              <w:t>40</w:t>
            </w:r>
          </w:p>
        </w:tc>
        <w:tc>
          <w:tcPr>
            <w:tcW w:w="711" w:type="dxa"/>
            <w:noWrap/>
            <w:hideMark/>
          </w:tcPr>
          <w:p w:rsidR="0065390F" w:rsidRPr="00F97ABD" w:rsidRDefault="0065390F" w:rsidP="0065390F">
            <w:pPr>
              <w:jc w:val="center"/>
              <w:cnfStyle w:val="000000000000"/>
              <w:rPr>
                <w:color w:val="000000"/>
                <w:sz w:val="22"/>
                <w:szCs w:val="22"/>
              </w:rPr>
            </w:pPr>
            <w:r>
              <w:rPr>
                <w:color w:val="000000"/>
                <w:sz w:val="22"/>
                <w:szCs w:val="22"/>
              </w:rPr>
              <w:t>46.2</w:t>
            </w:r>
          </w:p>
        </w:tc>
        <w:tc>
          <w:tcPr>
            <w:tcW w:w="992" w:type="dxa"/>
            <w:noWrap/>
            <w:hideMark/>
          </w:tcPr>
          <w:p w:rsidR="0065390F" w:rsidRPr="00F97ABD" w:rsidRDefault="0065390F" w:rsidP="0065390F">
            <w:pPr>
              <w:jc w:val="center"/>
              <w:cnfStyle w:val="000000000000"/>
              <w:rPr>
                <w:color w:val="000000"/>
                <w:sz w:val="22"/>
                <w:szCs w:val="22"/>
              </w:rPr>
            </w:pPr>
            <w:r>
              <w:rPr>
                <w:color w:val="000000"/>
                <w:sz w:val="22"/>
                <w:szCs w:val="22"/>
              </w:rPr>
              <w:t>53.78</w:t>
            </w:r>
          </w:p>
        </w:tc>
        <w:tc>
          <w:tcPr>
            <w:tcW w:w="1973" w:type="dxa"/>
            <w:noWrap/>
            <w:hideMark/>
          </w:tcPr>
          <w:p w:rsidR="0065390F" w:rsidRPr="00F97ABD" w:rsidRDefault="0065390F" w:rsidP="0065390F">
            <w:pPr>
              <w:jc w:val="center"/>
              <w:cnfStyle w:val="000000000000"/>
              <w:rPr>
                <w:color w:val="000000"/>
                <w:sz w:val="22"/>
                <w:szCs w:val="22"/>
              </w:rPr>
            </w:pPr>
            <w:r w:rsidRPr="00F97ABD">
              <w:rPr>
                <w:color w:val="000000"/>
                <w:sz w:val="22"/>
                <w:szCs w:val="22"/>
              </w:rPr>
              <w:t>0</w:t>
            </w:r>
          </w:p>
        </w:tc>
      </w:tr>
      <w:tr w:rsidR="0065390F" w:rsidRPr="00F97ABD" w:rsidTr="0065390F">
        <w:trPr>
          <w:cnfStyle w:val="000000100000"/>
          <w:trHeight w:val="300"/>
        </w:trPr>
        <w:tc>
          <w:tcPr>
            <w:cnfStyle w:val="001000000000"/>
            <w:tcW w:w="948" w:type="dxa"/>
            <w:tcBorders>
              <w:left w:val="none" w:sz="0" w:space="0" w:color="auto"/>
              <w:right w:val="none" w:sz="0" w:space="0" w:color="auto"/>
            </w:tcBorders>
            <w:noWrap/>
            <w:hideMark/>
          </w:tcPr>
          <w:p w:rsidR="0065390F" w:rsidRPr="00F97ABD" w:rsidRDefault="0065390F" w:rsidP="0065390F">
            <w:pPr>
              <w:jc w:val="center"/>
              <w:rPr>
                <w:color w:val="000000"/>
                <w:sz w:val="22"/>
                <w:szCs w:val="22"/>
              </w:rPr>
            </w:pPr>
            <w:r w:rsidRPr="00F97ABD">
              <w:rPr>
                <w:color w:val="000000"/>
                <w:sz w:val="22"/>
                <w:szCs w:val="22"/>
              </w:rPr>
              <w:t>VNM</w:t>
            </w:r>
          </w:p>
        </w:tc>
        <w:tc>
          <w:tcPr>
            <w:tcW w:w="948"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3.76</w:t>
            </w:r>
          </w:p>
        </w:tc>
        <w:tc>
          <w:tcPr>
            <w:tcW w:w="1107"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52</w:t>
            </w:r>
          </w:p>
        </w:tc>
        <w:tc>
          <w:tcPr>
            <w:tcW w:w="711"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48.2</w:t>
            </w:r>
          </w:p>
        </w:tc>
        <w:tc>
          <w:tcPr>
            <w:tcW w:w="992"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Pr>
                <w:color w:val="000000"/>
                <w:sz w:val="22"/>
                <w:szCs w:val="22"/>
              </w:rPr>
              <w:t>31.61</w:t>
            </w:r>
          </w:p>
        </w:tc>
        <w:tc>
          <w:tcPr>
            <w:tcW w:w="1973" w:type="dxa"/>
            <w:tcBorders>
              <w:left w:val="none" w:sz="0" w:space="0" w:color="auto"/>
              <w:right w:val="none" w:sz="0" w:space="0" w:color="auto"/>
            </w:tcBorders>
            <w:noWrap/>
            <w:hideMark/>
          </w:tcPr>
          <w:p w:rsidR="0065390F" w:rsidRPr="00F97ABD" w:rsidRDefault="0065390F" w:rsidP="0065390F">
            <w:pPr>
              <w:jc w:val="center"/>
              <w:cnfStyle w:val="000000100000"/>
              <w:rPr>
                <w:color w:val="000000"/>
                <w:sz w:val="22"/>
                <w:szCs w:val="22"/>
              </w:rPr>
            </w:pPr>
            <w:r w:rsidRPr="00F97ABD">
              <w:rPr>
                <w:color w:val="000000"/>
                <w:sz w:val="22"/>
                <w:szCs w:val="22"/>
              </w:rPr>
              <w:t>20.19</w:t>
            </w:r>
          </w:p>
        </w:tc>
      </w:tr>
    </w:tbl>
    <w:p w:rsidR="0065390F" w:rsidRDefault="0065390F" w:rsidP="0018620F"/>
    <w:p w:rsidR="00A13DAA" w:rsidRPr="00A13DAA" w:rsidRDefault="009231C5" w:rsidP="007B2B9E">
      <w:r>
        <w:t>Ta thấy, mặc dù có cải tiến, nhưng kết quả đạt được vấn không cao. SVR vẫn nhỉnh hơn ANN tuy nhiên kết quả chỉ khiêm tốn xoay quanh mức 50%.</w:t>
      </w:r>
    </w:p>
    <w:p w:rsidR="00A75623" w:rsidRDefault="00A75623" w:rsidP="004646E8">
      <w:pPr>
        <w:pStyle w:val="Heading1"/>
        <w:spacing w:line="360" w:lineRule="auto"/>
      </w:pPr>
      <w:bookmarkStart w:id="7" w:name="_Toc285058281"/>
      <w:r>
        <w:t>KẾT LUẬN</w:t>
      </w:r>
      <w:bookmarkEnd w:id="7"/>
    </w:p>
    <w:p w:rsidR="00F10931" w:rsidRDefault="00E42046" w:rsidP="004646E8">
      <w:pPr>
        <w:spacing w:line="360" w:lineRule="auto"/>
      </w:pPr>
      <w:r>
        <w:t xml:space="preserve">Về phần SVR cho xu hướng, sự so sánh tương quan kết quả trong [1] và kiểm thử với nhiều </w:t>
      </w:r>
      <w:r w:rsidR="009231C5">
        <w:t>cổ phiếu Việt Nam</w:t>
      </w:r>
      <w:r>
        <w:t>, ta rút ra được một vài kết luận sau đây:</w:t>
      </w:r>
    </w:p>
    <w:p w:rsidR="00E42046" w:rsidRDefault="00E42046" w:rsidP="004646E8">
      <w:pPr>
        <w:pStyle w:val="ListParagraph"/>
        <w:numPr>
          <w:ilvl w:val="0"/>
          <w:numId w:val="21"/>
        </w:numPr>
        <w:spacing w:line="360" w:lineRule="auto"/>
      </w:pPr>
      <w:r>
        <w:t xml:space="preserve">So sánh với [1], kết quả </w:t>
      </w:r>
      <w:r w:rsidR="009231C5">
        <w:t>cải tiến cho một cải thiện nho nhỏ về độ chính xác. GA và Grid search chưa cho thấy sự vượt trội hẳn về kết quả dự đoán.</w:t>
      </w:r>
    </w:p>
    <w:p w:rsidR="009231C5" w:rsidRDefault="009231C5" w:rsidP="004646E8">
      <w:pPr>
        <w:pStyle w:val="ListParagraph"/>
        <w:numPr>
          <w:ilvl w:val="0"/>
          <w:numId w:val="21"/>
        </w:numPr>
        <w:spacing w:line="360" w:lineRule="auto"/>
      </w:pPr>
      <w:r>
        <w:t>Với các mã Việt Nam, phần đầu vào có cải thiện kết quả chính xác. Tuy nhiên, phần trăm chính xác vẫn chưa thỏa mãn, GA và Grid vẫn ở thế giằng co.</w:t>
      </w:r>
    </w:p>
    <w:p w:rsidR="004646E8" w:rsidRDefault="004646E8" w:rsidP="004646E8">
      <w:pPr>
        <w:spacing w:line="360" w:lineRule="auto"/>
      </w:pPr>
      <w:r>
        <w:t xml:space="preserve">   Về phầ</w:t>
      </w:r>
      <w:r w:rsidR="009231C5">
        <w:t>n ANN, kết quả vẫn kém hơn SVR dù có một số cải thiện trong tính toán. Bên cạnh đó, thỉnh thoảng kết quả ANN lại tốt hơn ở period cao.</w:t>
      </w:r>
    </w:p>
    <w:p w:rsidR="009231C5" w:rsidRPr="00F10931" w:rsidRDefault="009231C5" w:rsidP="004646E8">
      <w:pPr>
        <w:spacing w:line="360" w:lineRule="auto"/>
      </w:pPr>
      <w:r>
        <w:t xml:space="preserve"> Có thể nói, </w:t>
      </w:r>
      <w:r w:rsidR="007B2B9E">
        <w:t>sự không cải thiện kết quả ở các cổ phiếu Việt Nam phần nhiều là do sự non trẻ của thị trường. Các phiên giao dịch có biểu đồ giá nằm ngang dẫn đến việc dự đoán sai. Hơn nữa, trong mô hình hồi quy, đặc biệt là SVR, không thể định được ngưỡng để xác định khi nào giá không đổi. Nguyên nhân là do tính tổng quát hóa ở mô hình này nên đường hồi quy chỉ giao động vây quanh 0.</w:t>
      </w:r>
    </w:p>
    <w:p w:rsidR="00E56AA1" w:rsidRDefault="00A75623" w:rsidP="004646E8">
      <w:pPr>
        <w:pStyle w:val="Heading1"/>
        <w:spacing w:line="360" w:lineRule="auto"/>
      </w:pPr>
      <w:bookmarkStart w:id="8" w:name="_Toc285058282"/>
      <w:r>
        <w:lastRenderedPageBreak/>
        <w:t>CÔNG VIỆC TƯƠNG LAI</w:t>
      </w:r>
      <w:bookmarkEnd w:id="8"/>
    </w:p>
    <w:p w:rsidR="00E56AA1" w:rsidRDefault="00163924" w:rsidP="004646E8">
      <w:pPr>
        <w:spacing w:line="360" w:lineRule="auto"/>
      </w:pPr>
      <w:r>
        <w:t xml:space="preserve">    Từ kết luận trên, ta rút ra được một vài điều cần làm sắp tới như sau:</w:t>
      </w:r>
    </w:p>
    <w:p w:rsidR="007B2B9E" w:rsidRDefault="007B2B9E" w:rsidP="007B2B9E">
      <w:pPr>
        <w:pStyle w:val="ListParagraph"/>
        <w:numPr>
          <w:ilvl w:val="0"/>
          <w:numId w:val="21"/>
        </w:numPr>
        <w:spacing w:line="360" w:lineRule="auto"/>
      </w:pPr>
      <w:r>
        <w:t>Thay đổi để mô hình nhận hẳn kết quả đầu ra là -1 0 1.</w:t>
      </w:r>
    </w:p>
    <w:p w:rsidR="007B2B9E" w:rsidRDefault="007B2B9E" w:rsidP="007B2B9E">
      <w:pPr>
        <w:pStyle w:val="ListParagraph"/>
        <w:numPr>
          <w:ilvl w:val="0"/>
          <w:numId w:val="21"/>
        </w:numPr>
        <w:spacing w:line="360" w:lineRule="auto"/>
      </w:pPr>
      <w:r>
        <w:t>Để có được kết quả đầu ra như trên, ANN với 1 node đầu ra sẽ chuyển thành 3 node, SVR sẽ không được sử dụng mà thay bằng SVC (SVM cho phân lớp).</w:t>
      </w:r>
    </w:p>
    <w:p w:rsidR="007B2B9E" w:rsidRDefault="007B2B9E" w:rsidP="007B2B9E">
      <w:pPr>
        <w:pStyle w:val="ListParagraph"/>
        <w:numPr>
          <w:ilvl w:val="0"/>
          <w:numId w:val="21"/>
        </w:numPr>
        <w:spacing w:line="360" w:lineRule="auto"/>
      </w:pPr>
      <w:r>
        <w:t>Tuy nhiên vẫn cần có một định nghĩa chặt chẽ cho xu hướng</w:t>
      </w:r>
      <w:r w:rsidR="0022367C">
        <w:t xml:space="preserve"> để đảm bảo bài toán giải quyết tốt vấn  đề chứng khoán thực tế ( Xu hương tăng hay giảm không hẳn là giá tăng hay giảm sau một chu kỳ)</w:t>
      </w:r>
      <w:r w:rsidR="00AB7552">
        <w:t>. Trong [2], xu hướng tăng (giảm) được định nghĩa chặt chẽ như sau:</w:t>
      </w:r>
    </w:p>
    <w:p w:rsidR="00AB7552" w:rsidRDefault="00AB7552" w:rsidP="00AB7552">
      <w:pPr>
        <w:pStyle w:val="ListParagraph"/>
        <w:numPr>
          <w:ilvl w:val="1"/>
          <w:numId w:val="21"/>
        </w:numPr>
        <w:spacing w:line="360" w:lineRule="auto"/>
      </w:pPr>
      <w:r>
        <w:t>Giá đóng cửa phải cao hơn (thấp hơn) giá trung bình trượt 25 ngày.</w:t>
      </w:r>
    </w:p>
    <w:p w:rsidR="00AB7552" w:rsidRDefault="00AB7552" w:rsidP="00AB7552">
      <w:pPr>
        <w:pStyle w:val="ListParagraph"/>
        <w:numPr>
          <w:ilvl w:val="1"/>
          <w:numId w:val="21"/>
        </w:numPr>
        <w:spacing w:line="360" w:lineRule="auto"/>
      </w:pPr>
      <w:r>
        <w:t>Giá trung bình trượt 25 ngày phải cao hơn (thấp hơn) giá trung bình trượt 65 ngày.</w:t>
      </w:r>
    </w:p>
    <w:p w:rsidR="00AB7552" w:rsidRDefault="00AB7552" w:rsidP="00AB7552">
      <w:pPr>
        <w:pStyle w:val="ListParagraph"/>
        <w:numPr>
          <w:ilvl w:val="1"/>
          <w:numId w:val="21"/>
        </w:numPr>
        <w:spacing w:line="360" w:lineRule="auto"/>
      </w:pPr>
      <w:r>
        <w:t>Giá trung bình 25 ngày phải tăng (giảm) trong ít nhất 5 ngày.</w:t>
      </w:r>
    </w:p>
    <w:p w:rsidR="00AB7552" w:rsidRDefault="00AB7552" w:rsidP="00AB7552">
      <w:pPr>
        <w:pStyle w:val="ListParagraph"/>
        <w:numPr>
          <w:ilvl w:val="1"/>
          <w:numId w:val="21"/>
        </w:numPr>
        <w:spacing w:line="360" w:lineRule="auto"/>
      </w:pPr>
      <w:r>
        <w:t>Giá trung bình 65 ngày phải tăng (giảm) trong ít nhất 1 ngày.</w:t>
      </w:r>
    </w:p>
    <w:p w:rsidR="00AB7552" w:rsidRDefault="00AB7552" w:rsidP="00AB7552">
      <w:pPr>
        <w:spacing w:line="360" w:lineRule="auto"/>
        <w:ind w:left="1080"/>
      </w:pPr>
      <w:r>
        <w:t xml:space="preserve">Xu hương tăng (giảm) phải thỏa 4 tiêu chí trên, nếu không </w:t>
      </w:r>
      <w:r w:rsidR="00684223">
        <w:t>giá sẽ ở trạng thái không có xu hướng.</w:t>
      </w:r>
    </w:p>
    <w:p w:rsidR="0022367C" w:rsidRDefault="0022367C" w:rsidP="007B2B9E">
      <w:pPr>
        <w:pStyle w:val="ListParagraph"/>
        <w:numPr>
          <w:ilvl w:val="0"/>
          <w:numId w:val="21"/>
        </w:numPr>
        <w:spacing w:line="360" w:lineRule="auto"/>
      </w:pPr>
      <w:r>
        <w:t>Sau khi có được mô hình trên, sẽ lần lượt tiến hành them vào các cải tiến đã đề cập, để đảm bảo mô hình hoàn thiện.</w:t>
      </w:r>
    </w:p>
    <w:p w:rsidR="00A75623" w:rsidRDefault="00A75623" w:rsidP="004646E8">
      <w:pPr>
        <w:pStyle w:val="Heading1"/>
        <w:spacing w:line="360" w:lineRule="auto"/>
      </w:pPr>
      <w:bookmarkStart w:id="9" w:name="_Toc285058283"/>
      <w:r>
        <w:t>TÀI LIỆU THAM KHẢO</w:t>
      </w:r>
      <w:bookmarkEnd w:id="9"/>
    </w:p>
    <w:p w:rsidR="00F10931" w:rsidRDefault="00F10931" w:rsidP="004646E8">
      <w:pPr>
        <w:spacing w:line="360" w:lineRule="auto"/>
        <w:jc w:val="left"/>
        <w:rPr>
          <w:iCs/>
          <w:sz w:val="28"/>
          <w:szCs w:val="28"/>
        </w:rPr>
      </w:pPr>
      <w:r>
        <w:t xml:space="preserve">[1] </w:t>
      </w:r>
      <w:r w:rsidRPr="00B8567A">
        <w:rPr>
          <w:sz w:val="28"/>
          <w:szCs w:val="28"/>
        </w:rPr>
        <w:t>ShiyiChen</w:t>
      </w:r>
      <w:r>
        <w:rPr>
          <w:sz w:val="28"/>
          <w:szCs w:val="28"/>
        </w:rPr>
        <w:t>, Kiho Jeong</w:t>
      </w:r>
      <w:r w:rsidRPr="00B8567A">
        <w:rPr>
          <w:sz w:val="28"/>
          <w:szCs w:val="28"/>
        </w:rPr>
        <w:t>,Wolfgang</w:t>
      </w:r>
      <w:r>
        <w:rPr>
          <w:sz w:val="28"/>
          <w:szCs w:val="28"/>
        </w:rPr>
        <w:t xml:space="preserve"> K.Hardle</w:t>
      </w:r>
      <w:r w:rsidRPr="00114CA4">
        <w:rPr>
          <w:sz w:val="28"/>
          <w:szCs w:val="28"/>
        </w:rPr>
        <w:t>,</w:t>
      </w:r>
      <w:r w:rsidRPr="00B8567A">
        <w:rPr>
          <w:bCs/>
          <w:i/>
          <w:sz w:val="28"/>
          <w:szCs w:val="28"/>
        </w:rPr>
        <w:t>Recurrent</w:t>
      </w:r>
      <w:r w:rsidR="00D466E2">
        <w:rPr>
          <w:bCs/>
          <w:i/>
          <w:sz w:val="28"/>
          <w:szCs w:val="28"/>
        </w:rPr>
        <w:t xml:space="preserve"> </w:t>
      </w:r>
      <w:r w:rsidRPr="00B8567A">
        <w:rPr>
          <w:bCs/>
          <w:i/>
          <w:sz w:val="28"/>
          <w:szCs w:val="28"/>
        </w:rPr>
        <w:t>Support</w:t>
      </w:r>
      <w:r w:rsidR="00D466E2">
        <w:rPr>
          <w:bCs/>
          <w:i/>
          <w:sz w:val="28"/>
          <w:szCs w:val="28"/>
        </w:rPr>
        <w:t xml:space="preserve"> </w:t>
      </w:r>
      <w:r w:rsidRPr="00B8567A">
        <w:rPr>
          <w:bCs/>
          <w:i/>
          <w:sz w:val="28"/>
          <w:szCs w:val="28"/>
        </w:rPr>
        <w:t>Vector</w:t>
      </w:r>
      <w:r w:rsidR="00D466E2">
        <w:rPr>
          <w:bCs/>
          <w:i/>
          <w:sz w:val="28"/>
          <w:szCs w:val="28"/>
        </w:rPr>
        <w:t xml:space="preserve"> </w:t>
      </w:r>
      <w:r w:rsidRPr="00B8567A">
        <w:rPr>
          <w:bCs/>
          <w:i/>
          <w:sz w:val="28"/>
          <w:szCs w:val="28"/>
        </w:rPr>
        <w:t>Regression</w:t>
      </w:r>
      <w:r w:rsidR="00D466E2">
        <w:rPr>
          <w:bCs/>
          <w:i/>
          <w:sz w:val="28"/>
          <w:szCs w:val="28"/>
        </w:rPr>
        <w:t xml:space="preserve"> </w:t>
      </w:r>
      <w:r w:rsidRPr="00B8567A">
        <w:rPr>
          <w:bCs/>
          <w:i/>
          <w:sz w:val="28"/>
          <w:szCs w:val="28"/>
        </w:rPr>
        <w:t>for</w:t>
      </w:r>
      <w:r w:rsidR="00D466E2">
        <w:rPr>
          <w:bCs/>
          <w:i/>
          <w:sz w:val="28"/>
          <w:szCs w:val="28"/>
        </w:rPr>
        <w:t xml:space="preserve"> </w:t>
      </w:r>
      <w:r w:rsidRPr="00B8567A">
        <w:rPr>
          <w:bCs/>
          <w:i/>
          <w:sz w:val="28"/>
          <w:szCs w:val="28"/>
        </w:rPr>
        <w:t>a</w:t>
      </w:r>
      <w:r w:rsidR="00D466E2">
        <w:rPr>
          <w:bCs/>
          <w:i/>
          <w:sz w:val="28"/>
          <w:szCs w:val="28"/>
        </w:rPr>
        <w:t xml:space="preserve"> </w:t>
      </w:r>
      <w:r w:rsidRPr="00B8567A">
        <w:rPr>
          <w:bCs/>
          <w:i/>
          <w:sz w:val="28"/>
          <w:szCs w:val="28"/>
        </w:rPr>
        <w:t>Nonlinear</w:t>
      </w:r>
      <w:r w:rsidR="00D466E2">
        <w:rPr>
          <w:bCs/>
          <w:i/>
          <w:sz w:val="28"/>
          <w:szCs w:val="28"/>
        </w:rPr>
        <w:t xml:space="preserve"> </w:t>
      </w:r>
      <w:r w:rsidRPr="00B8567A">
        <w:rPr>
          <w:bCs/>
          <w:i/>
          <w:sz w:val="28"/>
          <w:szCs w:val="28"/>
        </w:rPr>
        <w:t>ARMA</w:t>
      </w:r>
      <w:r w:rsidR="00D466E2">
        <w:rPr>
          <w:bCs/>
          <w:i/>
          <w:sz w:val="28"/>
          <w:szCs w:val="28"/>
        </w:rPr>
        <w:t xml:space="preserve"> </w:t>
      </w:r>
      <w:r w:rsidRPr="00B8567A">
        <w:rPr>
          <w:bCs/>
          <w:i/>
          <w:sz w:val="28"/>
          <w:szCs w:val="28"/>
        </w:rPr>
        <w:t>Model</w:t>
      </w:r>
      <w:r w:rsidR="00D466E2">
        <w:rPr>
          <w:bCs/>
          <w:i/>
          <w:sz w:val="28"/>
          <w:szCs w:val="28"/>
        </w:rPr>
        <w:t xml:space="preserve"> </w:t>
      </w:r>
      <w:r w:rsidRPr="00B8567A">
        <w:rPr>
          <w:bCs/>
          <w:i/>
          <w:sz w:val="28"/>
          <w:szCs w:val="28"/>
        </w:rPr>
        <w:t>with</w:t>
      </w:r>
      <w:r w:rsidR="00D466E2">
        <w:rPr>
          <w:bCs/>
          <w:i/>
          <w:sz w:val="28"/>
          <w:szCs w:val="28"/>
        </w:rPr>
        <w:t xml:space="preserve"> </w:t>
      </w:r>
      <w:r w:rsidRPr="00B8567A">
        <w:rPr>
          <w:bCs/>
          <w:i/>
          <w:sz w:val="28"/>
          <w:szCs w:val="28"/>
        </w:rPr>
        <w:t>Applications</w:t>
      </w:r>
      <w:r w:rsidR="00D466E2">
        <w:rPr>
          <w:bCs/>
          <w:i/>
          <w:sz w:val="28"/>
          <w:szCs w:val="28"/>
        </w:rPr>
        <w:t xml:space="preserve"> </w:t>
      </w:r>
      <w:r w:rsidRPr="00B8567A">
        <w:rPr>
          <w:bCs/>
          <w:i/>
          <w:sz w:val="28"/>
          <w:szCs w:val="28"/>
        </w:rPr>
        <w:t>to</w:t>
      </w:r>
      <w:r w:rsidR="00D466E2">
        <w:rPr>
          <w:bCs/>
          <w:i/>
          <w:sz w:val="28"/>
          <w:szCs w:val="28"/>
        </w:rPr>
        <w:t xml:space="preserve"> </w:t>
      </w:r>
      <w:r w:rsidRPr="00B8567A">
        <w:rPr>
          <w:bCs/>
          <w:i/>
          <w:sz w:val="28"/>
          <w:szCs w:val="28"/>
        </w:rPr>
        <w:t>Forecasting</w:t>
      </w:r>
      <w:r w:rsidR="00D466E2">
        <w:rPr>
          <w:bCs/>
          <w:i/>
          <w:sz w:val="28"/>
          <w:szCs w:val="28"/>
        </w:rPr>
        <w:t xml:space="preserve"> </w:t>
      </w:r>
      <w:r w:rsidRPr="00B8567A">
        <w:rPr>
          <w:bCs/>
          <w:i/>
          <w:sz w:val="28"/>
          <w:szCs w:val="28"/>
        </w:rPr>
        <w:t>Financial</w:t>
      </w:r>
      <w:r w:rsidR="00D466E2">
        <w:rPr>
          <w:bCs/>
          <w:i/>
          <w:sz w:val="28"/>
          <w:szCs w:val="28"/>
        </w:rPr>
        <w:t xml:space="preserve"> </w:t>
      </w:r>
      <w:r w:rsidRPr="00B8567A">
        <w:rPr>
          <w:bCs/>
          <w:i/>
          <w:sz w:val="28"/>
          <w:szCs w:val="28"/>
        </w:rPr>
        <w:t>Returns</w:t>
      </w:r>
      <w:r w:rsidRPr="00114CA4">
        <w:rPr>
          <w:sz w:val="28"/>
          <w:szCs w:val="28"/>
        </w:rPr>
        <w:t xml:space="preserve">, </w:t>
      </w:r>
      <w:r>
        <w:rPr>
          <w:iCs/>
          <w:sz w:val="28"/>
          <w:szCs w:val="28"/>
        </w:rPr>
        <w:t>SFB 649 Discussion Paper</w:t>
      </w:r>
      <w:r w:rsidRPr="00114CA4">
        <w:rPr>
          <w:sz w:val="28"/>
          <w:szCs w:val="28"/>
        </w:rPr>
        <w:t xml:space="preserve">, </w:t>
      </w:r>
      <w:r>
        <w:rPr>
          <w:iCs/>
          <w:sz w:val="28"/>
          <w:szCs w:val="28"/>
        </w:rPr>
        <w:t>2008</w:t>
      </w:r>
    </w:p>
    <w:p w:rsidR="0022367C" w:rsidRPr="0022367C" w:rsidRDefault="0022367C" w:rsidP="0022367C">
      <w:pPr>
        <w:spacing w:line="360" w:lineRule="auto"/>
        <w:jc w:val="left"/>
        <w:rPr>
          <w:iCs/>
          <w:sz w:val="28"/>
          <w:szCs w:val="28"/>
        </w:rPr>
      </w:pPr>
      <w:r>
        <w:rPr>
          <w:iCs/>
          <w:sz w:val="28"/>
          <w:szCs w:val="28"/>
        </w:rPr>
        <w:t>[2]</w:t>
      </w:r>
      <w:r w:rsidRPr="0022367C">
        <w:t xml:space="preserve"> </w:t>
      </w:r>
      <w:r w:rsidRPr="0022367C">
        <w:rPr>
          <w:iCs/>
          <w:sz w:val="28"/>
          <w:szCs w:val="28"/>
        </w:rPr>
        <w:t>Binoy B. Nair</w:t>
      </w:r>
      <w:r>
        <w:rPr>
          <w:iCs/>
          <w:sz w:val="28"/>
          <w:szCs w:val="28"/>
        </w:rPr>
        <w:t>,</w:t>
      </w:r>
      <w:r w:rsidRPr="0022367C">
        <w:rPr>
          <w:iCs/>
          <w:sz w:val="28"/>
          <w:szCs w:val="28"/>
        </w:rPr>
        <w:t xml:space="preserve"> V.P Mohandas</w:t>
      </w:r>
      <w:r>
        <w:rPr>
          <w:iCs/>
          <w:sz w:val="28"/>
          <w:szCs w:val="28"/>
        </w:rPr>
        <w:t>,</w:t>
      </w:r>
      <w:r w:rsidRPr="0022367C">
        <w:rPr>
          <w:iCs/>
          <w:sz w:val="28"/>
          <w:szCs w:val="28"/>
        </w:rPr>
        <w:t xml:space="preserve"> N.R. Sakthivel</w:t>
      </w:r>
      <w:r>
        <w:rPr>
          <w:iCs/>
          <w:sz w:val="28"/>
          <w:szCs w:val="28"/>
        </w:rPr>
        <w:t xml:space="preserve">, </w:t>
      </w:r>
      <w:r w:rsidRPr="0022367C">
        <w:rPr>
          <w:i/>
          <w:iCs/>
          <w:sz w:val="28"/>
          <w:szCs w:val="28"/>
        </w:rPr>
        <w:t>A Genetic Algorithm Optimized Decision Tree-SVM based Stock Market Trend Prediction System</w:t>
      </w:r>
      <w:r>
        <w:rPr>
          <w:i/>
          <w:iCs/>
          <w:sz w:val="28"/>
          <w:szCs w:val="28"/>
        </w:rPr>
        <w:t>,</w:t>
      </w:r>
      <w:r>
        <w:rPr>
          <w:iCs/>
          <w:sz w:val="28"/>
          <w:szCs w:val="28"/>
        </w:rPr>
        <w:t xml:space="preserve"> </w:t>
      </w:r>
      <w:r w:rsidRPr="0022367C">
        <w:rPr>
          <w:iCs/>
          <w:sz w:val="28"/>
          <w:szCs w:val="28"/>
        </w:rPr>
        <w:t>IJCSE</w:t>
      </w:r>
      <w:r>
        <w:rPr>
          <w:iCs/>
          <w:sz w:val="28"/>
          <w:szCs w:val="28"/>
        </w:rPr>
        <w:t xml:space="preserve"> Vol.02, No. 09, 2010.</w:t>
      </w:r>
    </w:p>
    <w:p w:rsidR="00F10931" w:rsidRPr="00F10931" w:rsidRDefault="00F10931" w:rsidP="004646E8">
      <w:pPr>
        <w:spacing w:line="360" w:lineRule="auto"/>
      </w:pPr>
    </w:p>
    <w:sectPr w:rsidR="00F10931" w:rsidRPr="00F10931" w:rsidSect="00137C4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70ED" w:rsidRDefault="004E70ED" w:rsidP="000F087B">
      <w:pPr>
        <w:spacing w:after="0" w:line="240" w:lineRule="auto"/>
      </w:pPr>
      <w:r>
        <w:separator/>
      </w:r>
    </w:p>
  </w:endnote>
  <w:endnote w:type="continuationSeparator" w:id="1">
    <w:p w:rsidR="004E70ED" w:rsidRDefault="004E70ED" w:rsidP="000F08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65390F">
      <w:trPr>
        <w:trHeight w:val="151"/>
      </w:trPr>
      <w:tc>
        <w:tcPr>
          <w:tcW w:w="2250" w:type="pct"/>
          <w:tcBorders>
            <w:bottom w:val="single" w:sz="4" w:space="0" w:color="4F81BD" w:themeColor="accent1"/>
          </w:tcBorders>
        </w:tcPr>
        <w:p w:rsidR="0065390F" w:rsidRDefault="0065390F">
          <w:pPr>
            <w:pStyle w:val="Header"/>
            <w:rPr>
              <w:rFonts w:asciiTheme="majorHAnsi" w:eastAsiaTheme="majorEastAsia" w:hAnsiTheme="majorHAnsi" w:cstheme="majorBidi"/>
              <w:b/>
              <w:bCs/>
            </w:rPr>
          </w:pPr>
        </w:p>
      </w:tc>
      <w:tc>
        <w:tcPr>
          <w:tcW w:w="500" w:type="pct"/>
          <w:vMerge w:val="restart"/>
          <w:noWrap/>
          <w:vAlign w:val="center"/>
        </w:tcPr>
        <w:p w:rsidR="0065390F" w:rsidRDefault="0065390F">
          <w:pPr>
            <w:pStyle w:val="NoSpacing"/>
            <w:rPr>
              <w:rFonts w:asciiTheme="majorHAnsi" w:hAnsiTheme="majorHAnsi"/>
            </w:rPr>
          </w:pPr>
          <w:r>
            <w:rPr>
              <w:rFonts w:asciiTheme="majorHAnsi" w:hAnsiTheme="majorHAnsi"/>
              <w:b/>
            </w:rPr>
            <w:t xml:space="preserve">Page </w:t>
          </w:r>
          <w:r w:rsidRPr="00A34807">
            <w:fldChar w:fldCharType="begin"/>
          </w:r>
          <w:r>
            <w:instrText xml:space="preserve"> PAGE  \* MERGEFORMAT </w:instrText>
          </w:r>
          <w:r w:rsidRPr="00A34807">
            <w:fldChar w:fldCharType="separate"/>
          </w:r>
          <w:r w:rsidR="00684223" w:rsidRPr="00684223">
            <w:rPr>
              <w:rFonts w:asciiTheme="majorHAnsi" w:hAnsiTheme="majorHAnsi"/>
              <w:b/>
              <w:noProof/>
            </w:rPr>
            <w:t>8</w:t>
          </w:r>
          <w:r>
            <w:rPr>
              <w:rFonts w:asciiTheme="majorHAnsi" w:hAnsiTheme="majorHAnsi"/>
              <w:b/>
              <w:noProof/>
            </w:rPr>
            <w:fldChar w:fldCharType="end"/>
          </w:r>
        </w:p>
      </w:tc>
      <w:tc>
        <w:tcPr>
          <w:tcW w:w="2250" w:type="pct"/>
          <w:tcBorders>
            <w:bottom w:val="single" w:sz="4" w:space="0" w:color="4F81BD" w:themeColor="accent1"/>
          </w:tcBorders>
        </w:tcPr>
        <w:p w:rsidR="0065390F" w:rsidRDefault="0065390F">
          <w:pPr>
            <w:pStyle w:val="Header"/>
            <w:rPr>
              <w:rFonts w:asciiTheme="majorHAnsi" w:eastAsiaTheme="majorEastAsia" w:hAnsiTheme="majorHAnsi" w:cstheme="majorBidi"/>
              <w:b/>
              <w:bCs/>
            </w:rPr>
          </w:pPr>
        </w:p>
      </w:tc>
    </w:tr>
    <w:tr w:rsidR="0065390F">
      <w:trPr>
        <w:trHeight w:val="150"/>
      </w:trPr>
      <w:tc>
        <w:tcPr>
          <w:tcW w:w="2250" w:type="pct"/>
          <w:tcBorders>
            <w:top w:val="single" w:sz="4" w:space="0" w:color="4F81BD" w:themeColor="accent1"/>
          </w:tcBorders>
        </w:tcPr>
        <w:p w:rsidR="0065390F" w:rsidRDefault="0065390F">
          <w:pPr>
            <w:pStyle w:val="Header"/>
            <w:rPr>
              <w:rFonts w:asciiTheme="majorHAnsi" w:eastAsiaTheme="majorEastAsia" w:hAnsiTheme="majorHAnsi" w:cstheme="majorBidi"/>
              <w:b/>
              <w:bCs/>
            </w:rPr>
          </w:pPr>
        </w:p>
      </w:tc>
      <w:tc>
        <w:tcPr>
          <w:tcW w:w="500" w:type="pct"/>
          <w:vMerge/>
        </w:tcPr>
        <w:p w:rsidR="0065390F" w:rsidRDefault="0065390F">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5390F" w:rsidRDefault="0065390F">
          <w:pPr>
            <w:pStyle w:val="Header"/>
            <w:rPr>
              <w:rFonts w:asciiTheme="majorHAnsi" w:eastAsiaTheme="majorEastAsia" w:hAnsiTheme="majorHAnsi" w:cstheme="majorBidi"/>
              <w:b/>
              <w:bCs/>
            </w:rPr>
          </w:pPr>
        </w:p>
      </w:tc>
    </w:tr>
  </w:tbl>
  <w:p w:rsidR="0065390F" w:rsidRDefault="0065390F">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70ED" w:rsidRDefault="004E70ED" w:rsidP="000F087B">
      <w:pPr>
        <w:spacing w:after="0" w:line="240" w:lineRule="auto"/>
      </w:pPr>
      <w:r>
        <w:separator/>
      </w:r>
    </w:p>
  </w:footnote>
  <w:footnote w:type="continuationSeparator" w:id="1">
    <w:p w:rsidR="004E70ED" w:rsidRDefault="004E70ED" w:rsidP="000F08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C4C"/>
    <w:multiLevelType w:val="hybridMultilevel"/>
    <w:tmpl w:val="68A2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86EAF"/>
    <w:multiLevelType w:val="hybridMultilevel"/>
    <w:tmpl w:val="78CEFD22"/>
    <w:lvl w:ilvl="0" w:tplc="F96E95D4">
      <w:start w:val="1"/>
      <w:numFmt w:val="bullet"/>
      <w:lvlText w:val=""/>
      <w:lvlJc w:val="left"/>
      <w:pPr>
        <w:ind w:left="360" w:hanging="360"/>
      </w:pPr>
      <w:rPr>
        <w:rFonts w:ascii="Symbol" w:hAnsi="Symbol" w:hint="default"/>
        <w:color w:val="auto"/>
      </w:rPr>
    </w:lvl>
    <w:lvl w:ilvl="1" w:tplc="99CA44F0">
      <w:start w:val="1"/>
      <w:numFmt w:val="bullet"/>
      <w:lvlText w:val="o"/>
      <w:lvlJc w:val="left"/>
      <w:pPr>
        <w:ind w:left="1080" w:hanging="360"/>
      </w:pPr>
      <w:rPr>
        <w:rFonts w:ascii="Courier New" w:hAnsi="Courier New" w:cs="Courier New"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9923E2"/>
    <w:multiLevelType w:val="hybridMultilevel"/>
    <w:tmpl w:val="71F6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7A409E"/>
    <w:multiLevelType w:val="hybridMultilevel"/>
    <w:tmpl w:val="6582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02DB6"/>
    <w:multiLevelType w:val="hybridMultilevel"/>
    <w:tmpl w:val="9D100C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14A3BF6"/>
    <w:multiLevelType w:val="hybridMultilevel"/>
    <w:tmpl w:val="25989BB8"/>
    <w:lvl w:ilvl="0" w:tplc="41687FCC">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38666A"/>
    <w:multiLevelType w:val="hybridMultilevel"/>
    <w:tmpl w:val="E70EB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B37213B"/>
    <w:multiLevelType w:val="hybridMultilevel"/>
    <w:tmpl w:val="EFEA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27530"/>
    <w:multiLevelType w:val="hybridMultilevel"/>
    <w:tmpl w:val="F5C66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4358F"/>
    <w:multiLevelType w:val="hybridMultilevel"/>
    <w:tmpl w:val="E20C68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FC01173"/>
    <w:multiLevelType w:val="hybridMultilevel"/>
    <w:tmpl w:val="2E641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9F2A3A"/>
    <w:multiLevelType w:val="hybridMultilevel"/>
    <w:tmpl w:val="E69C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41687FCC">
      <w:numFmt w:val="bullet"/>
      <w:lvlText w:val="-"/>
      <w:lvlJc w:val="left"/>
      <w:pPr>
        <w:ind w:left="3600" w:hanging="360"/>
      </w:pPr>
      <w:rPr>
        <w:rFonts w:ascii="Times New Roman" w:eastAsia="Calibri"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7317A"/>
    <w:multiLevelType w:val="hybridMultilevel"/>
    <w:tmpl w:val="985EB762"/>
    <w:lvl w:ilvl="0" w:tplc="F96E95D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513" w:hanging="360"/>
      </w:pPr>
      <w:rPr>
        <w:rFonts w:ascii="Courier New" w:hAnsi="Courier New" w:cs="Courier New" w:hint="default"/>
      </w:rPr>
    </w:lvl>
    <w:lvl w:ilvl="2" w:tplc="04090005" w:tentative="1">
      <w:start w:val="1"/>
      <w:numFmt w:val="bullet"/>
      <w:lvlText w:val=""/>
      <w:lvlJc w:val="left"/>
      <w:pPr>
        <w:ind w:left="1233" w:hanging="360"/>
      </w:pPr>
      <w:rPr>
        <w:rFonts w:ascii="Wingdings" w:hAnsi="Wingdings" w:hint="default"/>
      </w:rPr>
    </w:lvl>
    <w:lvl w:ilvl="3" w:tplc="04090001" w:tentative="1">
      <w:start w:val="1"/>
      <w:numFmt w:val="bullet"/>
      <w:lvlText w:val=""/>
      <w:lvlJc w:val="left"/>
      <w:pPr>
        <w:ind w:left="1953" w:hanging="360"/>
      </w:pPr>
      <w:rPr>
        <w:rFonts w:ascii="Symbol" w:hAnsi="Symbol" w:hint="default"/>
      </w:rPr>
    </w:lvl>
    <w:lvl w:ilvl="4" w:tplc="04090003" w:tentative="1">
      <w:start w:val="1"/>
      <w:numFmt w:val="bullet"/>
      <w:lvlText w:val="o"/>
      <w:lvlJc w:val="left"/>
      <w:pPr>
        <w:ind w:left="2673" w:hanging="360"/>
      </w:pPr>
      <w:rPr>
        <w:rFonts w:ascii="Courier New" w:hAnsi="Courier New" w:cs="Courier New" w:hint="default"/>
      </w:rPr>
    </w:lvl>
    <w:lvl w:ilvl="5" w:tplc="04090005" w:tentative="1">
      <w:start w:val="1"/>
      <w:numFmt w:val="bullet"/>
      <w:lvlText w:val=""/>
      <w:lvlJc w:val="left"/>
      <w:pPr>
        <w:ind w:left="3393" w:hanging="360"/>
      </w:pPr>
      <w:rPr>
        <w:rFonts w:ascii="Wingdings" w:hAnsi="Wingdings" w:hint="default"/>
      </w:rPr>
    </w:lvl>
    <w:lvl w:ilvl="6" w:tplc="04090001" w:tentative="1">
      <w:start w:val="1"/>
      <w:numFmt w:val="bullet"/>
      <w:lvlText w:val=""/>
      <w:lvlJc w:val="left"/>
      <w:pPr>
        <w:ind w:left="4113" w:hanging="360"/>
      </w:pPr>
      <w:rPr>
        <w:rFonts w:ascii="Symbol" w:hAnsi="Symbol" w:hint="default"/>
      </w:rPr>
    </w:lvl>
    <w:lvl w:ilvl="7" w:tplc="04090003" w:tentative="1">
      <w:start w:val="1"/>
      <w:numFmt w:val="bullet"/>
      <w:lvlText w:val="o"/>
      <w:lvlJc w:val="left"/>
      <w:pPr>
        <w:ind w:left="4833" w:hanging="360"/>
      </w:pPr>
      <w:rPr>
        <w:rFonts w:ascii="Courier New" w:hAnsi="Courier New" w:cs="Courier New" w:hint="default"/>
      </w:rPr>
    </w:lvl>
    <w:lvl w:ilvl="8" w:tplc="04090005" w:tentative="1">
      <w:start w:val="1"/>
      <w:numFmt w:val="bullet"/>
      <w:lvlText w:val=""/>
      <w:lvlJc w:val="left"/>
      <w:pPr>
        <w:ind w:left="5553" w:hanging="360"/>
      </w:pPr>
      <w:rPr>
        <w:rFonts w:ascii="Wingdings" w:hAnsi="Wingdings" w:hint="default"/>
      </w:rPr>
    </w:lvl>
  </w:abstractNum>
  <w:abstractNum w:abstractNumId="13">
    <w:nsid w:val="443D29C3"/>
    <w:multiLevelType w:val="hybridMultilevel"/>
    <w:tmpl w:val="E7FE7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765521"/>
    <w:multiLevelType w:val="hybridMultilevel"/>
    <w:tmpl w:val="E0302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7301B0"/>
    <w:multiLevelType w:val="hybridMultilevel"/>
    <w:tmpl w:val="5554D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6216904"/>
    <w:multiLevelType w:val="hybridMultilevel"/>
    <w:tmpl w:val="0E7CF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186BC3"/>
    <w:multiLevelType w:val="hybridMultilevel"/>
    <w:tmpl w:val="8CC03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5160F0"/>
    <w:multiLevelType w:val="hybridMultilevel"/>
    <w:tmpl w:val="C3B0DB4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5CC4147B"/>
    <w:multiLevelType w:val="hybridMultilevel"/>
    <w:tmpl w:val="F042BF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D6F3F59"/>
    <w:multiLevelType w:val="hybridMultilevel"/>
    <w:tmpl w:val="87DEE4C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nsid w:val="5E3B37FF"/>
    <w:multiLevelType w:val="hybridMultilevel"/>
    <w:tmpl w:val="691AA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3AD368F"/>
    <w:multiLevelType w:val="hybridMultilevel"/>
    <w:tmpl w:val="AE50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4249F9"/>
    <w:multiLevelType w:val="hybridMultilevel"/>
    <w:tmpl w:val="1F5A2D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0E23DA"/>
    <w:multiLevelType w:val="hybridMultilevel"/>
    <w:tmpl w:val="50F2B178"/>
    <w:lvl w:ilvl="0" w:tplc="61E28AC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FF7961"/>
    <w:multiLevelType w:val="hybridMultilevel"/>
    <w:tmpl w:val="826CCE2E"/>
    <w:lvl w:ilvl="0" w:tplc="06703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C5C4A45"/>
    <w:multiLevelType w:val="hybridMultilevel"/>
    <w:tmpl w:val="F118D4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03156A5"/>
    <w:multiLevelType w:val="hybridMultilevel"/>
    <w:tmpl w:val="283AA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6B4862"/>
    <w:multiLevelType w:val="hybridMultilevel"/>
    <w:tmpl w:val="D0B0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04352E"/>
    <w:multiLevelType w:val="hybridMultilevel"/>
    <w:tmpl w:val="43C65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1C0D9B"/>
    <w:multiLevelType w:val="hybridMultilevel"/>
    <w:tmpl w:val="3ECA1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8347DB"/>
    <w:multiLevelType w:val="hybridMultilevel"/>
    <w:tmpl w:val="0ABABB90"/>
    <w:lvl w:ilvl="0" w:tplc="58ECDA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0"/>
  </w:num>
  <w:num w:numId="2">
    <w:abstractNumId w:val="13"/>
  </w:num>
  <w:num w:numId="3">
    <w:abstractNumId w:val="14"/>
  </w:num>
  <w:num w:numId="4">
    <w:abstractNumId w:val="3"/>
  </w:num>
  <w:num w:numId="5">
    <w:abstractNumId w:val="0"/>
  </w:num>
  <w:num w:numId="6">
    <w:abstractNumId w:val="11"/>
  </w:num>
  <w:num w:numId="7">
    <w:abstractNumId w:val="5"/>
  </w:num>
  <w:num w:numId="8">
    <w:abstractNumId w:val="9"/>
  </w:num>
  <w:num w:numId="9">
    <w:abstractNumId w:val="28"/>
  </w:num>
  <w:num w:numId="10">
    <w:abstractNumId w:val="20"/>
  </w:num>
  <w:num w:numId="11">
    <w:abstractNumId w:val="17"/>
  </w:num>
  <w:num w:numId="12">
    <w:abstractNumId w:val="15"/>
  </w:num>
  <w:num w:numId="13">
    <w:abstractNumId w:val="19"/>
  </w:num>
  <w:num w:numId="14">
    <w:abstractNumId w:val="4"/>
  </w:num>
  <w:num w:numId="15">
    <w:abstractNumId w:val="26"/>
  </w:num>
  <w:num w:numId="16">
    <w:abstractNumId w:val="30"/>
  </w:num>
  <w:num w:numId="17">
    <w:abstractNumId w:val="1"/>
  </w:num>
  <w:num w:numId="18">
    <w:abstractNumId w:val="12"/>
  </w:num>
  <w:num w:numId="19">
    <w:abstractNumId w:val="7"/>
  </w:num>
  <w:num w:numId="20">
    <w:abstractNumId w:val="22"/>
  </w:num>
  <w:num w:numId="21">
    <w:abstractNumId w:val="24"/>
  </w:num>
  <w:num w:numId="22">
    <w:abstractNumId w:val="25"/>
  </w:num>
  <w:num w:numId="23">
    <w:abstractNumId w:val="23"/>
  </w:num>
  <w:num w:numId="24">
    <w:abstractNumId w:val="27"/>
  </w:num>
  <w:num w:numId="25">
    <w:abstractNumId w:val="29"/>
  </w:num>
  <w:num w:numId="26">
    <w:abstractNumId w:val="2"/>
  </w:num>
  <w:num w:numId="27">
    <w:abstractNumId w:val="16"/>
  </w:num>
  <w:num w:numId="28">
    <w:abstractNumId w:val="31"/>
  </w:num>
  <w:num w:numId="29">
    <w:abstractNumId w:val="21"/>
  </w:num>
  <w:num w:numId="30">
    <w:abstractNumId w:val="8"/>
  </w:num>
  <w:num w:numId="31">
    <w:abstractNumId w:val="6"/>
  </w:num>
  <w:num w:numId="3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F087B"/>
    <w:rsid w:val="0006345D"/>
    <w:rsid w:val="000638AC"/>
    <w:rsid w:val="00077FA8"/>
    <w:rsid w:val="000B6602"/>
    <w:rsid w:val="000C74F6"/>
    <w:rsid w:val="000D793D"/>
    <w:rsid w:val="000E2C6C"/>
    <w:rsid w:val="000E44D2"/>
    <w:rsid w:val="000E4E3E"/>
    <w:rsid w:val="000E7621"/>
    <w:rsid w:val="000F087B"/>
    <w:rsid w:val="00102820"/>
    <w:rsid w:val="001120A8"/>
    <w:rsid w:val="00123151"/>
    <w:rsid w:val="00130CD3"/>
    <w:rsid w:val="001331BE"/>
    <w:rsid w:val="0013394F"/>
    <w:rsid w:val="00137C46"/>
    <w:rsid w:val="0014559E"/>
    <w:rsid w:val="00163924"/>
    <w:rsid w:val="0018620F"/>
    <w:rsid w:val="001A0F99"/>
    <w:rsid w:val="001F0EEC"/>
    <w:rsid w:val="0022367C"/>
    <w:rsid w:val="002376C4"/>
    <w:rsid w:val="00245BBE"/>
    <w:rsid w:val="0029241E"/>
    <w:rsid w:val="002C08E6"/>
    <w:rsid w:val="002C73E9"/>
    <w:rsid w:val="00314503"/>
    <w:rsid w:val="003208B4"/>
    <w:rsid w:val="00327A3E"/>
    <w:rsid w:val="00327B24"/>
    <w:rsid w:val="00340A70"/>
    <w:rsid w:val="00345A25"/>
    <w:rsid w:val="003822F5"/>
    <w:rsid w:val="003E618F"/>
    <w:rsid w:val="00413E73"/>
    <w:rsid w:val="00426C86"/>
    <w:rsid w:val="004340A5"/>
    <w:rsid w:val="0045564A"/>
    <w:rsid w:val="004646E8"/>
    <w:rsid w:val="00487832"/>
    <w:rsid w:val="00493B47"/>
    <w:rsid w:val="004B1C23"/>
    <w:rsid w:val="004C59D5"/>
    <w:rsid w:val="004E2659"/>
    <w:rsid w:val="004E59F4"/>
    <w:rsid w:val="004E70ED"/>
    <w:rsid w:val="004F17EE"/>
    <w:rsid w:val="00500444"/>
    <w:rsid w:val="00500DD0"/>
    <w:rsid w:val="0056216B"/>
    <w:rsid w:val="005664F4"/>
    <w:rsid w:val="00583F88"/>
    <w:rsid w:val="0059104B"/>
    <w:rsid w:val="005A63B2"/>
    <w:rsid w:val="005B0A7E"/>
    <w:rsid w:val="005C0E3B"/>
    <w:rsid w:val="005F0634"/>
    <w:rsid w:val="005F58FA"/>
    <w:rsid w:val="00621B75"/>
    <w:rsid w:val="0065390F"/>
    <w:rsid w:val="00684223"/>
    <w:rsid w:val="006A6CFB"/>
    <w:rsid w:val="006C3E8B"/>
    <w:rsid w:val="00716ECC"/>
    <w:rsid w:val="00725318"/>
    <w:rsid w:val="00726167"/>
    <w:rsid w:val="00751EF2"/>
    <w:rsid w:val="0077737E"/>
    <w:rsid w:val="007B2B9E"/>
    <w:rsid w:val="007F033F"/>
    <w:rsid w:val="00820849"/>
    <w:rsid w:val="0085471C"/>
    <w:rsid w:val="008565D3"/>
    <w:rsid w:val="008932F4"/>
    <w:rsid w:val="00897BAD"/>
    <w:rsid w:val="008B3EA4"/>
    <w:rsid w:val="008D4A64"/>
    <w:rsid w:val="008D7ADD"/>
    <w:rsid w:val="009231C5"/>
    <w:rsid w:val="00934744"/>
    <w:rsid w:val="0093570C"/>
    <w:rsid w:val="0094083A"/>
    <w:rsid w:val="0095156F"/>
    <w:rsid w:val="009541B1"/>
    <w:rsid w:val="0099203B"/>
    <w:rsid w:val="00993C8D"/>
    <w:rsid w:val="0099405A"/>
    <w:rsid w:val="009B579B"/>
    <w:rsid w:val="009B665F"/>
    <w:rsid w:val="009C77C2"/>
    <w:rsid w:val="009D7FB9"/>
    <w:rsid w:val="009F7D1C"/>
    <w:rsid w:val="00A13DAA"/>
    <w:rsid w:val="00A34807"/>
    <w:rsid w:val="00A564E8"/>
    <w:rsid w:val="00A715CB"/>
    <w:rsid w:val="00A74AB7"/>
    <w:rsid w:val="00A75623"/>
    <w:rsid w:val="00A9510D"/>
    <w:rsid w:val="00A96A73"/>
    <w:rsid w:val="00AB7552"/>
    <w:rsid w:val="00AD24CB"/>
    <w:rsid w:val="00AE53B8"/>
    <w:rsid w:val="00AE5808"/>
    <w:rsid w:val="00AF40E8"/>
    <w:rsid w:val="00B229BA"/>
    <w:rsid w:val="00B61E39"/>
    <w:rsid w:val="00B741E1"/>
    <w:rsid w:val="00BB5622"/>
    <w:rsid w:val="00BD3AAB"/>
    <w:rsid w:val="00C17DBB"/>
    <w:rsid w:val="00C52DDA"/>
    <w:rsid w:val="00C6602E"/>
    <w:rsid w:val="00C71A9C"/>
    <w:rsid w:val="00C77DD1"/>
    <w:rsid w:val="00C83D76"/>
    <w:rsid w:val="00C858BC"/>
    <w:rsid w:val="00C86BA4"/>
    <w:rsid w:val="00CB40BB"/>
    <w:rsid w:val="00CD66AE"/>
    <w:rsid w:val="00D06105"/>
    <w:rsid w:val="00D1034F"/>
    <w:rsid w:val="00D1242F"/>
    <w:rsid w:val="00D23DBF"/>
    <w:rsid w:val="00D377AB"/>
    <w:rsid w:val="00D42CF5"/>
    <w:rsid w:val="00D466E2"/>
    <w:rsid w:val="00DE1D22"/>
    <w:rsid w:val="00E12FA8"/>
    <w:rsid w:val="00E42046"/>
    <w:rsid w:val="00E46C8B"/>
    <w:rsid w:val="00E52522"/>
    <w:rsid w:val="00E56AA1"/>
    <w:rsid w:val="00E652E0"/>
    <w:rsid w:val="00ED5C83"/>
    <w:rsid w:val="00EF55D7"/>
    <w:rsid w:val="00F06DCF"/>
    <w:rsid w:val="00F10931"/>
    <w:rsid w:val="00F156D1"/>
    <w:rsid w:val="00F1774C"/>
    <w:rsid w:val="00F21989"/>
    <w:rsid w:val="00F2361B"/>
    <w:rsid w:val="00F40B6D"/>
    <w:rsid w:val="00F52846"/>
    <w:rsid w:val="00F60628"/>
    <w:rsid w:val="00F7643B"/>
    <w:rsid w:val="00FA6241"/>
    <w:rsid w:val="00FB132E"/>
    <w:rsid w:val="00FB16FB"/>
    <w:rsid w:val="00FB6C64"/>
    <w:rsid w:val="00FC179C"/>
    <w:rsid w:val="00FD45A2"/>
    <w:rsid w:val="00FF36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04B"/>
    <w:pPr>
      <w:jc w:val="both"/>
    </w:pPr>
    <w:rPr>
      <w:rFonts w:ascii="Times New Roman" w:hAnsi="Times New Roman"/>
      <w:sz w:val="24"/>
    </w:rPr>
  </w:style>
  <w:style w:type="paragraph" w:styleId="Heading1">
    <w:name w:val="heading 1"/>
    <w:basedOn w:val="Normal"/>
    <w:next w:val="Normal"/>
    <w:link w:val="Heading1Char"/>
    <w:uiPriority w:val="9"/>
    <w:qFormat/>
    <w:rsid w:val="0006345D"/>
    <w:pPr>
      <w:keepNext/>
      <w:keepLines/>
      <w:shd w:val="clear" w:color="auto" w:fill="0070C0"/>
      <w:spacing w:before="480" w:after="0"/>
      <w:outlineLvl w:val="0"/>
    </w:pPr>
    <w:rPr>
      <w:rFonts w:eastAsiaTheme="majorEastAsia" w:cstheme="majorBidi"/>
      <w:b/>
      <w:bCs/>
      <w:color w:val="FFFFFF" w:themeColor="background1"/>
      <w:sz w:val="28"/>
      <w:szCs w:val="28"/>
    </w:rPr>
  </w:style>
  <w:style w:type="paragraph" w:styleId="Heading2">
    <w:name w:val="heading 2"/>
    <w:basedOn w:val="Normal"/>
    <w:next w:val="Normal"/>
    <w:link w:val="Heading2Char"/>
    <w:uiPriority w:val="9"/>
    <w:unhideWhenUsed/>
    <w:qFormat/>
    <w:rsid w:val="0059104B"/>
    <w:pPr>
      <w:keepNext/>
      <w:keepLines/>
      <w:spacing w:before="200" w:after="0"/>
      <w:outlineLvl w:val="1"/>
    </w:pPr>
    <w:rPr>
      <w:rFonts w:eastAsiaTheme="majorEastAsia" w:cstheme="majorBidi"/>
      <w:b/>
      <w:bCs/>
      <w:color w:val="984806" w:themeColor="accent6" w:themeShade="80"/>
      <w:sz w:val="26"/>
      <w:szCs w:val="26"/>
    </w:rPr>
  </w:style>
  <w:style w:type="paragraph" w:styleId="Heading3">
    <w:name w:val="heading 3"/>
    <w:basedOn w:val="Normal"/>
    <w:next w:val="Normal"/>
    <w:link w:val="Heading3Char"/>
    <w:uiPriority w:val="9"/>
    <w:unhideWhenUsed/>
    <w:qFormat/>
    <w:rsid w:val="0059104B"/>
    <w:pPr>
      <w:keepNext/>
      <w:keepLines/>
      <w:spacing w:before="200" w:after="0"/>
      <w:outlineLvl w:val="2"/>
    </w:pPr>
    <w:rPr>
      <w:rFonts w:asciiTheme="majorHAnsi" w:eastAsiaTheme="majorEastAsia" w:hAnsiTheme="majorHAnsi" w:cstheme="majorBidi"/>
      <w:b/>
      <w:bCs/>
      <w:color w:val="4F6228" w:themeColor="accent3" w:themeShade="80"/>
    </w:rPr>
  </w:style>
  <w:style w:type="paragraph" w:styleId="Heading4">
    <w:name w:val="heading 4"/>
    <w:basedOn w:val="Normal"/>
    <w:next w:val="Normal"/>
    <w:link w:val="Heading4Char"/>
    <w:uiPriority w:val="9"/>
    <w:unhideWhenUsed/>
    <w:qFormat/>
    <w:rsid w:val="004340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45D"/>
    <w:rPr>
      <w:rFonts w:ascii="Times New Roman" w:eastAsiaTheme="majorEastAsia" w:hAnsi="Times New Roman" w:cstheme="majorBidi"/>
      <w:b/>
      <w:bCs/>
      <w:color w:val="FFFFFF" w:themeColor="background1"/>
      <w:sz w:val="28"/>
      <w:szCs w:val="28"/>
      <w:shd w:val="clear" w:color="auto" w:fill="0070C0"/>
    </w:rPr>
  </w:style>
  <w:style w:type="character" w:customStyle="1" w:styleId="Heading2Char">
    <w:name w:val="Heading 2 Char"/>
    <w:basedOn w:val="DefaultParagraphFont"/>
    <w:link w:val="Heading2"/>
    <w:uiPriority w:val="9"/>
    <w:rsid w:val="0059104B"/>
    <w:rPr>
      <w:rFonts w:ascii="Times New Roman" w:eastAsiaTheme="majorEastAsia" w:hAnsi="Times New Roman" w:cstheme="majorBidi"/>
      <w:b/>
      <w:bCs/>
      <w:color w:val="984806" w:themeColor="accent6" w:themeShade="80"/>
      <w:sz w:val="26"/>
      <w:szCs w:val="26"/>
    </w:rPr>
  </w:style>
  <w:style w:type="paragraph" w:styleId="Header">
    <w:name w:val="header"/>
    <w:basedOn w:val="Normal"/>
    <w:link w:val="HeaderChar"/>
    <w:uiPriority w:val="99"/>
    <w:unhideWhenUsed/>
    <w:rsid w:val="000F0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7B"/>
    <w:rPr>
      <w:rFonts w:ascii="Times New Roman" w:hAnsi="Times New Roman"/>
      <w:sz w:val="24"/>
    </w:rPr>
  </w:style>
  <w:style w:type="paragraph" w:styleId="Footer">
    <w:name w:val="footer"/>
    <w:basedOn w:val="Normal"/>
    <w:link w:val="FooterChar"/>
    <w:uiPriority w:val="99"/>
    <w:unhideWhenUsed/>
    <w:rsid w:val="000F0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7B"/>
    <w:rPr>
      <w:rFonts w:ascii="Times New Roman" w:hAnsi="Times New Roman"/>
      <w:sz w:val="24"/>
    </w:rPr>
  </w:style>
  <w:style w:type="paragraph" w:styleId="NoSpacing">
    <w:name w:val="No Spacing"/>
    <w:link w:val="NoSpacingChar"/>
    <w:uiPriority w:val="1"/>
    <w:qFormat/>
    <w:rsid w:val="000F087B"/>
    <w:pPr>
      <w:spacing w:after="0" w:line="240" w:lineRule="auto"/>
    </w:pPr>
    <w:rPr>
      <w:rFonts w:eastAsiaTheme="minorEastAsia"/>
    </w:rPr>
  </w:style>
  <w:style w:type="character" w:customStyle="1" w:styleId="NoSpacingChar">
    <w:name w:val="No Spacing Char"/>
    <w:basedOn w:val="DefaultParagraphFont"/>
    <w:link w:val="NoSpacing"/>
    <w:uiPriority w:val="1"/>
    <w:rsid w:val="000F087B"/>
    <w:rPr>
      <w:rFonts w:eastAsiaTheme="minorEastAsia"/>
    </w:rPr>
  </w:style>
  <w:style w:type="character" w:customStyle="1" w:styleId="Heading3Char">
    <w:name w:val="Heading 3 Char"/>
    <w:basedOn w:val="DefaultParagraphFont"/>
    <w:link w:val="Heading3"/>
    <w:uiPriority w:val="9"/>
    <w:rsid w:val="0059104B"/>
    <w:rPr>
      <w:rFonts w:asciiTheme="majorHAnsi" w:eastAsiaTheme="majorEastAsia" w:hAnsiTheme="majorHAnsi" w:cstheme="majorBidi"/>
      <w:b/>
      <w:bCs/>
      <w:color w:val="4F6228" w:themeColor="accent3" w:themeShade="80"/>
      <w:sz w:val="24"/>
    </w:rPr>
  </w:style>
  <w:style w:type="paragraph" w:styleId="Title">
    <w:name w:val="Title"/>
    <w:basedOn w:val="Normal"/>
    <w:next w:val="Normal"/>
    <w:link w:val="TitleChar"/>
    <w:uiPriority w:val="10"/>
    <w:qFormat/>
    <w:rsid w:val="0059104B"/>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04B"/>
    <w:rPr>
      <w:rFonts w:ascii="Times New Roman" w:eastAsiaTheme="majorEastAsia" w:hAnsi="Times New Roman" w:cstheme="majorBidi"/>
      <w:color w:val="17365D" w:themeColor="text2" w:themeShade="BF"/>
      <w:spacing w:val="5"/>
      <w:kern w:val="28"/>
      <w:sz w:val="52"/>
      <w:szCs w:val="52"/>
    </w:rPr>
  </w:style>
  <w:style w:type="paragraph" w:styleId="ListParagraph">
    <w:name w:val="List Paragraph"/>
    <w:basedOn w:val="Normal"/>
    <w:uiPriority w:val="34"/>
    <w:qFormat/>
    <w:rsid w:val="001F0EEC"/>
    <w:pPr>
      <w:ind w:left="720"/>
      <w:contextualSpacing/>
    </w:pPr>
  </w:style>
  <w:style w:type="paragraph" w:styleId="BalloonText">
    <w:name w:val="Balloon Text"/>
    <w:basedOn w:val="Normal"/>
    <w:link w:val="BalloonTextChar"/>
    <w:uiPriority w:val="99"/>
    <w:semiHidden/>
    <w:unhideWhenUsed/>
    <w:rsid w:val="00AE5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808"/>
    <w:rPr>
      <w:rFonts w:ascii="Tahoma" w:hAnsi="Tahoma" w:cs="Tahoma"/>
      <w:sz w:val="16"/>
      <w:szCs w:val="16"/>
    </w:rPr>
  </w:style>
  <w:style w:type="character" w:styleId="PlaceholderText">
    <w:name w:val="Placeholder Text"/>
    <w:basedOn w:val="DefaultParagraphFont"/>
    <w:uiPriority w:val="99"/>
    <w:semiHidden/>
    <w:rsid w:val="001331BE"/>
    <w:rPr>
      <w:color w:val="808080"/>
    </w:rPr>
  </w:style>
  <w:style w:type="paragraph" w:styleId="Caption">
    <w:name w:val="caption"/>
    <w:basedOn w:val="Normal"/>
    <w:next w:val="Normal"/>
    <w:uiPriority w:val="35"/>
    <w:unhideWhenUsed/>
    <w:qFormat/>
    <w:rsid w:val="00D1242F"/>
    <w:pPr>
      <w:spacing w:line="240" w:lineRule="auto"/>
    </w:pPr>
    <w:rPr>
      <w:b/>
      <w:bCs/>
      <w:color w:val="4F81BD" w:themeColor="accent1"/>
      <w:sz w:val="18"/>
      <w:szCs w:val="18"/>
    </w:rPr>
  </w:style>
  <w:style w:type="table" w:styleId="TableGrid">
    <w:name w:val="Table Grid"/>
    <w:basedOn w:val="TableNormal"/>
    <w:uiPriority w:val="59"/>
    <w:rsid w:val="00F236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340A5"/>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semiHidden/>
    <w:unhideWhenUsed/>
    <w:qFormat/>
    <w:rsid w:val="00487832"/>
    <w:pPr>
      <w:shd w:val="clear" w:color="auto" w:fill="auto"/>
      <w:jc w:val="left"/>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487832"/>
    <w:pPr>
      <w:spacing w:after="100"/>
    </w:pPr>
  </w:style>
  <w:style w:type="paragraph" w:styleId="TOC2">
    <w:name w:val="toc 2"/>
    <w:basedOn w:val="Normal"/>
    <w:next w:val="Normal"/>
    <w:autoRedefine/>
    <w:uiPriority w:val="39"/>
    <w:unhideWhenUsed/>
    <w:rsid w:val="00487832"/>
    <w:pPr>
      <w:spacing w:after="100"/>
      <w:ind w:left="240"/>
    </w:pPr>
  </w:style>
  <w:style w:type="paragraph" w:styleId="TOC3">
    <w:name w:val="toc 3"/>
    <w:basedOn w:val="Normal"/>
    <w:next w:val="Normal"/>
    <w:autoRedefine/>
    <w:uiPriority w:val="39"/>
    <w:unhideWhenUsed/>
    <w:rsid w:val="00487832"/>
    <w:pPr>
      <w:spacing w:after="100"/>
      <w:ind w:left="480"/>
    </w:pPr>
  </w:style>
  <w:style w:type="character" w:styleId="Hyperlink">
    <w:name w:val="Hyperlink"/>
    <w:basedOn w:val="DefaultParagraphFont"/>
    <w:uiPriority w:val="99"/>
    <w:unhideWhenUsed/>
    <w:rsid w:val="00487832"/>
    <w:rPr>
      <w:color w:val="0000FF" w:themeColor="hyperlink"/>
      <w:u w:val="single"/>
    </w:rPr>
  </w:style>
  <w:style w:type="table" w:styleId="LightShading-Accent4">
    <w:name w:val="Light Shading Accent 4"/>
    <w:basedOn w:val="TableNormal"/>
    <w:uiPriority w:val="60"/>
    <w:rsid w:val="0065390F"/>
    <w:pPr>
      <w:spacing w:after="0" w:line="240" w:lineRule="auto"/>
    </w:pPr>
    <w:rPr>
      <w:rFonts w:ascii="Times New Roman" w:eastAsia="Times New Roman" w:hAnsi="Times New Roman" w:cs="Times New Roman"/>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89A90-C13B-4A01-8BCD-E06A361E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KienTran</dc:creator>
  <cp:lastModifiedBy>HotGa</cp:lastModifiedBy>
  <cp:revision>4</cp:revision>
  <dcterms:created xsi:type="dcterms:W3CDTF">2011-02-09T15:40:00Z</dcterms:created>
  <dcterms:modified xsi:type="dcterms:W3CDTF">2011-02-09T16:42:00Z</dcterms:modified>
</cp:coreProperties>
</file>