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8A" w:rsidRPr="00C26079" w:rsidRDefault="0025268A" w:rsidP="002526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Thiết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kiến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trúc</w:t>
      </w:r>
      <w:proofErr w:type="spellEnd"/>
    </w:p>
    <w:p w:rsidR="0025268A" w:rsidRPr="00C26079" w:rsidRDefault="0025268A" w:rsidP="0025268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</w:t>
      </w:r>
      <w:proofErr w:type="gramEnd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thiệu</w:t>
      </w:r>
      <w:proofErr w:type="spellEnd"/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(three-layers),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interface </w:t>
      </w:r>
      <w:r w:rsidRPr="007C400B">
        <w:rPr>
          <w:rFonts w:ascii="Times New Roman" w:hAnsi="Times New Roman" w:cs="Times New Roman"/>
          <w:sz w:val="24"/>
          <w:szCs w:val="24"/>
        </w:rPr>
        <w:t xml:space="preserve">layer),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 xml:space="preserve">(business layer), </w:t>
      </w:r>
      <w:proofErr w:type="spellStart"/>
      <w:proofErr w:type="gram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người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dùng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thao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25268A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cập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đổi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liên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giữa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layer (DTO)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2.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lớp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29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kiến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trúc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thành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phần</w:t>
      </w:r>
      <w:proofErr w:type="spellEnd"/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3.1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MH_Xem_Noi_Dung_Van_Ban</w:t>
            </w:r>
            <w:proofErr w:type="spellEnd"/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3.2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truyền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tải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DTO</w:t>
      </w: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_arrBaiHocVH;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BaiHocVanHocDto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_vanBan;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_docHieu;</w:t>
            </w:r>
          </w:p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_loaiBaiHocVH;</w:t>
            </w:r>
          </w:p>
        </w:tc>
      </w:tr>
    </w:tbl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lastRenderedPageBreak/>
        <w:t>VanBanDto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_tieuDe;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_phuDe;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_amThanh;        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_cacDoanVan;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_arrBaiTap;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_arrCauHoiTuLuan;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xuất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DAO</w:t>
      </w: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LT_XML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LT_XML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XmlDocument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        </w:t>
            </w:r>
          </w:p>
          <w:p w:rsidR="0025268A" w:rsidRPr="00654BF4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lastRenderedPageBreak/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ten_file)       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BaiHocVanHocDao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VanBanDao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DoanVanDao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BaiTapDao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68A" w:rsidRDefault="0025268A" w:rsidP="0025268A">
      <w:pPr>
        <w:ind w:firstLine="720"/>
        <w:rPr>
          <w:rFonts w:ascii="Courier New" w:hAnsi="Courier New" w:cs="Courier New"/>
          <w:noProof/>
          <w:color w:val="2B91A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DocHieuDao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Pr="006A7588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6A7588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3.4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lastRenderedPageBreak/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BaiHocVanHocBus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BaiHocVanHocBus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LayNoiDungVanBan(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vb)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4E73A4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13726C" w:rsidRPr="0025268A" w:rsidRDefault="0013726C" w:rsidP="0025268A">
      <w:pPr>
        <w:rPr>
          <w:szCs w:val="24"/>
        </w:rPr>
      </w:pPr>
    </w:p>
    <w:sectPr w:rsidR="0013726C" w:rsidRPr="0025268A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62178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C6F84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268A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A405C"/>
    <w:rsid w:val="008A5B0F"/>
    <w:rsid w:val="008B5445"/>
    <w:rsid w:val="008B55BD"/>
    <w:rsid w:val="008C3067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84648"/>
    <w:rsid w:val="00B96BDD"/>
    <w:rsid w:val="00BA01E3"/>
    <w:rsid w:val="00BC2EB8"/>
    <w:rsid w:val="00BC3B67"/>
    <w:rsid w:val="00BC5908"/>
    <w:rsid w:val="00BD21AF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E53E7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  <w:style w:type="table" w:styleId="TableGrid">
    <w:name w:val="Table Grid"/>
    <w:basedOn w:val="TableNormal"/>
    <w:uiPriority w:val="59"/>
    <w:rsid w:val="00252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34</cp:revision>
  <dcterms:created xsi:type="dcterms:W3CDTF">2010-04-27T12:27:00Z</dcterms:created>
  <dcterms:modified xsi:type="dcterms:W3CDTF">2010-05-08T09:45:00Z</dcterms:modified>
</cp:coreProperties>
</file>