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在三个多跳生成基准上，检索带来的正确率提升在 API 大模型与本地 4B 模型上一致成立。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召回，换语料、换生成模型后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固定块在宽预算下更连贯。系统按目标预算自动选择：ctx &lt; 500 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低于报告值。这四条不进入摘要，也不改变第 6 节的主结论。</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