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On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the default way to ground language models in external, updatable evidence [1]. In most systems the retrieval depth is a hyperparameter: a fixed number of passages is retrieved and concatenated into the context [2,3]. That default made sense when context was cheap—retrieving a few more passages cost almost nothing. The cost has since moved elsewhere. Position-sensitivity experiments show double-digit accuracy differences depending on where the same evidence lands in the context [4], so "retrieve more" is no longer equivalent to "answer better"; both *how much* to retrieve and *where to put it* have become resources that must be allocated rather than tuned. A subtler cost is reporting: most work reports Recall@$k$ at a fixed $k$, while $k$, chunk size and routing depth differ across methods, so quality–cost curves cannot be stitched together—an apparent recall gain may simply be more tokens spent. We therefore treat the comparison protocol as part of the method and report Recall@budget throughout (Section 6.1).</w:t>
      </w:r>
    </w:p>
    <w:p>
      <w:r>
        <w:t xml:space="preserve">Existing work answers "how much to retrieve" along four lines: adaptive retrieval decides *whether* and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What these lines share is that the budget itself stays exogenous: a classifier picks a depth, an evaluator triggers a repair, a selector picks among priced evidence—but none of them answers "given this budget, which step deserves the next unit of money." Cost-aware RAG's finding that static selectors are brittle suggests that </w:t>
      </w:r>
      <w:r>
        <w:rPr>
          <w:b/>
        </w:rPr>
        <w:t>the allocation policy itself deserves a model</w:t>
      </w:r>
      <w:r>
        <w:t>.</w:t>
      </w:r>
    </w:p>
    <w:p>
      <w:r>
        <w:t xml:space="preserve">We cast retrieval-depth selection as </w:t>
      </w:r>
      <w:r>
        <w:rPr>
          <w:b/>
        </w:rPr>
        <w:t>budget-constrained set selection</w:t>
      </w:r>
      <w:r>
        <w:t>. Every executable retrieval action—taking another chunk, switching to hybrid retrieval, rewriting the query, adding a cross-hop retrieval—is an element with cost $c(a)$ and marginal gain $g(a\mid S)$; a policy is a subset $S$ chosen under budget $B$. Under the empirically testable assumption of diminishing returns, the quality function is monotone submodular, so the classical approximation guarantees apply to density-ordered greedy selection. Two consequences fall out that can be implemented directly: whether rewriting pays off depends on the shadow price of the budget rather than on a fixed rule, and the optimal cascade is a chain of confidence thresholds.</w:t>
      </w:r>
    </w:p>
    <w:p>
      <w:r>
        <w:t xml:space="preserve">We implement the framework as a running system and evaluate it on a 200-query retrieval benchmark and a 500-query end-to-end benchmark. Against five baselines under a common budget, the system reaches </w:t>
      </w:r>
      <w:r>
        <w:rPr>
          <w:b/>
        </w:rPr>
        <w:t>0.960</w:t>
      </w:r>
      <w:r>
        <w:t xml:space="preserve"> recall at an average context cost of </w:t>
      </w:r>
      <w:r>
        <w:rPr>
          <w:b/>
        </w:rPr>
        <w:t>126 tokens</w:t>
      </w:r>
      <w:r>
        <w:t>, versus 0.925 at 179 tokens for a corrective-retrieval approximation and 0.910 at 115 tokens for dense retrieval; paired bootstrap and McNemar tests show the differences are significant ($p&lt;0.05$). On 500 end-to-end queries it matches fixed top-3 containment (0.912 vs 0.920) at roughly half the prompt cost (474 vs 972 tokens). Recall reaches 0.995 and 1.000 on two LongBench retrieval subsets, and on three multi-hop generation benchmarks the improvement from retrieval holds for both a hosted large model and a locally deployed 4B model. Two hundred doubly-annotated examples indicate that automatic metrics are conservative, so the reported recall is a lower bound on answer quality.</w:t>
      </w:r>
    </w:p>
    <w:p>
      <w:r>
        <w:t>Our contributions are threefold.</w:t>
      </w:r>
    </w:p>
    <w:p>
      <w:pPr>
        <w:pStyle w:val="ListNumber"/>
      </w:pPr>
      <w:r>
        <w:t>We unify chunk selection, hybrid retrieval, query rewriting and cross-hop retrieval into a</w:t>
      </w:r>
    </w:p>
    <w:p>
      <w:r>
        <w:t>single priced action set and state its approximation bound: under diminishing returns the quality function is monotone submodular; density greedy attains $1-1/e$ under a cardinality budget and $(1-1/e)/2$ under a cost budget, recovering $1-1/e$ with cross-tier enumeration (Sections 3 and 5).</w:t>
      </w:r>
    </w:p>
    <w:p>
      <w:pPr>
        <w:pStyle w:val="ListNumber"/>
      </w:pPr>
      <w:r>
        <w:t>We derive a closed-form rewriting threshold $\tau^*(\lambda)$ and verify its direction</w:t>
      </w:r>
    </w:p>
    <w:p>
      <w:r>
        <w:t>empirically: raising the unit-price coefficient from 0.25 to 2 moves $\tau^*$ from 0.25 to 0, as Propositions 2 and 4 predict (Section 6.7).</w:t>
      </w:r>
    </w:p>
    <w:p>
      <w:pPr>
        <w:pStyle w:val="ListNumber"/>
      </w:pPr>
      <w:r>
        <w:t>We report 0.960 recall at 126 tokens on a 200-query benchmark, show that the result does not</w:t>
      </w:r>
    </w:p>
    <w:p>
      <w:r>
        <w:t>degrade across corpora or generator models, and use 200 doubly-annotated examples to show that the reported recall is a lower bound (Sections 6.2–6.6).</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cross-hop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cross-hop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cross-hop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is cheaper under tight budgets because it never drags unrelated sentences in; fixed blocks are more coherent when the budget is generous. The system picks automatically: sentence level when ctx &lt; 500, fixed blocks otherwise.</w:t>
      </w:r>
    </w:p>
    <w:p>
      <w:r>
        <w:t xml:space="preserve">Chunks are accumulated in descending retrieval score until the selected chunks reach the token budget $B$, and then the loop stops. There is </w:t>
      </w:r>
      <w:r>
        <w:rPr>
          <w:b/>
        </w:rPr>
        <w:t>no fixed $k$ truncation</w:t>
      </w:r>
      <w:r>
        <w:t>—this is what makes the budget, rather than the count, the first-class quantity.</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w:t>
      </w:r>
    </w:p>
    <w:p>
      <w:r>
        <w:t>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1"/>
      </w:pPr>
      <w:r>
        <w:t>7. Discussion</w:t>
      </w:r>
    </w:p>
    <w:p>
      <w:pPr>
        <w:pStyle w:val="Heading2"/>
      </w:pPr>
      <w:r>
        <w:t>7.1 Budget as an Interface, Not a Hyperparameter</w:t>
      </w:r>
    </w:p>
    <w:p>
      <w:r>
        <w:t>Writing the budget as a constraint rather than a tuned $k$ buys three transferable properties.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cross-hop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four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tiktoken over-counts Chinese relative to actual billing (Section 7.3), so the true context cost at equal recall is lower than reported. None of these four enters the abstract, and none changes the main conclusions of Section 6.</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