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and the corpus consists of twenty-odd distractor passages, with an 800-token budget covering about 11% of it. Whether retrieval caused the decline, or which property of the corpus did, is not identified here; the effect itself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On 200 doubly-annotated items, automatic containment agrees with human judgement 90%–97% of the time, and inter-annotator agreement is 0.548 (unweighted) and 0.673 (quadratic weighted). Agreement alone does not establish the direction of the errors: in our sample the automatic metric misses some valid answers, which suggests the reported recall is conservative, but we do not claim a proven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 The budget-300 row averages 318 tokens because the final chunk can overshoot the cap; budgets are upper bounds, not exact counts.</w:t>
      </w:r>
    </w:p>
    <w:p>
      <w:r>
        <w:rPr>
          <w:b/>
        </w:rPr>
        <w:t>BEIR (public protocol, document level)</w:t>
      </w:r>
    </w:p>
    <w:p>
      <w:r>
        <w:t>We run four BEIR subsets through the same pipeline (bge-m3 embeddings, hybrid alpha = 0.2, chunk size 200) and use fixed k = 8 as the reference; the adaptive configuration is the cheapest one whose nDCG@10 does not fall more than 0.002 below that baseline (it may exceed it).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within noise as budget-300 truncation (0.904 versus 0.910 at 289 versus 318 tokens), so the difference comes from deciding how many chunks each query needs, not from stopping at a token count. Third, </w:t>
      </w:r>
      <w:r>
        <w:rPr>
          <w:b/>
        </w:rPr>
        <w:t>sentence-level indexing and gated rewriting do not transfer</w:t>
      </w:r>
      <w:r>
        <w:t>: on English documentation, at the same 300-token budget, document-level recall of the sentence index is 0.718 against 0.910 for fixed blocks, and that of gated rewriting is 0.874,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(289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