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commonly fixes how much context to retrieve, although queries differ in difficulty and budgets are finite. We formulate retrieval-depth selection as a budget-constrained choice among priced actions: adding a chunk, switching to hybrid retrieval, rewriting the query or taking a second hop. Under monotonicity and diminishing returns the objective is submodular, so greedy selection inherits a $1-1/e$ guarantee with a cardinality budget, $(1-1/e)/2$ with a cost budget, and $1-1/e$ with cross-tier enumeration. The budget's shadow price then decides when rewriting pays off and where a cascade sets its confidence thresholds.</w:t>
      </w:r>
    </w:p>
    <w:p>
      <w:r>
        <w:t>In a controlled synthetic retrieval benchmark of 200 queries, the system reaches 0.960 recall at 126 context tokens, against 0.925 at 179 for a behavioural approximation of corrective retrieval and 0.910 at 115 for dense retrieval ($p&lt;0.05$, bootstrap and McNemar). On 500 synthetic end-to-end queries, containment is 0.912 versus 0.920 for fixed top-3, within paired noise, at 474 versus 972 prompt tokens. Retrieval also improves answer accuracy on three multi-hop benchmarks for a local 4B model and on HotpotQA for a hosted model.</w:t>
      </w:r>
    </w:p>
    <w:p>
      <w:r>
        <w:t>Transfer is selective. Score-margin depth selection saves 1-24% of context tokens at equal nDCG@10 on three of four BEIR subsets but fails on arguana, and neither sentence-level indexing nor gated rewriting transfers to English documentation. A split-conformal protocol maps attainable quality targets to budgets with twenty labelled questions, reports reach rates and declines unreachable targets; empirical coverage stays within 0.015 of nominal at 120-276 tokens on the hybrid retriever. An audit of 200 doubly annotated examples suggests automatic containment can miss valid answers, without proving a lower bound.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grounds language models in external, updatable evidence [1]. Many systems nevertheless retrieve a fixed number of passages [2,3]. That choice can waste context on straightforward queries while leaving harder ones without sufficient evidence. It can also affect the answer in less predictable ways: changing the position of identical evidence has produced double-digit differences in accuracy [4]. More retrieved text is therefore not necessarily better. Nor does Recall@$k$ alone establish a comparable quality-cost trade-off when systems differ in chunk size, routing depth or token use. We use Recall@budget to make retrieval comparisons at matched context budgets (Section 6.1).</w:t>
      </w:r>
    </w:p>
    <w:p>
      <w:r>
        <w:t xml:space="preserve">Existing approaches address parts of this problem. Adaptive retrieval determines whether and how far to retrieve; corrective retrieval responds to inadequate evidence; cost-aware selection prices evidence acquisition; and compression, reranking and rewriting alter the cost, order or candidate pool of evidence (Sections 2.1-2.4). These mechanisms leave a common allocation question: </w:t>
      </w:r>
      <w:r>
        <w:rPr>
          <w:b/>
        </w:rPr>
        <w:t>given a query and a remaining budget, which available action merits the next unit of expenditure?</w:t>
      </w:r>
      <w:r>
        <w:t xml:space="preserve"> The reported brittleness of static selectors further motivates making that decision explicit [12].</w:t>
      </w:r>
    </w:p>
    <w:p>
      <w:r>
        <w:t>We model a retrieval policy as a set $S$ of executable actions, each with cost $c(a)$ and marginal quality gain $g(a\mid S)$, subject to budget $B$. When quality is monotone and gains diminish as actions accumulate, the resulting objective is submodular. Its approximation guarantees are conditional on those properties, rather than guarantees that every retrieval corpus satisfies them. The same formulation links query rewriting to the shadow price of the budget and, under the stated cascade model, yields a chain of confidence thresholds whose cutoffs decline as that price rises. We implement the framework and examine both its controlled performance and its limits on public corpora.</w:t>
      </w:r>
    </w:p>
    <w:p>
      <w:r>
        <w:t>Our contributions are fourfold:</w:t>
      </w:r>
    </w:p>
    <w:p>
      <w:pPr>
        <w:pStyle w:val="ListNumber"/>
      </w:pPr>
      <w:r>
        <w:rPr>
          <w:b/>
        </w:rPr>
        <w:t>A common action model.</w:t>
      </w:r>
      <w:r>
        <w:t xml:space="preserve"> We place chunk selection, hybrid retrieval, query rewriting and</w:t>
      </w:r>
    </w:p>
    <w:p>
      <w:r>
        <w:t>second-hop retrieval in one priced action set. Under the stated conditions, gain-per-cost greedy selection attains the cardinality- and cost-budget guarantees above, with cross-tier enumeration restoring the stronger bound (Sections 3 and 5).</w:t>
      </w:r>
    </w:p>
    <w:p>
      <w:pPr>
        <w:pStyle w:val="ListNumber"/>
      </w:pPr>
      <w:r>
        <w:rPr>
          <w:b/>
        </w:rPr>
        <w:t>A price-dependent rewriting rule.</w:t>
      </w:r>
      <w:r>
        <w:t xml:space="preserve"> We derive the rewriting threshold $\tau^*(\lambda)$</w:t>
      </w:r>
    </w:p>
    <w:p>
      <w:r>
        <w:t>(Propositions 2 and 4). In the reported sweep, increasing the unit-price coefficient from 0.25 to 2 lowers $\tau^*$ from 0.25 to 0 (Section 6.7).</w:t>
      </w:r>
    </w:p>
    <w:p>
      <w:pPr>
        <w:pStyle w:val="ListNumber"/>
      </w:pPr>
      <w:r>
        <w:rPr>
          <w:b/>
        </w:rPr>
        <w:t>A budget interface.</w:t>
      </w:r>
      <w:r>
        <w:t xml:space="preserve"> A twenty-question split-conformal calibration protocol translates attainable</w:t>
      </w:r>
    </w:p>
    <w:p>
      <w:r>
        <w:t>quality targets into budgets, reports their reach rates and declines targets the retriever cannot meet (Section 6.10).</w:t>
      </w:r>
    </w:p>
    <w:p>
      <w:pPr>
        <w:pStyle w:val="ListNumber"/>
      </w:pPr>
      <w:r>
        <w:rPr>
          <w:b/>
        </w:rPr>
        <w:t>An evaluation of performance and transfer.</w:t>
      </w:r>
      <w:r>
        <w:t xml:space="preserve"> A 200-query retrieval benchmark and 500 end-to-end queries assess retrieval and</w:t>
      </w:r>
    </w:p>
    <w:p>
      <w:r>
        <w:t>generation cost; LongBench subsets and multi-hop benchmarks test additional settings. Evaluation on 312 official documentation pages and four BEIR subsets distinguishes transferable score-margin depth selection from sentence-level indexing and gated rewriting, which do not transfer to English documentation. A doubly annotated audit examines the limits of automatic containment metrics (Sections 6.1-6.9).</w:t>
      </w:r>
    </w:p>
    <w:p>
      <w:pPr>
        <w:pStyle w:val="Heading1"/>
      </w:pPr>
      <w:r>
        <w:t>2. Related Work</w:t>
      </w:r>
    </w:p>
    <w:p>
      <w:r>
        <w:t>Retrieval-augmented generation (RAG) combines parametric knowledge with external, updatable evidence [1]. Many systems fix retrieval depth, concatenating a predetermined number of top-$k$ passages retrieved by a sparse or dense retriever into the context [1-3]. This default was reasonable when a few extra passages cost little. Position-sensitivity experiments, however, show double-digit accuracy differences when identical evidence appears at different locations in the context [4]: more retrieved evidence need not improve an answer, and both evidence volume and placement act as resources to allocate rather than parameters to tune. A subtler cost is reporting. Studies typically report Recall@$k$ for a single $k$, although chunk lengths, retrieval depths and token costs differ across methods, so quality-cost curves from different studies cannot be compared directly -- 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p>
      <w:r>
        <w:rPr>
          <w:b/>
        </w:rPr>
        <w:t>Table 1.</w:t>
      </w:r>
      <w:r>
        <w:t xml:space="preserve"> Comparison of representative adaptive-retrieval lines against this work. Table 1 summarises this positioning.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For each query, let $\mathcal{A}$ denote the available retrieval actions and $S \subseteq \mathcal{A}$ the actions selected. Each action $a$ has cost $c(a)$ and marginal gain $g(a \mid S)$ given $S$. We assume that the quality $Q(S)$ is monotone non-decreasing. Under budget $B$, the policy selects an action set by solving</w:t>
      </w:r>
    </w:p>
    <w:p>
      <w:pPr>
        <w:jc w:val="center"/>
      </w:pPr>
      <w:r>
        <w:rPr>
          <w:i/>
        </w:rPr>
        <w:t>\max_{S \subseteq \mathcal{A}} Q(S) \quad \text{subject to} \quad \sum_{a \in S} c(a) \le B .</w:t>
      </w:r>
    </w:p>
    <w:p>
      <w:r>
        <w:t xml:space="preserve">The subsequent results rely on two assumptions. Under </w:t>
      </w:r>
      <w:r>
        <w:rPr>
          <w:b/>
        </w:rPr>
        <w:t>(A1)</w:t>
      </w:r>
      <w:r>
        <w:t xml:space="preserve">, marginal gains diminish: $g(a \mid S) \ge g(a \mid T)$ whenever $S \subseteq T \subseteq \mathcal{A}$ and $a \notin T$. Under </w:t>
      </w:r>
      <w:r>
        <w:rPr>
          <w:b/>
        </w:rPr>
        <w:t>(A2)</w:t>
      </w:r>
      <w:r>
        <w:t>, action costs are additive and independent of execution order.</w:t>
      </w:r>
    </w:p>
    <w:p>
      <w:pPr>
        <w:pStyle w:val="Heading1"/>
      </w:pPr>
      <w:r>
        <w:t>4. Method</w:t>
      </w:r>
    </w:p>
    <w:p>
      <w:r>
        <w:t>Our retrieval layer builds on two standard components: sparse BM25 scoring [2] and dense bi-encoder retrieval [3].</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(0.910 against 0.718 at a 300-token budget). Whether both indexes are built is a corpus-level decision: short-sentence corpora are dual-indexed, while English documentation is indexed with fixed blocks only (Section 6.9). When both exist, the per-query budget $ctx$ (in tokens, equal to $B$) selects sentence level for $ctx \le 500$ and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about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Short-sentence corpora are indexed twice (sentence level and fixed blocks) and English documentation is indexed with fixed blocks only; when both exist, the per-query budget decides which one is used (Section 4.1).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Metrics.</w:t>
      </w:r>
      <w:r>
        <w:t xml:space="preserve"> Throughout, *recall@budget* is measured under a matched token budget rather than at a fixed depth: chunks are taken in rank order until their cumulative token count reaches the budget $B$, and a query counts as retrieved when the gold answer span appears in the selected chunks (for BEIR we use document-level relevance and report nDCG@10). Token counts are produced by the tokenizer of the reference model, so a passage of the same text costs the same across methods; monetary cost is read from the API-reported usage. Reporting at a matched budget is what makes two methods comparable when their chunk sizes, depths and token accounting differ.</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200-query subset of the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p>
      <w:r>
        <w:rPr>
          <w:b/>
        </w:rPr>
        <w:t>Table 2.</w:t>
      </w:r>
      <w:r>
        <w:t xml:space="preserve"> Main results on a 200-query subset of the 500-question synthetic benchmark (800-token budget). Table 2 reports the main comparison.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p>
      <w:r>
        <w:rPr>
          <w:b/>
        </w:rPr>
        <w:t>Table 3.</w:t>
      </w:r>
      <w:r>
        <w:t xml:space="preserve"> Seed stability across five 2/3 subsamples. Table 3 reports the stability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p>
      <w:r>
        <w:rPr>
          <w:b/>
        </w:rPr>
        <w:t>Table 4.</w:t>
      </w:r>
      <w:r>
        <w:t xml:space="preserve"> Ablation: removing each component in turn. Table 4 reports the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on the short-sentence synthetic corpus. Sentence-level chunks lead at budgets up to 300 tokens (0.912 versus 0.894 at 300) and fixed blocks lead from 500 (0.928 versus 0.918); on English documentation fixed blocks lead at every budget (Section 6.9). The crossover is therefore a property of short-sentence corpora, not a universal rule, and the corpus-level decision of Section 4.1 determines whether it applies.</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change in percentage points.</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p>
      <w:r>
        <w:rPr>
          <w:b/>
        </w:rPr>
        <w:t>Table 5.</w:t>
      </w:r>
      <w:r>
        <w:t xml:space="preserve"> Benefit of retrieval across datasets and models (Qwen3-4B, 800-token budget). Table 5 reports per-dataset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p>
      <w:r>
        <w:rPr>
          <w:b/>
        </w:rPr>
        <w:t>Table 6.</w:t>
      </w:r>
      <w:r>
        <w:t xml:space="preserve"> End-to-end efficiency on twenty queries with the answer cache disabled. Table 6 reports latency and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four BEIR subsets for public-protocol validation.</w:t>
      </w:r>
    </w:p>
    <w:p>
      <w:r>
        <w:rPr>
          <w:b/>
        </w:rPr>
        <w:t>Internal benchmark (301 questions, document-level recall)</w:t>
      </w:r>
    </w:p>
    <w:p>
      <w:r>
        <w:rPr>
          <w:b/>
        </w:rPr>
        <w:t>Table 7.</w:t>
      </w:r>
      <w:r>
        <w:t xml:space="preserve"> Internal benchmark: 301 questions, document-level recall. Table 7 reports the internal benchmark.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 (alpha=0.2)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bl>
    <w:p>
      <w:r>
        <w:t xml:space="preserve">Paired bootstrapping over the 301 questions puts the recall difference at -0.003 (95% CI [-0.020, +0.010], p = 0.81) and the token saving at </w:t>
      </w:r>
      <w:r>
        <w:rPr>
          <w:b/>
        </w:rPr>
        <w:t>15.5%</w:t>
      </w:r>
      <w:r>
        <w:t xml:space="preserve"> (95% CI [11.2%, 19.8%]): the rule is statistically indistinguishable from fixed k = 8 on quality while using 11-20% fewer tokens.</w:t>
      </w:r>
    </w:p>
    <w:p>
      <w:r>
        <w:rPr>
          <w:b/>
        </w:rPr>
        <w:t>BEIR (public protocol, document level)</w:t>
      </w:r>
    </w:p>
    <w:p>
      <w:r>
        <w:t>We run four BEIR subsets through the same pipeline (bge-m3 embeddings, hybrid alpha = 0.2, chunk size 200) and use fixed k = 8 as the reference; the adaptive configuration is the cheapest one whose nDCG@10 stays within 0.002 of that baseline. All queries are used, without subsampling.</w:t>
      </w:r>
    </w:p>
    <w:p>
      <w:r>
        <w:rPr>
          <w:b/>
        </w:rPr>
        <w:t>Table 8.</w:t>
      </w:r>
      <w:r>
        <w:t xml:space="preserve"> BEIR results on four subsets, all queries, fixed k = 8 as reference. Table 8 reports the BEIR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Dataset</w:t>
            </w:r>
          </w:p>
        </w:tc>
        <w:tc>
          <w:tcPr>
            <w:tcW w:type="dxa" w:w="1440"/>
          </w:tcPr>
          <w:p>
            <w:r>
              <w:rPr>
                <w:b/>
                <w:sz w:val="18"/>
              </w:rPr>
            </w:r>
            <w:r>
              <w:rPr>
                <w:b/>
                <w:sz w:val="18"/>
              </w:rPr>
              <w:t>Fixed k=8 nDCG@10</w:t>
            </w:r>
          </w:p>
        </w:tc>
        <w:tc>
          <w:tcPr>
            <w:tcW w:type="dxa" w:w="1440"/>
          </w:tcPr>
          <w:p>
            <w:r>
              <w:rPr>
                <w:b/>
                <w:sz w:val="18"/>
              </w:rPr>
            </w:r>
            <w:r>
              <w:rPr>
                <w:b/>
                <w:sz w:val="18"/>
              </w:rPr>
              <w:t>tokens</w:t>
            </w:r>
          </w:p>
        </w:tc>
        <w:tc>
          <w:tcPr>
            <w:tcW w:type="dxa" w:w="1440"/>
          </w:tcPr>
          <w:p>
            <w:r>
              <w:rPr>
                <w:b/>
                <w:sz w:val="18"/>
              </w:rPr>
            </w:r>
            <w:r>
              <w:rPr>
                <w:b/>
                <w:sz w:val="18"/>
              </w:rPr>
              <w:t>Adaptive nDCG@10</w:t>
            </w:r>
          </w:p>
        </w:tc>
        <w:tc>
          <w:tcPr>
            <w:tcW w:type="dxa" w:w="1440"/>
          </w:tcPr>
          <w:p>
            <w:r>
              <w:rPr>
                <w:b/>
                <w:sz w:val="18"/>
              </w:rPr>
            </w:r>
            <w:r>
              <w:rPr>
                <w:b/>
                <w:sz w:val="18"/>
              </w:rPr>
              <w:t>tokens</w:t>
            </w:r>
          </w:p>
        </w:tc>
        <w:tc>
          <w:tcPr>
            <w:tcW w:type="dxa" w:w="1440"/>
          </w:tcPr>
          <w:p>
            <w:r>
              <w:rPr>
                <w:b/>
                <w:sz w:val="18"/>
              </w:rPr>
            </w:r>
            <w:r>
              <w:rPr>
                <w:b/>
                <w:sz w:val="18"/>
              </w:rPr>
              <w:t>Saving</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The saving is largest where the corpus is small and the margin distribution is bimodal (scifact), shrinks as the corpus grows and margins flatten (fiqa has 57,638 documents), and reverses on arguana, an adversarially constructed benchmark where every adaptive setting we tried spent more tokens for an offsetting gain. The margin signal therefore orders queries by difficulty on natural corpora but not on adversarially built ones. We report that failure instead of tuning tau per dataset to hide it. scidocs was also run but is excluded: its documents are long enough that the embedding endpoint truncates them, which depresses absolute nDCG for every method equally.</w:t>
      </w:r>
    </w:p>
    <w:p>
      <w:r>
        <w:rPr>
          <w:b/>
        </w:rPr>
        <w:t>Significance on real documentation.</w:t>
      </w:r>
      <w:r>
        <w:t xml:space="preserve"> At a 300-token budget the paired comparison on the 301 At a 300-token budget the paired comparison on the 301 questions is mixed, and we report it as such. Hybrid beats BM25 decisively (36 wins, 3 losses, McNemar p &lt; 0.0001, surviving Holm correction for three comparisons) and also beats dense bge-large (25 wins, 8 losses, p = 0.0046, Holm-adjusted 0.0091), but ties dense bge-m3 (11 wins, 4 losses, p = 0.12). On this corpus the system therefore matches the strongest dense retriever rather than surpassing it; the contribution in this setting is the cost side, not the accuracy side.</w:t>
      </w:r>
    </w:p>
    <w:p>
      <w:r>
        <w:t xml:space="preserve">Three revised conclusions. First, the transferable gain is </w:t>
      </w:r>
      <w:r>
        <w:rPr>
          <w:b/>
        </w:rPr>
        <w:t>difficulty-adaptive depth</w:t>
      </w:r>
      <w:r>
        <w:t xml:space="preserve">: at equal recall or hit rate it saves 1-24% of context, the saving tracking how many queries can be answered confidently (24% on scifact, 6% on nfcorpus, 1% on fiqa, where a 57k-document corpus flattens the score margins, and none on the adversarial arguana set).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0.718 against 0.910 for fixed blocks, and gated rewriting 0.874 against 0.910,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and it admits a distribution-free solution with a finite-sample guarantee.</w:t>
      </w:r>
    </w:p>
    <w:p>
      <w:r>
        <w:rPr>
          <w:b/>
        </w:rPr>
        <w:t>Protocol (split conformal).</w:t>
      </w:r>
      <w:r>
        <w:t xml:space="preserve"> Sample N labelled questions (N = 20), record for each the smallest budget at which the answer span enters the context, and set the budget to the ceil((N+1)(1-alpha))-th smallest of those values; alpha = 1 - T for a target T. If the required order statistic is infinite -- that is, the calibration sample never reaches the target -- the protocol reports the target as unreachable instead of returning a number. Under exchangeability of calibration and test questions, the resulting budget covers a new question with probability at least 1 - alpha, so the expected recall is at least T. One hundred random splits separate calibration from evaluation.</w:t>
      </w:r>
    </w:p>
    <w:p>
      <w:r>
        <w:rPr>
          <w:b/>
        </w:rPr>
        <w:t>Table 9.</w:t>
      </w:r>
      <w:r>
        <w:t xml:space="preserve"> Conformal calibration: coverage at three targets and two weaker retrievers. Table 9 reports empirical coverage.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Budget (median)</w:t>
            </w:r>
          </w:p>
        </w:tc>
        <w:tc>
          <w:tcPr>
            <w:tcW w:type="dxa" w:w="1440"/>
          </w:tcPr>
          <w:p>
            <w:r>
              <w:rPr>
                <w:b/>
                <w:sz w:val="18"/>
              </w:rPr>
            </w:r>
            <w:r>
              <w:rPr>
                <w:b/>
                <w:sz w:val="18"/>
              </w:rPr>
              <w:t>Empirical coverage</w:t>
            </w:r>
          </w:p>
        </w:tc>
        <w:tc>
          <w:tcPr>
            <w:tcW w:type="dxa" w:w="1440"/>
          </w:tcPr>
          <w:p>
            <w:r>
              <w:rPr>
                <w:b/>
                <w:sz w:val="18"/>
              </w:rPr>
            </w:r>
            <w:r>
              <w:rPr>
                <w:b/>
                <w:sz w:val="18"/>
              </w:rPr>
              <w:t>Nominal</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Three findings follow. First, on the strongest retriever the guarantee holds: empirical coverage tracks the nominal level within 0.015 at all three targets, and the budgets (120-276 tokens) stay well below what a fixed k = 8 needs for the same recall (289 tokens). Second, calibration is retriever-specific: under bge-large-en the gap at 0.90 widens to -0.020 and under BM25 to -0.052 with a 55% refusal rate at that target, so a change of retriever requires recalibration and an honest refusal path. Third, a saturating-curve variant with a safety margin reaches a similar reach rate but needs a hand-tuned margin and gives no guarantee, so the conformal form is preferred.</w:t>
      </w:r>
    </w:p>
    <w:p>
      <w:r>
        <w:t>The guarantee holds across the range rather than at three points. Sweeping alpha from 0.05 to 0.50 moves nominal coverage from 0.95 to 0.50, and empirical coverage tracks it within 0.046: 0.922 at 0.95, 0.891 at 0.90, 0.865 at 0.85, 0.810 at 0.80, 0.754 at 0.75, 0.699 at 0.70, 0.646 at 0.60 and 0.524 at 0.50 (Figure 5). The one systematic gap is the far tail: at nominal 0.95, 28% of calibration samples never reach the target and the protocol refuses rather than under-covers, and among the samples that do return a budget the median is 664 tokens.</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301-question benchmark; the dashed lines mark the 0.80, 0.85 and 0.90 targets. (B) Reach rate against the safety margin for the curve-based variant, shown for comparison with the conformal protocol of this section.</w:t>
      </w:r>
    </w:p>
    <w:p>
      <w:pPr>
        <w:pStyle w:val="Heading2"/>
      </w:pPr>
      <w:r>
        <w:t>6.11 Why a Second Budget Does Not Bind</w:t>
      </w:r>
    </w:p>
    <w:p>
      <w:r>
        <w:t>Real systems are constrained by tokens, latency and money at once, so one may ask whether a scalar budget is an oversimplification. We measured the retrieval side directly on the 301-question benchmark: BM25 takes 16 ms, dense retrieval 45 ms (including query encoding) and hybrid retrieval 73 ms, while generation takes 898 ms at p50 (Section 6.8). Retrieval therefore accounts for at most 7.5% of end-to-end latency, and the three cost dimensions are collinear in this setting: money is a fixed multiple of tokens, prefill latency is close to linear in context length, and the spread across retrievers (16-70 ms) is too small to move a latency budget. The resulting operating points, including the official classifier of Section 6.16, are:</w:t>
      </w:r>
    </w:p>
    <w:p>
      <w:r>
        <w:rPr>
          <w:b/>
        </w:rPr>
        <w:t>Table 10.</w:t>
      </w:r>
      <w:r>
        <w:t xml:space="preserve"> Operating points of all policies, including the official classifier of Section 6.16. Table 10 lists the operating 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Policy</w:t>
            </w:r>
          </w:p>
        </w:tc>
        <w:tc>
          <w:tcPr>
            <w:tcW w:type="dxa" w:w="2160"/>
          </w:tcPr>
          <w:p>
            <w:r>
              <w:rPr>
                <w:b/>
                <w:sz w:val="18"/>
              </w:rPr>
            </w:r>
            <w:r>
              <w:rPr>
                <w:b/>
                <w:sz w:val="18"/>
              </w:rPr>
              <w:t>Recall</w:t>
            </w:r>
          </w:p>
        </w:tc>
        <w:tc>
          <w:tcPr>
            <w:tcW w:type="dxa" w:w="2160"/>
          </w:tcPr>
          <w:p>
            <w:r>
              <w:rPr>
                <w:b/>
                <w:sz w:val="18"/>
              </w:rPr>
            </w:r>
            <w:r>
              <w:rPr>
                <w:b/>
                <w:sz w:val="18"/>
              </w:rPr>
              <w:t>mean tokens</w:t>
            </w:r>
          </w:p>
        </w:tc>
        <w:tc>
          <w:tcPr>
            <w:tcW w:type="dxa" w:w="2160"/>
          </w:tcPr>
          <w:p>
            <w:r>
              <w:rPr>
                <w:b/>
                <w:sz w:val="18"/>
              </w:rPr>
            </w:r>
            <w:r>
              <w:rPr>
                <w:b/>
                <w:sz w:val="18"/>
              </w:rPr>
              <w:t>mean latency (ms)</w:t>
            </w:r>
          </w:p>
        </w:tc>
      </w:tr>
      <w:tr>
        <w:tc>
          <w:tcPr>
            <w:tcW w:type="dxa" w:w="2160"/>
          </w:tcPr>
          <w:p>
            <w:r>
              <w:rPr>
                <w:sz w:val="18"/>
              </w:rPr>
            </w:r>
            <w:r>
              <w:rPr>
                <w:sz w:val="18"/>
              </w:rPr>
              <w:t>Official classifier (faithful)</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Official classifier (adapted)</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Ours (adaptive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Hybrid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Latency here is retrieval only; the classifier adds 21 ms of CPU inference and nothing else. Every policy therefore lands between 16 and 74 ms, an order of magnitude below the 898 ms of generation, so latency does not create a second binding constraint. On the token-recall plane the learned classifier is an interior point (0.844 at 160 tokens) rather than an extreme: fixed top-3 is cheaper and top-5 more accurate, while our gate and fixed top-8 occupy the high-recall end at 244 and 318 tokens.</w:t>
      </w:r>
    </w:p>
    <w:p>
      <w:r>
        <w:t>The only action with a distinct cost vector is query rewriting, which adds both tokens and about 870 ms of latency. On this corpus it also lowers recall (0.874 against 0.910),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301-question benchmark, reaching 0.80 recall costs BM25 331 tokens at 16 ms but hybrid retrieval 114 tokens at 74 ms, so 58 ms of retrieval time buys 217 tokens, an exchange rate of </w:t>
      </w:r>
      <w:r>
        <w:rPr>
          <w:b/>
        </w:rPr>
        <w:t>3.7 tokens per millisecond</w:t>
      </w:r>
      <w:r>
        <w:t xml:space="preserve">; at a 0.90 target the same swap saves 1050 tokens, or </w:t>
      </w:r>
      <w:r>
        <w:rPr>
          <w:b/>
        </w:rPr>
        <w:t>18.3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467 ms at a 0.80 target and 2258 ms at 0.90, against 58 ms of extra retrieval.</w:t>
      </w:r>
    </w:p>
    <w:p>
      <w:r>
        <w:t>The break-even condition is r * p &gt; 1, where r is the exchange rate in tokens per millisecond and p is the prefill cost per token. On this machine 3.7 * 2.15 = 8.0, so the swap always pays. On a GPU where prefill costs about 0.1 ms per token the product falls to 0.37 at a 0.80 target, so the swap stops paying there but remains profitable at 0.90 (1.83). The trade is therefore computable rather than qualitative, and it explains the conclusion of Section 6.11 from the other side: retrieval time is so cheap relative to context that spending it is almost always right.</w:t>
      </w:r>
    </w:p>
    <w:p>
      <w:pPr>
        <w:pStyle w:val="Heading2"/>
      </w:pPr>
      <w:r>
        <w:t>6.13 How the Questions Were Written, and How Much They Overlap the Sources</w:t>
      </w:r>
    </w:p>
    <w:p>
      <w:r>
        <w:t>The 301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0.044); only 5 of 301 questions (1.7%) exceed 0.50, all of them short definitional questions such as "What is a container?"; the longest shared run is 2 words at the median and 9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Where the Errors Come From</w:t>
      </w:r>
    </w:p>
    <w:p>
      <w:r>
        <w:t xml:space="preserve">At a 300-token budget the hybrid retriever misses 27 of the 301 questions. In every one of those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so roughly half of the remaining gap is lost on the generation side, not in retrieval.</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301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on quality at every discount: mean recall 0.927 for the exhaustive optimum and for the true-cost greedy, 0.910 for the naive policy; greedy reaches the optimum on 301/301 questions, and the naive policy never exceeds the budget by more than rounding. The reason is the metric, not the algorithm: recall is binary per question (the answer span is either in the context or not), and the span sits in the single best chunk for 202 of 301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2"/>
      </w:pPr>
      <w:r>
        <w:t>6.16 Reproducing the Official Complexity Classifier</w:t>
      </w:r>
    </w:p>
    <w:p>
      <w:r>
        <w:t>The strongest criticism of a routing paper is that it never runs the routing baseline it compares with. Appendix C approximates the behaviour with TF-IDF and BERT classifiers; here we replace that with a model trained by the official recipe on the official labels.</w:t>
      </w:r>
    </w:p>
    <w:p>
      <w:r>
        <w:t xml:space="preserve">Adaptive-RAG does not release a checkpoint, but its repository ships the silver training labels (A/B/C complexity) that its own classifier is trained on: 3,817 training and 1,431 validation questions. We trained the same T5 sequence-to-sequence objective on those labels. Our run uses t5-small with six epochs on CPU rather than the paper's T5-large on GPU, and reaches </w:t>
      </w:r>
      <w:r>
        <w:rPr>
          <w:b/>
        </w:rPr>
        <w:t>43.3%</w:t>
      </w:r>
      <w:r>
        <w:t xml:space="preserve"> three-way accuracy on the released validation split (the majority class alone accounts for about 40%), so it is a faithful mechanism reproduction at reduced model scale, not the original model.</w:t>
      </w:r>
    </w:p>
    <w:p>
      <w:r>
        <w:t>We then applied the classifier to our 301 questions and routed with the paper's own mapping: A (simple) takes no context, B (single-hop) retrieves five passages, C (multi-hop) retrieves ten.</w:t>
      </w:r>
    </w:p>
    <w:p>
      <w:r>
        <w:rPr>
          <w:b/>
        </w:rPr>
        <w:t>Table 11.</w:t>
      </w:r>
      <w:r>
        <w:t xml:space="preserve"> Routing results of the official complexity classifier on the 301 questions. Table 11 reports the routed results.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Official classifier (faithful: A = no retrieval)</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Official classifier (adapted: A = top-1 passage)</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Hybrid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Hybrid top-8</w:t>
            </w:r>
          </w:p>
        </w:tc>
        <w:tc>
          <w:tcPr>
            <w:tcW w:type="dxa" w:w="2880"/>
          </w:tcPr>
          <w:p>
            <w:r>
              <w:rPr>
                <w:sz w:val="18"/>
              </w:rPr>
            </w:r>
            <w:r>
              <w:rPr>
                <w:sz w:val="18"/>
              </w:rPr>
              <w:t>0.904</w:t>
            </w:r>
          </w:p>
        </w:tc>
        <w:tc>
          <w:tcPr>
            <w:tcW w:type="dxa" w:w="2880"/>
          </w:tcPr>
          <w:p>
            <w:r>
              <w:rPr>
                <w:sz w:val="18"/>
              </w:rPr>
            </w:r>
            <w:r>
              <w:rPr>
                <w:sz w:val="18"/>
              </w:rPr>
              <w:t>289</w:t>
            </w:r>
          </w:p>
        </w:tc>
      </w:tr>
    </w:tbl>
    <w:p>
      <w:r>
        <w:t>The classifier assigns 83 questions to A, 189 to B and 29 to C. Its operating points sit between fixed-depth retrieval points: 0.844 at 160 tokens falls between top-3 (0.824 at 108) and top-5 (0.890 at 180), so it neither dominates fixed depth nor reaches the high-recall regime, where an A prediction removes the evidence outright. Its routing is also fixed: there is no knob that trades tokens for a target recall. That is precisely the interface Section 6.10 provides and this baseline lacks, which is why the two are complementary rather than competing -- the classifier picks one operating point from a learned prior, the conformal protocol certifies a target quality at whatever budget that costs.</w:t>
      </w:r>
    </w:p>
    <w:p>
      <w:pPr>
        <w:pStyle w:val="Heading2"/>
      </w:pPr>
      <w:r>
        <w:t>6.17 Per-Query Thresholds: Tested, No Gain</w:t>
      </w:r>
    </w:p>
    <w:p>
      <w:r>
        <w:t>The depth rule of Section 6.6 uses one global threshold tau on the normalised margin gamma = (s1 - s2) / s1, which has to be re-tuned when the corpus changes (0.12 on scifact, 0.20 on nfcorpus). A per-query rule would remove that constant, so we tested the obvious one: stop where the query's own score list drops sharply. Concretely, take the smallest k with (s_k - s_{k+1}) / s1 &gt;= delta, capped at k = 10, and sweep delta.</w:t>
      </w:r>
    </w:p>
    <w:p>
      <w:r>
        <w:rPr>
          <w:b/>
        </w:rPr>
        <w:t>Table 12.</w:t>
      </w:r>
      <w:r>
        <w:t xml:space="preserve"> Per-query threshold sweep: nDCG@10, tokens and saving against fixed k = 8. Table 12 reports the sweep.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delta</w:t>
            </w:r>
          </w:p>
        </w:tc>
        <w:tc>
          <w:tcPr>
            <w:tcW w:type="dxa" w:w="1728"/>
          </w:tcPr>
          <w:p>
            <w:r>
              <w:rPr>
                <w:b/>
                <w:sz w:val="18"/>
              </w:rPr>
            </w:r>
            <w:r>
              <w:rPr>
                <w:b/>
                <w:sz w:val="18"/>
              </w:rPr>
              <w:t>recall</w:t>
            </w:r>
          </w:p>
        </w:tc>
        <w:tc>
          <w:tcPr>
            <w:tcW w:type="dxa" w:w="1728"/>
          </w:tcPr>
          <w:p>
            <w:r>
              <w:rPr>
                <w:b/>
                <w:sz w:val="18"/>
              </w:rPr>
            </w:r>
            <w:r>
              <w:rPr>
                <w:b/>
                <w:sz w:val="18"/>
              </w:rPr>
              <w:t>mean tokens</w:t>
            </w:r>
          </w:p>
        </w:tc>
        <w:tc>
          <w:tcPr>
            <w:tcW w:type="dxa" w:w="1728"/>
          </w:tcPr>
          <w:p>
            <w:r>
              <w:rPr>
                <w:b/>
                <w:sz w:val="18"/>
              </w:rPr>
            </w:r>
            <w:r>
              <w:rPr>
                <w:b/>
                <w:sz w:val="18"/>
              </w:rPr>
              <w:t>saving vs k=8</w:t>
            </w:r>
          </w:p>
        </w:tc>
        <w:tc>
          <w:tcPr>
            <w:tcW w:type="dxa" w:w="1728"/>
          </w:tcPr>
          <w:p>
            <w:r>
              <w:rPr>
                <w:b/>
                <w:sz w:val="18"/>
              </w:rPr>
            </w:r>
            <w:r>
              <w:rPr>
                <w:b/>
                <w:sz w:val="18"/>
              </w:rPr>
              <w:t>mean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No setting beats the global threshold. The closest point, delta = 0.03, saves 16% of context but loses 1.7 recall points (0.887 against 0.904 at fixed k = 8), whereas the global rule reaches 0.900 at 244 tokens, a loss of only 0.4 points. Above delta = 0.05 the rule simply stops early almost never and costs more than fixed depth.</w:t>
      </w:r>
    </w:p>
    <w:p>
      <w:r>
        <w:t>The reason is visible in the definition: hybrid scores are already normalised per query, so the absolute gap (s1 - s2)/s1 is a comparable statistic across queries, while the *incremental* drop between adjacent chunks adds noise -- one flat pair of scores is enough to trigger or suppress a cut. We therefore keep the global threshold and report the per-query variant as a negative result; the recalibration cost stays a stated limitation rather than being papered over by a rule that does not work.</w:t>
      </w:r>
    </w:p>
    <w:p>
      <w:r>
        <w:t>The same rule transfers to BEIR scifact, and fails there too: delta = 0.02 scores nDCG@10 0.6827 at 1818 tokens (30% fewer tokens, 2.4 points below fixed k = 8), delta = 0.03 scores 0.6895 at 2271 (13%), against 0.7071 at 2615 for fixed k = 8; the global threshold keeps nDCG@10 at 0.7062 while saving 24%. The per-query drop is therefore not a substitute for the global margin threshold on either the internal benchmark or the public one.</w:t>
      </w:r>
    </w:p>
    <w:p>
      <w:pPr>
        <w:pStyle w:val="Heading2"/>
      </w:pPr>
      <w:r>
        <w:t>6.18 Is the Margin a Sufficient Statistic? An Empirical Test</w:t>
      </w:r>
    </w:p>
    <w:p>
      <w:r>
        <w:t>The threshold rule of Section 6.6 treats gamma as a difficulty signal, but says nothing about *why* it should work. The assumption it needs is that the marginal value of another chunk decreases as gamma grows: confident queries gain little from depth, uncertain ones gain a lot. That is a statement about the score distribution, and it can be tested before it is proved.</w:t>
      </w:r>
    </w:p>
    <w:p>
      <w:r>
        <w:t>We split the 301 questions into gamma quartiles and compare recall at k = 4 and k = 10 within each quartile.</w:t>
      </w:r>
    </w:p>
    <w:p>
      <w:r>
        <w:rPr>
          <w:b/>
        </w:rPr>
        <w:t>Table 13.</w:t>
      </w:r>
      <w:r>
        <w:t xml:space="preserve"> Marginal gain by margin quartile: recall at k = 4 and k = 10 within each quartile. Table 13 reports the quartile analysis.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gamma quartile</w:t>
            </w:r>
          </w:p>
        </w:tc>
        <w:tc>
          <w:tcPr>
            <w:tcW w:type="dxa" w:w="1728"/>
          </w:tcPr>
          <w:p>
            <w:r>
              <w:rPr>
                <w:b/>
                <w:sz w:val="18"/>
              </w:rPr>
            </w:r>
            <w:r>
              <w:rPr>
                <w:b/>
                <w:sz w:val="18"/>
              </w:rPr>
              <w:t>n</w:t>
            </w:r>
          </w:p>
        </w:tc>
        <w:tc>
          <w:tcPr>
            <w:tcW w:type="dxa" w:w="1728"/>
          </w:tcPr>
          <w:p>
            <w:r>
              <w:rPr>
                <w:b/>
                <w:sz w:val="18"/>
              </w:rPr>
            </w:r>
            <w:r>
              <w:rPr>
                <w:b/>
                <w:sz w:val="18"/>
              </w:rPr>
              <w:t>recall k=4</w:t>
            </w:r>
          </w:p>
        </w:tc>
        <w:tc>
          <w:tcPr>
            <w:tcW w:type="dxa" w:w="1728"/>
          </w:tcPr>
          <w:p>
            <w:r>
              <w:rPr>
                <w:b/>
                <w:sz w:val="18"/>
              </w:rPr>
            </w:r>
            <w:r>
              <w:rPr>
                <w:b/>
                <w:sz w:val="18"/>
              </w:rPr>
              <w:t>recall k=10</w:t>
            </w:r>
          </w:p>
        </w:tc>
        <w:tc>
          <w:tcPr>
            <w:tcW w:type="dxa" w:w="1728"/>
          </w:tcPr>
          <w:p>
            <w:r>
              <w:rPr>
                <w:b/>
                <w:sz w:val="18"/>
              </w:rPr>
            </w:r>
            <w:r>
              <w:rPr>
                <w:b/>
                <w:sz w:val="18"/>
              </w:rPr>
              <w:t>delta (10-4)</w:t>
            </w:r>
          </w:p>
        </w:tc>
      </w:tr>
      <w:tr>
        <w:tc>
          <w:tcPr>
            <w:tcW w:type="dxa" w:w="1728"/>
          </w:tcPr>
          <w:p>
            <w:r>
              <w:rPr>
                <w:sz w:val="18"/>
              </w:rPr>
            </w:r>
            <w:r>
              <w:rPr>
                <w:sz w:val="18"/>
              </w:rPr>
              <w:t>Q1 (gamma &lt;=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 (gamma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The marginal gain is monotone decreasing in gamma: 0.093, 0.067, 0.013, 0.013. Queries the margin calls confident gain almost nothing from six more chunks, and queries it calls uncertain gain most. The empirical premise of the threshold rule therefore holds on this corpus.</w:t>
      </w:r>
    </w:p>
    <w:p>
      <w:r>
        <w:t xml:space="preserve">We are careful about what this does and does not establish. It does </w:t>
      </w:r>
      <w:r>
        <w:rPr>
          <w:b/>
        </w:rPr>
        <w:t>not</w:t>
      </w:r>
      <w:r>
        <w:t xml:space="preserve"> prove that gamma is a sufficient statistic: a statistic can predict the average gain within a bin while failing to order queries inside it, and the argument says nothing about the adversarial case of Section 6.9, where the relation reverses. What it does show is that the assumption behind the threshold is not vacuous, that its strength is roughly the shape one would assume, and that a formal treatment -- deriving marginal value from a Plackett-Luce or exponential-family model and bounding the threshold rule's suboptimality -- has an empirically falsifiable target to aim at.</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1-24% of context on natural corpora, and nothing on an adversarial one (Section 6.9). The mechanism is therefore "how many chunks does *this* query need", not "stop at a token count".</w:t>
      </w:r>
    </w:p>
    <w:p>
      <w:r>
        <w:t>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0.51–0.69 of the time, yet a 4B model answers correctly only 0.14–0.40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about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The conclusions have seven boundaries. Corpus: the main evidence is 500 synthetic technical questions; cross-corpus validation covers retrieval only (Section 6.4) and the multi-hop generation results are small (Section 6.5), so transfer to production corpora needs an additional validation set. Baselines: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Cost: figures are converted from public unit prices and exclude batch discounts, cache hits and operations overhead (Section 7.3), which makes them suitable for relative comparison only. Token estimates: tiktoken over-counts Chinese relative to actual billing (Section 7.3), so the true context cost at equal recall is lower than reported. None of these four enters the abstract. Three further boundaries emerged when the corpus was enlarged. Main table: the 0.960 figure of Section 6.2 is a controlled synthetic setting; on real documentation the system ties a hybrid retriever (0.910) and the transferable gain is the 1–24% context saving of Section 6.9. Adaptive threshold: tau is a single global constant tuned per corpus (0.12 on scifact, 0.20 on nfcorpus). A per-query rule was tested and fails (Section 6.17), so recalibration remains a manual step. Public benchmarks: four BEIR subsets were run and one of them (arguana) shows no saving at all, so the gain is corpus-dependent (1–24%) rather than universal.</w:t>
      </w:r>
    </w:p>
    <w:p>
      <w:pPr>
        <w:pStyle w:val="Heading1"/>
      </w:pPr>
      <w:r>
        <w:t>9. Conclusion</w:t>
      </w:r>
    </w:p>
    <w:p>
      <w:r>
        <w:t>We formulated retrieval-depth selection as budget-constrained submodular maximization over priced actions, and derived two implementable consequences: the rewriting threshold is set by the shadow price of the budget, and the optimal cascade is a chain of confidence thresholds. On the controlled benchmark the resulting system reaches 0.960 recall at 126 tokens; on 312 official documentation pages it reaches 0.910 recall at a 300-token budget, statistically indistinguishable from fixed depth at 11-20% fewer tokens; on four BEIR subsets the same rule saves 1-24% of context at equal nDCG@10, and fails on an adversarially constructed one, which we report. A split-conformal layer turns a recall target into a budget with a coverage guarantee, and refuses targets a retriever cannot reach.</w:t>
      </w:r>
    </w:p>
    <w:p>
      <w:r>
        <w:t>We also stated when the margin can be trusted: under a high-confidence regime and a non-thickening tail (Appendix D), with two counterexamples marking exactly where each condition is necessary. The broader lesson is that the context budget is better treated as an interface than as a hyperparameter: given a target and twenty labelled questions, a system can certify what it promises, and say so when it cannot.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(v1.1.0).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Appendix D. Why the Margin Predicts Diminishing Returns</w:t>
      </w:r>
    </w:p>
    <w:p>
      <w:r>
        <w:t>Section 6.18 shows empirically that the marginal value of another chunk decreases in the margin. This appendix states the conditions under which that relation can be proved, and shows with two counterexamples that each condition is necessary. We prove the two-chunk (k = 1) case; the general case is stated as a conjecture supported by the measurements of Section 6.18.</w:t>
      </w:r>
    </w:p>
    <w:p>
      <w:r>
        <w:rPr>
          <w:b/>
        </w:rPr>
        <w:t>D.1 Notation.</w:t>
      </w:r>
      <w:r>
        <w:t xml:space="preserve"> As in Section 6.6: p_i is the conditional probability that chunk i contains the answer given that chunks 1..i-1 do not; Q(S_k) = P(E_k); Δ_k = Q(S_{k+1}) − Q(S_k); γ = (s_1 − s_2)/s_1.</w:t>
      </w:r>
    </w:p>
    <w:p>
      <w:r>
        <w:rPr>
          <w:b/>
        </w:rPr>
        <w:t>Lemma D.1.</w:t>
      </w:r>
      <w:r>
        <w:t xml:space="preserve"> Under the independence assumption of Section 6.6, Q(S_k) = 1 − ∏_{i≤k}(1−p_i) and Δ_k = (1 − Q(S_k)) · p_{k+1}.</w:t>
      </w:r>
    </w:p>
    <w:p>
      <w:r>
        <w:t>*Proof.* 1 − Q(S_k) = P(answer outside first k) = ∏_{i≤k}(1−p_i) by independence; subtracting Q(S_k) from Q(S_{k+1}) leaves ∏_{i≤k}(1−p_i) · p_{k+1}. ∎</w:t>
      </w:r>
    </w:p>
    <w:p>
      <w:r>
        <w:t>The coefficient is 1−Q, not Q: the gain can only come from the part not yet covered.</w:t>
      </w:r>
    </w:p>
    <w:p>
      <w:r>
        <w:rPr>
          <w:b/>
        </w:rPr>
        <w:t>Lemma D.2.</w:t>
      </w:r>
      <w:r>
        <w:t xml:space="preserve"> If p_1 ≥ p_2 ≥ … ≥ p_K, then for any fixed query Δ_k decreases in k.</w:t>
      </w:r>
    </w:p>
    <w:p>
      <w:r>
        <w:t>*Proof.* Δ_{k+1} = ∏_{i≤k+1}(1−p_i)·p_{k+2} ≤ ∏_{i≤k}(1−p_i)·p_{k+1} = Δ_k, because 1−p_{k+1} ≤ 1 and p_{k+2} ≤ p_{k+1}. ∎</w:t>
      </w:r>
    </w:p>
    <w:p>
      <w:r>
        <w:rPr>
          <w:b/>
        </w:rPr>
        <w:t>D.2 The cross-query theorem (k = 1).</w:t>
      </w:r>
      <w:r>
        <w:t xml:space="preserve"> Write Δ_1 = (1−p_1)·p_2 = ρ·p_1(1−p_1) with ρ := p_2/p_1. The conclusion needs more than p_1 growing.</w:t>
      </w:r>
    </w:p>
    <w:p>
      <w:r>
        <w:t xml:space="preserve">*Assumptions.* </w:t>
      </w:r>
      <w:r>
        <w:rPr>
          <w:b/>
        </w:rPr>
        <w:t>(M1)</w:t>
      </w:r>
      <w:r>
        <w:t xml:space="preserve"> the ranking scores order utilities; </w:t>
      </w:r>
      <w:r>
        <w:rPr>
          <w:b/>
        </w:rPr>
        <w:t>(M2)</w:t>
      </w:r>
      <w:r>
        <w:t xml:space="preserve"> the conditional hit probabilities decrease with rank, p_1 ≥ p_2 ≥ … ≥ p_K; </w:t>
      </w:r>
      <w:r>
        <w:rPr>
          <w:b/>
        </w:rPr>
        <w:t>(M3)</w:t>
      </w:r>
      <w:r>
        <w:t xml:space="preserve"> p_1 = g(γ) with g increasing; </w:t>
      </w:r>
      <w:r>
        <w:rPr>
          <w:b/>
        </w:rPr>
        <w:t>(H1)</w:t>
      </w:r>
      <w:r>
        <w:t xml:space="preserve"> p_1 ≥ 1/2; </w:t>
      </w:r>
      <w:r>
        <w:rPr>
          <w:b/>
        </w:rPr>
        <w:t>(H2)</w:t>
      </w:r>
      <w:r>
        <w:t xml:space="preserve"> ρ is non-increasing in p_1.</w:t>
      </w:r>
    </w:p>
    <w:p>
      <w:r>
        <w:t>*Theorem.* Under M1, M3, H1, H2, Δ_1 is non-increasing in γ. (M2 is not needed for k = 1; it is used in Lemma D.2.)</w:t>
      </w:r>
    </w:p>
    <w:p>
      <w:r>
        <w:t>*Proof.* Take two queries q, q' with p_1(q) ≤ p_1(q'), both ≥ 1/2. By H2, ρ(q') ≤ ρ(q). Let h(p) = p(1−p). Then Δ_1(q') − Δ_1(q) = ρ(q')h(p_1(q')) − ρ(q)h(p_1(q)) ≤ ρ(q)[h(p_1(q')) − h(p_1(q))], using ρ(q') ≤ ρ(q) and ρ ≥ 0. Since h'(p) = 1−2p ≤ 0 on [1/2, 1], h(p_1(q')) ≤ h(p_1(q)), so the difference is at most zero. With M3, larger γ implies larger p_1, hence smaller Δ_1. ∎</w:t>
      </w:r>
    </w:p>
    <w:p>
      <w:r>
        <w:rPr>
          <w:b/>
        </w:rPr>
        <w:t>D.3 Counterexample 1: M1 + M3 do not suffice.</w:t>
      </w:r>
      <w:r>
        <w:t xml:space="preserve"> Let p_i ≡ θ (constant). Then ρ = 1 and Δ_1 = θ(1−θ), so dΔ_1/dθ = 1−2θ. For θ &lt; 1/2 the marginal gain *increases* with confidence, opposite to the theorem. This is why H1 (the high-confidence region) cannot be dropped. Note that this example violates M2, so it shows only that M1 + M3 are insufficient.</w:t>
      </w:r>
    </w:p>
    <w:p>
      <w:r>
        <w:rPr>
          <w:b/>
        </w:rPr>
        <w:t>D.4 Counterexample 2: H2 is essential.</w:t>
      </w:r>
      <w:r>
        <w:t xml:space="preserve"> Let p_1 = θ, p_2 = θ², and p_i = 0 for i ≥ 3. Then M1, M2 (θ² ≤ θ), M3 and H1 (for θ ∈ [1/2, 2/3)) all hold, but Δ_1 = (1−θ)θ² and dΔ_1/dθ = θ(2−3θ) &gt; 0 for θ &lt; 2/3. The conclusion therefore fails </w:t>
      </w:r>
      <w:r>
        <w:rPr>
          <w:b/>
        </w:rPr>
        <w:t>even when every assumption except H2 is satisfied</w:t>
      </w:r>
      <w:r>
        <w:t>: H2 is not a technical add-on but a necessary condition. It is also the condition that the adversarial corpus of Section 6.9 violates.</w:t>
      </w:r>
    </w:p>
    <w:p>
      <w:r>
        <w:rPr>
          <w:b/>
        </w:rPr>
        <w:t>D.5 The general case (k ≥ 2).</w:t>
      </w:r>
      <w:r>
        <w:t xml:space="preserve"> We state the natural extension as a conjecture: if for every j the ratio ρ_j := p_{j+1}/p_j is non-increasing in p_1 and p_1 ≥ 1/2, then Δ_k is non-increasing in γ for all k. Section 6.18 provides numerical support (the marginal gain falls 0.093 → 0.067 → 0.013 → 0.013 across γ quartiles), but we do not claim a proof; a full treatment must control the joint behaviour of the ratios ρ_j, which the two-chunk argument does not.</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v1.1.0).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