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召回，换语料、换生成模型后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固定块在宽预算下更连贯。系统按目标预算自动选择：ctx &lt; 500 用句级，否则用固定块。</w:t>
      </w:r>
    </w:p>
    <w:p>
      <w:r>
        <w:t xml:space="preserve">取块时按检索得分降序累积，直到已选块的总 token 达到预算 $B$ 即停， </w:t>
      </w:r>
      <w:r>
        <w:rPr>
          <w:b/>
        </w:rPr>
        <w:t>不做固定 k 截断</w:t>
      </w:r>
      <w:r>
        <w:t>——这是「预算」而非「条数」成为一等公民的关键。</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 token 3218，对固定 k=10 省 7%。</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低于报告值。这四条不进入摘要，也不改变第 6 节的主结论。</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