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On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is cheaper under tight budgets because it never drags unrelated sentences in; fixed blocks are more coherent when the budget is generous. The system picks automatically: sentence level when ctx &lt; 500, fixed blocks otherwise.</w:t>
      </w:r>
    </w:p>
    <w:p>
      <w:r>
        <w:t xml:space="preserve">Chunks are accumulated in descending retrieval score until the selected chunks reach the token budget $B$, and then the loop stops. There is </w:t>
      </w:r>
      <w:r>
        <w:rPr>
          <w:b/>
        </w:rPr>
        <w:t>no fixed $k$ truncation</w:t>
      </w:r>
      <w:r>
        <w:t>—this is what makes the budget, rather than the count, the first-class quantity.</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w:t>
      </w:r>
    </w:p>
    <w:p>
      <w:r>
        <w:t>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two BEIR subsets for public-protocol validation.</w:t>
      </w:r>
    </w:p>
    <w:p>
      <w:r>
        <w:rPr>
          <w:b/>
        </w:rPr>
        <w:t>Internal benchmark (143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 (alpha=0.2)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Ours (difficulty-adaptive, 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 (300 queries, document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mean tokens</w:t>
            </w:r>
          </w:p>
        </w:tc>
      </w:tr>
      <w:tr>
        <w:tc>
          <w:tcPr>
            <w:tcW w:type="dxa" w:w="2160"/>
          </w:tcPr>
          <w:p>
            <w:r>
              <w:rPr>
                <w:sz w:val="18"/>
              </w:rPr>
            </w:r>
            <w:r>
              <w:rPr>
                <w:sz w:val="18"/>
              </w:rPr>
              <w:t>Fixed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Fixed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Adaptive tau=0.12 (k=3/10)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 (-27%)</w:t>
            </w:r>
          </w:p>
        </w:tc>
      </w:tr>
    </w:tbl>
    <w:p>
      <w:r>
        <w:rPr>
          <w:b/>
        </w:rPr>
        <w:t>BEIR nfcorpus (150 queries)</w:t>
      </w:r>
      <w:r>
        <w:t>: adaptive tau=0.20 (k=4/10) yields nDCG 0.3725, hit 0.740 and 3218 tokens, 7% below fixed k=10.</w:t>
      </w:r>
    </w:p>
    <w:p>
      <w:r>
        <w:t xml:space="preserve">Three revised conclusions. First, the transferable gain is </w:t>
      </w:r>
      <w:r>
        <w:rPr>
          <w:b/>
        </w:rPr>
        <w:t>difficulty-adaptive depth</w:t>
      </w:r>
      <w:r>
        <w:t xml:space="preserve">: at equal recall or hit rate it saves 7%-27% of context, with the saving tracking document length (27% on scifact's long abstracts, 7% on nfcorpus's short ones).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1"/>
      </w:pPr>
      <w:r>
        <w:t>7. Discussion</w:t>
      </w:r>
    </w:p>
    <w:p>
      <w:pPr>
        <w:pStyle w:val="Heading2"/>
      </w:pPr>
      <w:r>
        <w:t>7.1 Budget as an Interface, Not a Hyperparameter</w:t>
      </w:r>
    </w:p>
    <w:p>
      <w:r>
        <w:t>Writing the budget as a constraint rather than a tuned $k$ buys three transferable properties.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four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tiktoken over-counts Chinese relative to actual billing (Section 7.3), so the true context cost at equal recall is lower than reported. None of these four enters the abstract, and none changes the main conclusions of Section 6.</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